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363C5" w14:textId="1029483F" w:rsidR="00FF4871" w:rsidRPr="00FF4871" w:rsidRDefault="00FF4871" w:rsidP="00FF4871">
      <w:pPr>
        <w:pStyle w:val="Descriptor"/>
        <w:rPr>
          <w:rFonts w:ascii="Public Sans" w:hAnsi="Public Sans"/>
        </w:rPr>
      </w:pPr>
      <w:r w:rsidRPr="00D564DC">
        <w:rPr>
          <w:noProof/>
          <w:color w:val="441170"/>
        </w:rPr>
        <mc:AlternateContent>
          <mc:Choice Requires="wps">
            <w:drawing>
              <wp:anchor distT="0" distB="0" distL="114300" distR="114300" simplePos="0" relativeHeight="251659264" behindDoc="1" locked="0" layoutInCell="1" allowOverlap="1" wp14:anchorId="7A00E4D5" wp14:editId="605F0355">
                <wp:simplePos x="0" y="0"/>
                <wp:positionH relativeFrom="page">
                  <wp:align>left</wp:align>
                </wp:positionH>
                <wp:positionV relativeFrom="page">
                  <wp:align>top</wp:align>
                </wp:positionV>
                <wp:extent cx="7845095" cy="10819519"/>
                <wp:effectExtent l="0" t="0" r="3810" b="127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45095" cy="10819519"/>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44A4D" id="Rectangle 15" o:spid="_x0000_s1026" alt="&quot;&quot;" style="position:absolute;margin-left:0;margin-top:0;width:617.7pt;height:851.9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" fillcolor="#002664" stroked="f" strokeweight="1pt">
                <w10:wrap anchorx="page" anchory="page"/>
              </v:rect>
            </w:pict>
          </mc:Fallback>
        </mc:AlternateContent>
      </w:r>
      <w:bookmarkStart w:id="0" w:name="_MON_1809171661"/>
      <w:bookmarkEnd w:id="0"/>
      <w:r>
        <w:object w:dxaOrig="9026" w:dyaOrig="450" w14:anchorId="3923D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pt;height:22.55pt" o:ole="">
            <v:imagedata r:id="rId8" o:title=""/>
          </v:shape>
          <o:OLEObject Type="Embed" ProgID="Word.Document.12" ShapeID="_x0000_i1025" DrawAspect="Content" ObjectID="_1809260814" r:id="rId9">
            <o:FieldCodes>\s</o:FieldCodes>
          </o:OLEObject>
        </w:object>
      </w:r>
      <w:bookmarkStart w:id="1" w:name="_MON_1809171755"/>
      <w:bookmarkEnd w:id="1"/>
      <w:r>
        <w:object w:dxaOrig="9026" w:dyaOrig="450" w14:anchorId="0C48A817">
          <v:shape id="_x0000_i1026" type="#_x0000_t75" style="width:450.8pt;height:22.55pt" o:ole="">
            <v:imagedata r:id="rId8" o:title=""/>
          </v:shape>
          <o:OLEObject Type="Embed" ProgID="Word.Document.12" ShapeID="_x0000_i1026" DrawAspect="Content" ObjectID="_1809260815" r:id="rId10">
            <o:FieldCodes>\s</o:FieldCodes>
          </o:OLEObject>
        </w:object>
      </w:r>
      <w:r w:rsidRPr="00FF4871">
        <w:rPr>
          <w:rFonts w:ascii="Public Sans" w:hAnsi="Public Sans"/>
        </w:rPr>
        <w:t>NSW Law Reform</w:t>
      </w:r>
      <w:r w:rsidRPr="00FF4871">
        <w:rPr>
          <w:rFonts w:ascii="Public Sans" w:hAnsi="Public Sans"/>
        </w:rPr>
        <w:br/>
        <w:t>Commission</w:t>
      </w:r>
      <w:r w:rsidRPr="00FF4871">
        <w:rPr>
          <w:rFonts w:ascii="Public Sans" w:hAnsi="Public Sans"/>
        </w:rPr>
        <w:br/>
      </w:r>
    </w:p>
    <w:p w14:paraId="1385F75F" w14:textId="77777777" w:rsidR="00022CC1" w:rsidRDefault="00FF4871" w:rsidP="00E574F5">
      <w:pPr>
        <w:pStyle w:val="Title"/>
        <w:spacing w:before="1560" w:after="600"/>
        <w:contextualSpacing w:val="0"/>
        <w:jc w:val="left"/>
        <w:rPr>
          <w:rFonts w:ascii="Public Sans" w:hAnsi="Public Sans"/>
          <w:b w:val="0"/>
          <w:bCs/>
          <w:color w:val="FFFFFF" w:themeColor="background1"/>
          <w:sz w:val="72"/>
          <w:szCs w:val="72"/>
        </w:rPr>
      </w:pPr>
      <w:r w:rsidRPr="00022CC1">
        <w:rPr>
          <w:rFonts w:ascii="Public Sans" w:hAnsi="Public Sans"/>
          <w:b w:val="0"/>
          <w:bCs/>
          <w:color w:val="FFFFFF" w:themeColor="background1"/>
          <w:sz w:val="72"/>
          <w:szCs w:val="72"/>
        </w:rPr>
        <w:t xml:space="preserve">Review of the </w:t>
      </w:r>
      <w:r w:rsidRPr="00022CC1">
        <w:rPr>
          <w:rFonts w:ascii="Public Sans" w:hAnsi="Public Sans"/>
          <w:b w:val="0"/>
          <w:bCs/>
          <w:color w:val="FFFFFF" w:themeColor="background1"/>
          <w:sz w:val="72"/>
          <w:szCs w:val="72"/>
        </w:rPr>
        <w:br/>
        <w:t xml:space="preserve">Anti-Discrimination Act </w:t>
      </w:r>
      <w:r w:rsidRPr="00022CC1">
        <w:rPr>
          <w:rFonts w:ascii="Public Sans" w:hAnsi="Public Sans"/>
          <w:b w:val="0"/>
          <w:bCs/>
          <w:color w:val="FFFFFF" w:themeColor="background1"/>
          <w:sz w:val="72"/>
          <w:szCs w:val="72"/>
        </w:rPr>
        <w:br/>
        <w:t xml:space="preserve">1977 (NSW) </w:t>
      </w:r>
    </w:p>
    <w:p w14:paraId="08A37094" w14:textId="3C07D875" w:rsidR="00FF4871" w:rsidRPr="00022CC1" w:rsidRDefault="00FF4871" w:rsidP="00022CC1">
      <w:pPr>
        <w:pStyle w:val="Title"/>
        <w:spacing w:before="1560"/>
        <w:jc w:val="left"/>
        <w:rPr>
          <w:rFonts w:ascii="Public Sans" w:hAnsi="Public Sans"/>
          <w:b w:val="0"/>
          <w:bCs/>
          <w:color w:val="FFFFFF" w:themeColor="background1"/>
          <w:sz w:val="72"/>
          <w:szCs w:val="72"/>
        </w:rPr>
      </w:pPr>
      <w:r w:rsidRPr="00022CC1">
        <w:rPr>
          <w:rFonts w:ascii="Public Sans" w:hAnsi="Public Sans"/>
          <w:b w:val="0"/>
          <w:bCs/>
          <w:color w:val="FFFFFF" w:themeColor="background1"/>
          <w:sz w:val="72"/>
          <w:szCs w:val="72"/>
        </w:rPr>
        <w:t>Unlawful conduct</w:t>
      </w:r>
    </w:p>
    <w:p w14:paraId="012299F0" w14:textId="77777777" w:rsidR="00FF4871" w:rsidRPr="00FF4871" w:rsidRDefault="00FF4871" w:rsidP="00E574F5">
      <w:pPr>
        <w:pStyle w:val="Subtitle"/>
        <w:spacing w:before="840"/>
        <w:rPr>
          <w:rFonts w:ascii="Public Sans" w:hAnsi="Public Sans"/>
          <w:color w:val="FFFFFF" w:themeColor="background1"/>
          <w:sz w:val="40"/>
          <w:szCs w:val="40"/>
        </w:rPr>
      </w:pPr>
      <w:r w:rsidRPr="00FF4871">
        <w:rPr>
          <w:rFonts w:ascii="Public Sans" w:hAnsi="Public Sans"/>
          <w:color w:val="FFFFFF" w:themeColor="background1"/>
          <w:sz w:val="40"/>
          <w:szCs w:val="40"/>
        </w:rPr>
        <w:t xml:space="preserve">CONSULTATION PAPER 24 </w:t>
      </w:r>
    </w:p>
    <w:p w14:paraId="27783A32" w14:textId="77777777" w:rsidR="00FF4871" w:rsidRPr="00022CC1" w:rsidRDefault="00FF4871" w:rsidP="00FF4871">
      <w:pPr>
        <w:pStyle w:val="Date"/>
        <w:rPr>
          <w:rFonts w:ascii="Public Sans" w:hAnsi="Public Sans"/>
          <w:color w:val="FFFFFF" w:themeColor="background1"/>
          <w:sz w:val="28"/>
          <w:szCs w:val="28"/>
        </w:rPr>
      </w:pPr>
      <w:r w:rsidRPr="00022CC1">
        <w:rPr>
          <w:rFonts w:ascii="Public Sans" w:hAnsi="Public Sans"/>
          <w:color w:val="FFFFFF" w:themeColor="background1"/>
          <w:sz w:val="28"/>
          <w:szCs w:val="28"/>
        </w:rPr>
        <w:t xml:space="preserve">May 2025 </w:t>
      </w:r>
    </w:p>
    <w:p w14:paraId="24345B0B" w14:textId="4A5D57DF" w:rsidR="00F41119" w:rsidRDefault="00F41119" w:rsidP="00F41119">
      <w:pPr>
        <w:pStyle w:val="NormalText"/>
      </w:pPr>
    </w:p>
    <w:p w14:paraId="3D678C57" w14:textId="53E0FCFB" w:rsidR="00026EC1" w:rsidRDefault="00026EC1" w:rsidP="00F41119">
      <w:pPr>
        <w:spacing w:after="0" w:line="240" w:lineRule="auto"/>
        <w:jc w:val="left"/>
        <w:sectPr w:rsidR="00026EC1" w:rsidSect="00540448">
          <w:headerReference w:type="even" r:id="rId11"/>
          <w:footerReference w:type="even" r:id="rId12"/>
          <w:footerReference w:type="default" r:id="rId13"/>
          <w:footerReference w:type="first" r:id="rId14"/>
          <w:footnotePr>
            <w:numRestart w:val="eachSect"/>
          </w:footnotePr>
          <w:pgSz w:w="11906" w:h="16838" w:code="9"/>
          <w:pgMar w:top="1701" w:right="1304" w:bottom="1021" w:left="1304" w:header="567" w:footer="567" w:gutter="0"/>
          <w:pgNumType w:fmt="lowerRoman" w:start="1"/>
          <w:cols w:space="708"/>
          <w:titlePg/>
          <w:docGrid w:linePitch="360"/>
        </w:sectPr>
      </w:pPr>
    </w:p>
    <w:p w14:paraId="0E8D0551" w14:textId="77777777" w:rsidR="00F41119" w:rsidRPr="000F1CCF" w:rsidRDefault="00F41119" w:rsidP="00F41119">
      <w:pPr>
        <w:ind w:right="720"/>
        <w:rPr>
          <w:rFonts w:ascii="Public Sans" w:hAnsi="Public Sans"/>
          <w:sz w:val="18"/>
        </w:rPr>
      </w:pPr>
      <w:r w:rsidRPr="000F1CCF">
        <w:rPr>
          <w:rFonts w:ascii="Public Sans" w:hAnsi="Public Sans"/>
          <w:sz w:val="18"/>
        </w:rPr>
        <w:lastRenderedPageBreak/>
        <w:t>©</w:t>
      </w:r>
      <w:r w:rsidRPr="000F1CCF">
        <w:rPr>
          <w:rFonts w:ascii="Public Sans" w:hAnsi="Public Sans"/>
          <w:sz w:val="18"/>
        </w:rPr>
        <w:tab/>
        <w:t>New South Wales Law Reform Commission, Sydney, 2025</w:t>
      </w:r>
    </w:p>
    <w:p w14:paraId="5311A2F5" w14:textId="77777777" w:rsidR="00F41119" w:rsidRPr="000F1CCF" w:rsidRDefault="00F41119" w:rsidP="00F41119">
      <w:pPr>
        <w:spacing w:after="120"/>
        <w:ind w:right="720"/>
        <w:rPr>
          <w:rFonts w:ascii="Public Sans" w:hAnsi="Public Sans"/>
          <w:b/>
          <w:sz w:val="18"/>
        </w:rPr>
      </w:pPr>
      <w:r w:rsidRPr="000F1CCF">
        <w:rPr>
          <w:rFonts w:ascii="Public Sans" w:hAnsi="Public Sans"/>
          <w:b/>
          <w:sz w:val="18"/>
        </w:rPr>
        <w:t>Copyright permissions</w:t>
      </w:r>
    </w:p>
    <w:p w14:paraId="66A56320" w14:textId="77777777" w:rsidR="00F41119" w:rsidRPr="000F1CCF" w:rsidRDefault="00F41119" w:rsidP="00F41119">
      <w:pPr>
        <w:ind w:right="720"/>
        <w:rPr>
          <w:rFonts w:ascii="Public Sans" w:hAnsi="Public Sans"/>
          <w:sz w:val="18"/>
        </w:rPr>
      </w:pPr>
      <w:r w:rsidRPr="000F1CCF">
        <w:rPr>
          <w:rFonts w:ascii="Public Sans" w:hAnsi="Public Sans"/>
          <w:sz w:val="18"/>
        </w:rPr>
        <w:t xml:space="preserve">You may copy, distribute, display, download and otherwise freely deal with this publication for any personal or non-commercial purpose, on condition that you include proper acknowledgment on all uses. </w:t>
      </w:r>
    </w:p>
    <w:p w14:paraId="71D89F75" w14:textId="77777777" w:rsidR="00F41119" w:rsidRPr="000F1CCF" w:rsidRDefault="00F41119" w:rsidP="00F41119">
      <w:pPr>
        <w:ind w:right="720"/>
        <w:rPr>
          <w:rFonts w:ascii="Public Sans" w:hAnsi="Public Sans"/>
          <w:sz w:val="18"/>
        </w:rPr>
      </w:pPr>
      <w:r w:rsidRPr="000F1CCF">
        <w:rPr>
          <w:rFonts w:ascii="Public Sans" w:hAnsi="Public Sans"/>
          <w:sz w:val="18"/>
        </w:rPr>
        <w:t xml:space="preserve">However, you must obtain permission from the NSW Law Reform Commission if you wish to: </w:t>
      </w:r>
    </w:p>
    <w:p w14:paraId="1E6A4DBB" w14:textId="77777777" w:rsidR="00F41119" w:rsidRPr="000F1CCF" w:rsidRDefault="00F41119" w:rsidP="00F41119">
      <w:pPr>
        <w:numPr>
          <w:ilvl w:val="0"/>
          <w:numId w:val="15"/>
        </w:numPr>
        <w:spacing w:line="240" w:lineRule="auto"/>
        <w:ind w:right="720"/>
        <w:rPr>
          <w:rFonts w:ascii="Public Sans" w:hAnsi="Public Sans"/>
          <w:sz w:val="18"/>
        </w:rPr>
      </w:pPr>
      <w:r w:rsidRPr="000F1CCF">
        <w:rPr>
          <w:rFonts w:ascii="Public Sans" w:hAnsi="Public Sans"/>
          <w:sz w:val="18"/>
        </w:rPr>
        <w:t>charge others for access to the publication (other than at cost)</w:t>
      </w:r>
    </w:p>
    <w:p w14:paraId="6F34CD15" w14:textId="77777777" w:rsidR="00F41119" w:rsidRPr="000F1CCF" w:rsidRDefault="00F41119" w:rsidP="00F41119">
      <w:pPr>
        <w:numPr>
          <w:ilvl w:val="0"/>
          <w:numId w:val="15"/>
        </w:numPr>
        <w:spacing w:line="240" w:lineRule="auto"/>
        <w:ind w:right="720"/>
        <w:rPr>
          <w:rFonts w:ascii="Public Sans" w:hAnsi="Public Sans"/>
          <w:sz w:val="18"/>
        </w:rPr>
      </w:pPr>
      <w:r w:rsidRPr="000F1CCF">
        <w:rPr>
          <w:rFonts w:ascii="Public Sans" w:hAnsi="Public Sans"/>
          <w:sz w:val="18"/>
        </w:rPr>
        <w:t xml:space="preserve">include all or part of the publication in advertising or a product for sale, or </w:t>
      </w:r>
    </w:p>
    <w:p w14:paraId="57AC89C6" w14:textId="77777777" w:rsidR="00F41119" w:rsidRPr="000F1CCF" w:rsidRDefault="00F41119" w:rsidP="00F41119">
      <w:pPr>
        <w:numPr>
          <w:ilvl w:val="0"/>
          <w:numId w:val="15"/>
        </w:numPr>
        <w:spacing w:line="240" w:lineRule="auto"/>
        <w:ind w:right="720"/>
        <w:rPr>
          <w:rFonts w:ascii="Public Sans" w:hAnsi="Public Sans"/>
          <w:sz w:val="18"/>
        </w:rPr>
      </w:pPr>
      <w:r w:rsidRPr="000F1CCF">
        <w:rPr>
          <w:rFonts w:ascii="Public Sans" w:hAnsi="Public Sans"/>
          <w:sz w:val="18"/>
        </w:rPr>
        <w:t>modify the publication.</w:t>
      </w:r>
    </w:p>
    <w:p w14:paraId="112E678B" w14:textId="77777777" w:rsidR="00F41119" w:rsidRPr="000F1CCF" w:rsidRDefault="00F41119" w:rsidP="00F41119">
      <w:pPr>
        <w:spacing w:after="120"/>
        <w:ind w:right="720"/>
        <w:rPr>
          <w:rFonts w:ascii="Public Sans" w:hAnsi="Public Sans"/>
          <w:b/>
          <w:sz w:val="18"/>
        </w:rPr>
      </w:pPr>
      <w:bookmarkStart w:id="2" w:name="_Toc240773043"/>
      <w:bookmarkStart w:id="3" w:name="_Toc248895359"/>
      <w:bookmarkStart w:id="4" w:name="_Toc269893556"/>
      <w:r w:rsidRPr="000F1CCF">
        <w:rPr>
          <w:rFonts w:ascii="Public Sans" w:hAnsi="Public Sans"/>
          <w:b/>
          <w:sz w:val="18"/>
        </w:rPr>
        <w:t>Disclaimer</w:t>
      </w:r>
      <w:bookmarkEnd w:id="2"/>
      <w:bookmarkEnd w:id="3"/>
      <w:bookmarkEnd w:id="4"/>
    </w:p>
    <w:p w14:paraId="3C470794" w14:textId="77777777" w:rsidR="00F41119" w:rsidRPr="000F1CCF" w:rsidRDefault="00F41119" w:rsidP="00F41119">
      <w:pPr>
        <w:ind w:right="720"/>
        <w:rPr>
          <w:rFonts w:ascii="Public Sans" w:hAnsi="Public Sans"/>
          <w:sz w:val="18"/>
        </w:rPr>
      </w:pPr>
      <w:r w:rsidRPr="000F1CCF">
        <w:rPr>
          <w:rFonts w:ascii="Public Sans" w:hAnsi="Public Sans"/>
          <w:sz w:val="18"/>
        </w:rPr>
        <w:t>While this publication has been formulated with due care, the NSW Law Reform Commission does not warrant or represent that it is free from errors or omission, or that it is exhaustive.</w:t>
      </w:r>
    </w:p>
    <w:p w14:paraId="0BFA8891" w14:textId="77777777" w:rsidR="00F41119" w:rsidRPr="000F1CCF" w:rsidRDefault="00F41119" w:rsidP="00F41119">
      <w:pPr>
        <w:ind w:right="720"/>
        <w:rPr>
          <w:rFonts w:ascii="Public Sans" w:hAnsi="Public Sans"/>
          <w:sz w:val="18"/>
        </w:rPr>
      </w:pPr>
      <w:r w:rsidRPr="000F1CCF">
        <w:rPr>
          <w:rFonts w:ascii="Public Sans" w:hAnsi="Public Sans"/>
          <w:sz w:val="18"/>
        </w:rPr>
        <w:t>This publication deals with the law at the time it was first published and may not necessarily represent the current law.</w:t>
      </w:r>
    </w:p>
    <w:p w14:paraId="2555E750" w14:textId="77777777" w:rsidR="00F41119" w:rsidRPr="000F1CCF" w:rsidRDefault="00F41119" w:rsidP="00F41119">
      <w:pPr>
        <w:ind w:right="720"/>
        <w:rPr>
          <w:rFonts w:ascii="Public Sans" w:hAnsi="Public Sans"/>
          <w:sz w:val="18"/>
        </w:rPr>
      </w:pPr>
      <w:r w:rsidRPr="000F1CCF">
        <w:rPr>
          <w:rFonts w:ascii="Public Sans" w:hAnsi="Public Sans"/>
          <w:sz w:val="18"/>
        </w:rPr>
        <w:t>Readers are responsible for making their own assessment of this publication and should verify all relevant representations, statements and information with their own professional advisers.</w:t>
      </w:r>
    </w:p>
    <w:p w14:paraId="6B97AA39" w14:textId="77777777" w:rsidR="00F41119" w:rsidRPr="000F1CCF" w:rsidRDefault="00F41119" w:rsidP="00F41119">
      <w:pPr>
        <w:spacing w:after="120"/>
        <w:ind w:right="720"/>
        <w:rPr>
          <w:rFonts w:ascii="Public Sans" w:hAnsi="Public Sans"/>
          <w:b/>
          <w:sz w:val="18"/>
        </w:rPr>
      </w:pPr>
      <w:bookmarkStart w:id="5" w:name="_Toc240773044"/>
      <w:bookmarkStart w:id="6" w:name="_Toc248895360"/>
      <w:bookmarkStart w:id="7" w:name="_Toc269893557"/>
      <w:r w:rsidRPr="000F1CCF">
        <w:rPr>
          <w:rFonts w:ascii="Public Sans" w:hAnsi="Public Sans"/>
          <w:b/>
          <w:sz w:val="18"/>
        </w:rPr>
        <w:t>Other publication formats</w:t>
      </w:r>
      <w:bookmarkEnd w:id="5"/>
      <w:bookmarkEnd w:id="6"/>
      <w:bookmarkEnd w:id="7"/>
    </w:p>
    <w:p w14:paraId="346A3575" w14:textId="77777777" w:rsidR="00F41119" w:rsidRPr="000F1CCF" w:rsidRDefault="00F41119" w:rsidP="00F41119">
      <w:pPr>
        <w:ind w:right="720"/>
        <w:rPr>
          <w:rFonts w:ascii="Public Sans" w:hAnsi="Public Sans"/>
          <w:sz w:val="18"/>
        </w:rPr>
      </w:pPr>
      <w:r w:rsidRPr="000F1CCF">
        <w:rPr>
          <w:rFonts w:ascii="Public Sans" w:hAnsi="Public Sans" w:cs="Arial"/>
          <w:sz w:val="18"/>
          <w:szCs w:val="18"/>
          <w:lang w:eastAsia="en-AU"/>
        </w:rPr>
        <w:t xml:space="preserve">The NSW Law Reform Commission is committed to meeting fully its obligations under state and Commonwealth </w:t>
      </w:r>
      <w:r w:rsidRPr="000F1CCF">
        <w:rPr>
          <w:rFonts w:ascii="Public Sans" w:hAnsi="Public Sans"/>
          <w:sz w:val="18"/>
        </w:rPr>
        <w:t xml:space="preserve">anti-discrimination legislation to ensure that people with disability have full and equal access to our services. </w:t>
      </w:r>
    </w:p>
    <w:p w14:paraId="6991A0F1" w14:textId="3642BEA8" w:rsidR="00F41119" w:rsidRPr="000F1CCF" w:rsidRDefault="00F41119" w:rsidP="00F41119">
      <w:pPr>
        <w:ind w:right="720"/>
        <w:rPr>
          <w:rFonts w:ascii="Public Sans" w:hAnsi="Public Sans"/>
          <w:color w:val="000000"/>
          <w:sz w:val="18"/>
        </w:rPr>
      </w:pPr>
      <w:r w:rsidRPr="000F1CCF">
        <w:rPr>
          <w:rFonts w:ascii="Public Sans" w:hAnsi="Public Sans"/>
          <w:sz w:val="18"/>
        </w:rPr>
        <w:t xml:space="preserve">This publication is available in alternative formats. If you require assistance, please contact the </w:t>
      </w:r>
      <w:r w:rsidRPr="000F1CCF">
        <w:rPr>
          <w:rFonts w:ascii="Public Sans" w:hAnsi="Public Sans" w:cs="Arial"/>
          <w:sz w:val="18"/>
          <w:szCs w:val="18"/>
          <w:lang w:eastAsia="en-AU"/>
        </w:rPr>
        <w:t xml:space="preserve">Commission on email </w:t>
      </w:r>
      <w:hyperlink r:id="rId15" w:history="1">
        <w:r w:rsidR="00301362" w:rsidRPr="007338C4">
          <w:rPr>
            <w:rStyle w:val="Hyperlink"/>
            <w:rFonts w:ascii="Public Sans" w:hAnsi="Public Sans" w:cs="Arial"/>
            <w:szCs w:val="18"/>
            <w:lang w:eastAsia="en-AU"/>
          </w:rPr>
          <w:t>nsw-lrc@dcj.nsw.gov.au</w:t>
        </w:r>
      </w:hyperlink>
      <w:r w:rsidRPr="007338C4">
        <w:rPr>
          <w:rFonts w:ascii="Public Sans" w:hAnsi="Public Sans"/>
          <w:color w:val="000000"/>
          <w:sz w:val="18"/>
        </w:rPr>
        <w:t>.</w:t>
      </w:r>
    </w:p>
    <w:p w14:paraId="04D4B509" w14:textId="77777777" w:rsidR="00204FF9" w:rsidRPr="00204FF9" w:rsidRDefault="00204FF9" w:rsidP="00204FF9">
      <w:pPr>
        <w:spacing w:after="120"/>
        <w:ind w:right="720"/>
        <w:rPr>
          <w:rFonts w:ascii="Public Sans" w:hAnsi="Public Sans"/>
          <w:b/>
          <w:sz w:val="18"/>
        </w:rPr>
      </w:pPr>
      <w:bookmarkStart w:id="8" w:name="_Toc240773045"/>
      <w:bookmarkStart w:id="9" w:name="_Toc248895361"/>
      <w:bookmarkStart w:id="10" w:name="_Toc269893558"/>
      <w:r w:rsidRPr="00204FF9">
        <w:rPr>
          <w:rFonts w:ascii="Public Sans" w:hAnsi="Public Sans"/>
          <w:b/>
          <w:sz w:val="18"/>
        </w:rPr>
        <w:t>Acknowledgement of Country</w:t>
      </w:r>
    </w:p>
    <w:p w14:paraId="6F31CE31" w14:textId="77777777" w:rsidR="00204FF9" w:rsidRPr="00204FF9" w:rsidRDefault="00204FF9" w:rsidP="00204FF9">
      <w:pPr>
        <w:ind w:right="720"/>
        <w:rPr>
          <w:rFonts w:ascii="Public Sans" w:hAnsi="Public Sans"/>
          <w:sz w:val="18"/>
        </w:rPr>
      </w:pPr>
      <w:r w:rsidRPr="00204FF9">
        <w:rPr>
          <w:rFonts w:ascii="Public Sans" w:hAnsi="Public Sans"/>
          <w:sz w:val="18"/>
        </w:rPr>
        <w:t xml:space="preserve">The NSW Law Reform Commission acknowledges the Traditional Custodians of the lands where we work and live. We celebrate the diversity of Aboriginal peoples and their ongoing cultures and connections to the lands and waters of NSW. </w:t>
      </w:r>
    </w:p>
    <w:p w14:paraId="53219638" w14:textId="56B37B40" w:rsidR="00204FF9" w:rsidRPr="00204FF9" w:rsidRDefault="00204FF9" w:rsidP="00204FF9">
      <w:pPr>
        <w:ind w:right="720"/>
        <w:rPr>
          <w:rFonts w:ascii="Public Sans" w:hAnsi="Public Sans"/>
          <w:sz w:val="18"/>
        </w:rPr>
      </w:pPr>
      <w:r w:rsidRPr="00204FF9">
        <w:rPr>
          <w:rFonts w:ascii="Public Sans" w:hAnsi="Public Sans"/>
          <w:sz w:val="18"/>
        </w:rPr>
        <w:t>We pay our respects to Elders past, present and emerging and acknowledge the Aboriginal and Torres Strait Islander people that have contributed to this review</w:t>
      </w:r>
      <w:r>
        <w:rPr>
          <w:rFonts w:ascii="Public Sans" w:hAnsi="Public Sans"/>
          <w:sz w:val="18"/>
        </w:rPr>
        <w:t>.</w:t>
      </w:r>
    </w:p>
    <w:p w14:paraId="12D83CC8" w14:textId="0B54E6A9" w:rsidR="00F41119" w:rsidRPr="000F1CCF" w:rsidRDefault="00F41119" w:rsidP="00F41119">
      <w:pPr>
        <w:ind w:right="720"/>
        <w:rPr>
          <w:rFonts w:ascii="Public Sans" w:hAnsi="Public Sans"/>
          <w:b/>
          <w:sz w:val="18"/>
        </w:rPr>
      </w:pPr>
      <w:r w:rsidRPr="000F1CCF">
        <w:rPr>
          <w:rFonts w:ascii="Public Sans" w:hAnsi="Public Sans"/>
          <w:b/>
          <w:sz w:val="18"/>
        </w:rPr>
        <w:t>Contact details</w:t>
      </w:r>
    </w:p>
    <w:p w14:paraId="0CA08878" w14:textId="77777777" w:rsidR="00F41119" w:rsidRPr="000F1CCF" w:rsidRDefault="00F41119" w:rsidP="00F41119">
      <w:pPr>
        <w:ind w:right="720"/>
        <w:rPr>
          <w:rFonts w:ascii="Public Sans" w:hAnsi="Public Sans"/>
          <w:sz w:val="18"/>
        </w:rPr>
      </w:pPr>
      <w:r w:rsidRPr="000F1CCF">
        <w:rPr>
          <w:rFonts w:ascii="Public Sans" w:hAnsi="Public Sans"/>
          <w:sz w:val="18"/>
        </w:rPr>
        <w:t>NSW Law Reform Commission</w:t>
      </w:r>
      <w:r w:rsidRPr="000F1CCF">
        <w:rPr>
          <w:rFonts w:ascii="Public Sans" w:hAnsi="Public Sans"/>
          <w:sz w:val="18"/>
        </w:rPr>
        <w:tab/>
      </w:r>
      <w:r w:rsidRPr="000F1CCF">
        <w:rPr>
          <w:rFonts w:ascii="Public Sans" w:hAnsi="Public Sans"/>
          <w:sz w:val="18"/>
        </w:rPr>
        <w:br/>
        <w:t>Locked Bag 5000</w:t>
      </w:r>
      <w:r w:rsidRPr="000F1CCF">
        <w:rPr>
          <w:rFonts w:ascii="Public Sans" w:hAnsi="Public Sans"/>
          <w:sz w:val="18"/>
        </w:rPr>
        <w:tab/>
      </w:r>
      <w:r w:rsidRPr="000F1CCF">
        <w:rPr>
          <w:rFonts w:ascii="Public Sans" w:hAnsi="Public Sans"/>
          <w:sz w:val="18"/>
        </w:rPr>
        <w:br/>
        <w:t>Parramatta NSW 2124 Australia</w:t>
      </w:r>
    </w:p>
    <w:p w14:paraId="05A025D6" w14:textId="27B5B7CA" w:rsidR="00F41119" w:rsidRPr="000F1CCF" w:rsidRDefault="00F41119" w:rsidP="00F41119">
      <w:pPr>
        <w:ind w:right="720"/>
        <w:rPr>
          <w:rFonts w:ascii="Public Sans" w:hAnsi="Public Sans"/>
          <w:sz w:val="18"/>
        </w:rPr>
      </w:pPr>
      <w:r w:rsidRPr="000F1CCF">
        <w:rPr>
          <w:rFonts w:ascii="Public Sans" w:hAnsi="Public Sans"/>
          <w:sz w:val="18"/>
        </w:rPr>
        <w:t>Email</w:t>
      </w:r>
      <w:r w:rsidR="007338C4" w:rsidRPr="007338C4">
        <w:rPr>
          <w:rFonts w:ascii="Public Sans" w:hAnsi="Public Sans"/>
          <w:sz w:val="18"/>
        </w:rPr>
        <w:t xml:space="preserve">: </w:t>
      </w:r>
      <w:hyperlink r:id="rId16" w:history="1">
        <w:r w:rsidR="00301362" w:rsidRPr="007338C4">
          <w:rPr>
            <w:rStyle w:val="Hyperlink"/>
            <w:rFonts w:ascii="Public Sans" w:hAnsi="Public Sans"/>
          </w:rPr>
          <w:t>nsw-lrc@dcj.nsw.gov.au</w:t>
        </w:r>
      </w:hyperlink>
      <w:r w:rsidR="00301362" w:rsidRPr="007338C4">
        <w:rPr>
          <w:rFonts w:ascii="Public Sans" w:hAnsi="Public Sans"/>
          <w:sz w:val="18"/>
        </w:rPr>
        <w:t>.</w:t>
      </w:r>
      <w:r w:rsidR="00301362">
        <w:rPr>
          <w:rFonts w:ascii="Public Sans" w:hAnsi="Public Sans"/>
          <w:sz w:val="18"/>
        </w:rPr>
        <w:t xml:space="preserve"> </w:t>
      </w:r>
    </w:p>
    <w:p w14:paraId="6BD825BB" w14:textId="416075FC" w:rsidR="00F41119" w:rsidRPr="000F1CCF" w:rsidRDefault="00F41119" w:rsidP="00F41119">
      <w:pPr>
        <w:ind w:right="720"/>
        <w:rPr>
          <w:rFonts w:ascii="Public Sans" w:hAnsi="Public Sans"/>
          <w:sz w:val="18"/>
        </w:rPr>
      </w:pPr>
      <w:r w:rsidRPr="000F1CCF">
        <w:rPr>
          <w:rFonts w:ascii="Public Sans" w:hAnsi="Public Sans"/>
          <w:sz w:val="18"/>
        </w:rPr>
        <w:t xml:space="preserve">Website: </w:t>
      </w:r>
      <w:hyperlink r:id="rId17" w:history="1">
        <w:r w:rsidRPr="00301362">
          <w:rPr>
            <w:rStyle w:val="Hyperlink"/>
            <w:rFonts w:ascii="Public Sans" w:hAnsi="Public Sans"/>
          </w:rPr>
          <w:t>www.lawreform.nsw.gov.au</w:t>
        </w:r>
      </w:hyperlink>
    </w:p>
    <w:p w14:paraId="5E2C7077" w14:textId="77777777" w:rsidR="00F41119" w:rsidRPr="000F1CCF" w:rsidRDefault="00F41119" w:rsidP="00F41119">
      <w:pPr>
        <w:spacing w:after="120"/>
        <w:ind w:right="720"/>
        <w:rPr>
          <w:rFonts w:ascii="Public Sans" w:hAnsi="Public Sans"/>
          <w:b/>
          <w:sz w:val="18"/>
        </w:rPr>
      </w:pPr>
      <w:r w:rsidRPr="000F1CCF">
        <w:rPr>
          <w:rFonts w:ascii="Public Sans" w:hAnsi="Public Sans"/>
          <w:b/>
          <w:sz w:val="18"/>
        </w:rPr>
        <w:t>Cataloguing-in-publication</w:t>
      </w:r>
      <w:bookmarkEnd w:id="8"/>
      <w:bookmarkEnd w:id="9"/>
      <w:bookmarkEnd w:id="10"/>
    </w:p>
    <w:p w14:paraId="69E3770B" w14:textId="77777777" w:rsidR="00F41119" w:rsidRPr="000F1CCF" w:rsidRDefault="00F41119" w:rsidP="00F41119">
      <w:pPr>
        <w:ind w:right="720"/>
        <w:rPr>
          <w:rFonts w:ascii="Public Sans" w:hAnsi="Public Sans"/>
          <w:sz w:val="18"/>
        </w:rPr>
      </w:pPr>
      <w:r w:rsidRPr="000F1CCF">
        <w:rPr>
          <w:rFonts w:ascii="Public Sans" w:hAnsi="Public Sans"/>
          <w:sz w:val="18"/>
        </w:rPr>
        <w:t xml:space="preserve">Cataloguing-in-publication data is available from the National Library of Australia. </w:t>
      </w:r>
    </w:p>
    <w:p w14:paraId="66E1495E" w14:textId="77777777" w:rsidR="00166BE4" w:rsidRDefault="00F41119" w:rsidP="00F41119">
      <w:pPr>
        <w:ind w:right="720"/>
        <w:rPr>
          <w:rFonts w:ascii="Public Sans" w:hAnsi="Public Sans"/>
          <w:sz w:val="18"/>
        </w:rPr>
        <w:sectPr w:rsidR="00166BE4" w:rsidSect="00540448">
          <w:footerReference w:type="even" r:id="rId18"/>
          <w:footerReference w:type="first" r:id="rId19"/>
          <w:footnotePr>
            <w:numRestart w:val="eachSect"/>
          </w:footnotePr>
          <w:pgSz w:w="11906" w:h="16838" w:code="9"/>
          <w:pgMar w:top="1701" w:right="1304" w:bottom="1021" w:left="1304" w:header="567" w:footer="567" w:gutter="0"/>
          <w:pgNumType w:fmt="lowerRoman" w:start="1"/>
          <w:cols w:space="708"/>
          <w:titlePg/>
          <w:docGrid w:linePitch="360"/>
        </w:sectPr>
      </w:pPr>
      <w:r w:rsidRPr="000F1CCF">
        <w:rPr>
          <w:rFonts w:ascii="Public Sans" w:hAnsi="Public Sans"/>
          <w:sz w:val="18"/>
        </w:rPr>
        <w:t xml:space="preserve">ISBN </w:t>
      </w:r>
      <w:r w:rsidR="00542893" w:rsidRPr="00542893">
        <w:rPr>
          <w:rFonts w:ascii="Public Sans" w:hAnsi="Public Sans"/>
          <w:sz w:val="18"/>
        </w:rPr>
        <w:t>978-1-922254-70-2</w:t>
      </w:r>
      <w:r w:rsidR="00542893" w:rsidRPr="00542893" w:rsidDel="00542893">
        <w:rPr>
          <w:rFonts w:ascii="Public Sans" w:hAnsi="Public Sans"/>
          <w:sz w:val="18"/>
        </w:rPr>
        <w:t xml:space="preserve"> </w:t>
      </w:r>
    </w:p>
    <w:p w14:paraId="5D1E67D6" w14:textId="4C9F12FE" w:rsidR="00F41119" w:rsidRPr="00697647" w:rsidRDefault="00301362" w:rsidP="00903673">
      <w:pPr>
        <w:pStyle w:val="HeadingTOC"/>
        <w:ind w:left="0" w:firstLine="0"/>
        <w:rPr>
          <w:color w:val="002664"/>
        </w:rPr>
      </w:pPr>
      <w:r w:rsidRPr="00697647">
        <w:rPr>
          <w:color w:val="002664"/>
        </w:rPr>
        <w:lastRenderedPageBreak/>
        <w:t>Table of contents</w:t>
      </w:r>
    </w:p>
    <w:p w14:paraId="46FD86A3" w14:textId="3EA6664B" w:rsidR="005D6C72" w:rsidRPr="00473311" w:rsidRDefault="00301362">
      <w:pPr>
        <w:pStyle w:val="TOC2"/>
        <w:rPr>
          <w:rFonts w:eastAsiaTheme="minorEastAsia" w:cstheme="minorBidi"/>
          <w:b w:val="0"/>
          <w:color w:val="auto"/>
          <w:kern w:val="2"/>
          <w:sz w:val="24"/>
          <w:u w:val="none"/>
          <w:lang w:eastAsia="en-AU"/>
          <w14:ligatures w14:val="standardContextual"/>
        </w:rPr>
      </w:pPr>
      <w:r>
        <w:fldChar w:fldCharType="begin"/>
      </w:r>
      <w:r>
        <w:instrText xml:space="preserve"> TOC \h \z \t "Heading 1,2,Heading 2,3,Chapter Heading,1,Appendix Heading,1,Heading default,1,Title page 1,1" </w:instrText>
      </w:r>
      <w:r>
        <w:fldChar w:fldCharType="separate"/>
      </w:r>
      <w:hyperlink w:anchor="_Toc196826779" w:history="1">
        <w:r w:rsidR="005D6C72" w:rsidRPr="00473311">
          <w:rPr>
            <w:rStyle w:val="Hyperlink"/>
            <w:rFonts w:ascii="Public Sans" w:hAnsi="Public Sans"/>
          </w:rPr>
          <w:t>Participants</w:t>
        </w:r>
        <w:r w:rsidR="005D6C72" w:rsidRPr="00473311">
          <w:rPr>
            <w:webHidden/>
          </w:rPr>
          <w:tab/>
        </w:r>
        <w:r w:rsidR="005D6C72" w:rsidRPr="00473311">
          <w:rPr>
            <w:webHidden/>
          </w:rPr>
          <w:fldChar w:fldCharType="begin"/>
        </w:r>
        <w:r w:rsidR="005D6C72" w:rsidRPr="00473311">
          <w:rPr>
            <w:webHidden/>
          </w:rPr>
          <w:instrText xml:space="preserve"> PAGEREF _Toc196826779 \h </w:instrText>
        </w:r>
        <w:r w:rsidR="005D6C72" w:rsidRPr="00473311">
          <w:rPr>
            <w:webHidden/>
          </w:rPr>
        </w:r>
        <w:r w:rsidR="005D6C72" w:rsidRPr="00473311">
          <w:rPr>
            <w:webHidden/>
          </w:rPr>
          <w:fldChar w:fldCharType="separate"/>
        </w:r>
        <w:r w:rsidR="00F44BFC">
          <w:rPr>
            <w:webHidden/>
          </w:rPr>
          <w:t>viii</w:t>
        </w:r>
        <w:r w:rsidR="005D6C72" w:rsidRPr="00473311">
          <w:rPr>
            <w:webHidden/>
          </w:rPr>
          <w:fldChar w:fldCharType="end"/>
        </w:r>
      </w:hyperlink>
    </w:p>
    <w:p w14:paraId="0722FC53" w14:textId="05EE5AFA"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780" w:history="1">
        <w:r w:rsidRPr="00473311">
          <w:rPr>
            <w:rStyle w:val="Hyperlink"/>
            <w:rFonts w:ascii="Public Sans" w:hAnsi="Public Sans"/>
          </w:rPr>
          <w:t>Terms of reference</w:t>
        </w:r>
        <w:r w:rsidRPr="00473311">
          <w:rPr>
            <w:webHidden/>
          </w:rPr>
          <w:tab/>
        </w:r>
        <w:r w:rsidRPr="00473311">
          <w:rPr>
            <w:webHidden/>
          </w:rPr>
          <w:fldChar w:fldCharType="begin"/>
        </w:r>
        <w:r w:rsidRPr="00473311">
          <w:rPr>
            <w:webHidden/>
          </w:rPr>
          <w:instrText xml:space="preserve"> PAGEREF _Toc196826780 \h </w:instrText>
        </w:r>
        <w:r w:rsidRPr="00473311">
          <w:rPr>
            <w:webHidden/>
          </w:rPr>
        </w:r>
        <w:r w:rsidRPr="00473311">
          <w:rPr>
            <w:webHidden/>
          </w:rPr>
          <w:fldChar w:fldCharType="separate"/>
        </w:r>
        <w:r w:rsidR="00F44BFC">
          <w:rPr>
            <w:webHidden/>
          </w:rPr>
          <w:t>ix</w:t>
        </w:r>
        <w:r w:rsidRPr="00473311">
          <w:rPr>
            <w:webHidden/>
          </w:rPr>
          <w:fldChar w:fldCharType="end"/>
        </w:r>
      </w:hyperlink>
    </w:p>
    <w:p w14:paraId="6436BF36" w14:textId="35DEF8E0"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781" w:history="1">
        <w:r w:rsidRPr="00473311">
          <w:rPr>
            <w:rStyle w:val="Hyperlink"/>
            <w:rFonts w:ascii="Public Sans" w:hAnsi="Public Sans"/>
          </w:rPr>
          <w:t>Questions</w:t>
        </w:r>
        <w:r w:rsidRPr="00473311">
          <w:rPr>
            <w:webHidden/>
          </w:rPr>
          <w:tab/>
        </w:r>
        <w:r w:rsidRPr="00473311">
          <w:rPr>
            <w:webHidden/>
          </w:rPr>
          <w:fldChar w:fldCharType="begin"/>
        </w:r>
        <w:r w:rsidRPr="00473311">
          <w:rPr>
            <w:webHidden/>
          </w:rPr>
          <w:instrText xml:space="preserve"> PAGEREF _Toc196826781 \h </w:instrText>
        </w:r>
        <w:r w:rsidRPr="00473311">
          <w:rPr>
            <w:webHidden/>
          </w:rPr>
        </w:r>
        <w:r w:rsidRPr="00473311">
          <w:rPr>
            <w:webHidden/>
          </w:rPr>
          <w:fldChar w:fldCharType="separate"/>
        </w:r>
        <w:r w:rsidR="00F44BFC">
          <w:rPr>
            <w:webHidden/>
          </w:rPr>
          <w:t>x</w:t>
        </w:r>
        <w:r w:rsidRPr="00473311">
          <w:rPr>
            <w:webHidden/>
          </w:rPr>
          <w:fldChar w:fldCharType="end"/>
        </w:r>
      </w:hyperlink>
    </w:p>
    <w:p w14:paraId="10B8FF00" w14:textId="50054644" w:rsidR="005D6C72" w:rsidRPr="00473311" w:rsidRDefault="005D6C72">
      <w:pPr>
        <w:pStyle w:val="TOC1"/>
        <w:rPr>
          <w:rFonts w:eastAsiaTheme="minorEastAsia" w:cstheme="minorBidi"/>
          <w:b w:val="0"/>
          <w:color w:val="auto"/>
          <w:kern w:val="2"/>
          <w:sz w:val="24"/>
          <w:u w:val="none"/>
          <w:lang w:eastAsia="en-AU"/>
          <w14:ligatures w14:val="standardContextual"/>
        </w:rPr>
      </w:pPr>
      <w:hyperlink w:anchor="_Toc196826791" w:history="1">
        <w:r w:rsidRPr="00473311">
          <w:rPr>
            <w:rStyle w:val="Hyperlink"/>
            <w:rFonts w:ascii="Public Sans" w:hAnsi="Public Sans"/>
          </w:rPr>
          <w:t>1.</w:t>
        </w:r>
        <w:r w:rsidRPr="00473311">
          <w:rPr>
            <w:rFonts w:eastAsiaTheme="minorEastAsia" w:cstheme="minorBidi"/>
            <w:b w:val="0"/>
            <w:color w:val="auto"/>
            <w:kern w:val="2"/>
            <w:sz w:val="24"/>
            <w:u w:val="none"/>
            <w:lang w:eastAsia="en-AU"/>
            <w14:ligatures w14:val="standardContextual"/>
          </w:rPr>
          <w:tab/>
        </w:r>
        <w:r w:rsidRPr="00473311">
          <w:rPr>
            <w:rStyle w:val="Hyperlink"/>
            <w:rFonts w:ascii="Public Sans" w:hAnsi="Public Sans"/>
          </w:rPr>
          <w:t>Introduction</w:t>
        </w:r>
        <w:r w:rsidRPr="00473311">
          <w:rPr>
            <w:webHidden/>
          </w:rPr>
          <w:tab/>
        </w:r>
        <w:r w:rsidRPr="00473311">
          <w:rPr>
            <w:webHidden/>
          </w:rPr>
          <w:fldChar w:fldCharType="begin"/>
        </w:r>
        <w:r w:rsidRPr="00473311">
          <w:rPr>
            <w:webHidden/>
          </w:rPr>
          <w:instrText xml:space="preserve"> PAGEREF _Toc196826791 \h </w:instrText>
        </w:r>
        <w:r w:rsidRPr="00473311">
          <w:rPr>
            <w:webHidden/>
          </w:rPr>
        </w:r>
        <w:r w:rsidRPr="00473311">
          <w:rPr>
            <w:webHidden/>
          </w:rPr>
          <w:fldChar w:fldCharType="separate"/>
        </w:r>
        <w:r w:rsidR="00F44BFC">
          <w:rPr>
            <w:webHidden/>
          </w:rPr>
          <w:t>1</w:t>
        </w:r>
        <w:r w:rsidRPr="00473311">
          <w:rPr>
            <w:webHidden/>
          </w:rPr>
          <w:fldChar w:fldCharType="end"/>
        </w:r>
      </w:hyperlink>
    </w:p>
    <w:p w14:paraId="241B58A7" w14:textId="4EE2B448"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792" w:history="1">
        <w:r w:rsidRPr="00473311">
          <w:rPr>
            <w:rStyle w:val="Hyperlink"/>
            <w:rFonts w:ascii="Public Sans" w:hAnsi="Public Sans"/>
          </w:rPr>
          <w:t>Background to this review</w:t>
        </w:r>
        <w:r w:rsidRPr="00473311">
          <w:rPr>
            <w:webHidden/>
          </w:rPr>
          <w:tab/>
        </w:r>
        <w:r w:rsidRPr="00473311">
          <w:rPr>
            <w:webHidden/>
          </w:rPr>
          <w:fldChar w:fldCharType="begin"/>
        </w:r>
        <w:r w:rsidRPr="00473311">
          <w:rPr>
            <w:webHidden/>
          </w:rPr>
          <w:instrText xml:space="preserve"> PAGEREF _Toc196826792 \h </w:instrText>
        </w:r>
        <w:r w:rsidRPr="00473311">
          <w:rPr>
            <w:webHidden/>
          </w:rPr>
        </w:r>
        <w:r w:rsidRPr="00473311">
          <w:rPr>
            <w:webHidden/>
          </w:rPr>
          <w:fldChar w:fldCharType="separate"/>
        </w:r>
        <w:r w:rsidR="00F44BFC">
          <w:rPr>
            <w:webHidden/>
          </w:rPr>
          <w:t>2</w:t>
        </w:r>
        <w:r w:rsidRPr="00473311">
          <w:rPr>
            <w:webHidden/>
          </w:rPr>
          <w:fldChar w:fldCharType="end"/>
        </w:r>
      </w:hyperlink>
    </w:p>
    <w:p w14:paraId="4824B43E" w14:textId="11EF7B84"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793" w:history="1">
        <w:r w:rsidRPr="00473311">
          <w:rPr>
            <w:rStyle w:val="Hyperlink"/>
            <w:rFonts w:ascii="Public Sans" w:hAnsi="Public Sans"/>
          </w:rPr>
          <w:t>Our process so far</w:t>
        </w:r>
        <w:r w:rsidRPr="00473311">
          <w:rPr>
            <w:webHidden/>
          </w:rPr>
          <w:tab/>
        </w:r>
        <w:r w:rsidRPr="00473311">
          <w:rPr>
            <w:webHidden/>
          </w:rPr>
          <w:fldChar w:fldCharType="begin"/>
        </w:r>
        <w:r w:rsidRPr="00473311">
          <w:rPr>
            <w:webHidden/>
          </w:rPr>
          <w:instrText xml:space="preserve"> PAGEREF _Toc196826793 \h </w:instrText>
        </w:r>
        <w:r w:rsidRPr="00473311">
          <w:rPr>
            <w:webHidden/>
          </w:rPr>
        </w:r>
        <w:r w:rsidRPr="00473311">
          <w:rPr>
            <w:webHidden/>
          </w:rPr>
          <w:fldChar w:fldCharType="separate"/>
        </w:r>
        <w:r w:rsidR="00F44BFC">
          <w:rPr>
            <w:webHidden/>
          </w:rPr>
          <w:t>3</w:t>
        </w:r>
        <w:r w:rsidRPr="00473311">
          <w:rPr>
            <w:webHidden/>
          </w:rPr>
          <w:fldChar w:fldCharType="end"/>
        </w:r>
      </w:hyperlink>
    </w:p>
    <w:p w14:paraId="4323837E" w14:textId="714A40E3"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794" w:history="1">
        <w:r w:rsidRPr="00473311">
          <w:rPr>
            <w:rStyle w:val="Hyperlink"/>
            <w:rFonts w:ascii="Public Sans" w:hAnsi="Public Sans"/>
          </w:rPr>
          <w:t>About this consultation paper</w:t>
        </w:r>
        <w:r w:rsidRPr="00473311">
          <w:rPr>
            <w:webHidden/>
          </w:rPr>
          <w:tab/>
        </w:r>
        <w:r w:rsidRPr="00473311">
          <w:rPr>
            <w:webHidden/>
          </w:rPr>
          <w:fldChar w:fldCharType="begin"/>
        </w:r>
        <w:r w:rsidRPr="00473311">
          <w:rPr>
            <w:webHidden/>
          </w:rPr>
          <w:instrText xml:space="preserve"> PAGEREF _Toc196826794 \h </w:instrText>
        </w:r>
        <w:r w:rsidRPr="00473311">
          <w:rPr>
            <w:webHidden/>
          </w:rPr>
        </w:r>
        <w:r w:rsidRPr="00473311">
          <w:rPr>
            <w:webHidden/>
          </w:rPr>
          <w:fldChar w:fldCharType="separate"/>
        </w:r>
        <w:r w:rsidR="00F44BFC">
          <w:rPr>
            <w:webHidden/>
          </w:rPr>
          <w:t>4</w:t>
        </w:r>
        <w:r w:rsidRPr="00473311">
          <w:rPr>
            <w:webHidden/>
          </w:rPr>
          <w:fldChar w:fldCharType="end"/>
        </w:r>
      </w:hyperlink>
    </w:p>
    <w:p w14:paraId="447851DD" w14:textId="78E3B6F0"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795" w:history="1">
        <w:r w:rsidRPr="00473311">
          <w:rPr>
            <w:rStyle w:val="Hyperlink"/>
            <w:rFonts w:ascii="Public Sans" w:hAnsi="Public Sans"/>
          </w:rPr>
          <w:t>Chapter overview</w:t>
        </w:r>
        <w:r w:rsidRPr="00473311">
          <w:rPr>
            <w:webHidden/>
          </w:rPr>
          <w:tab/>
        </w:r>
        <w:r w:rsidRPr="00473311">
          <w:rPr>
            <w:webHidden/>
          </w:rPr>
          <w:fldChar w:fldCharType="begin"/>
        </w:r>
        <w:r w:rsidRPr="00473311">
          <w:rPr>
            <w:webHidden/>
          </w:rPr>
          <w:instrText xml:space="preserve"> PAGEREF _Toc196826795 \h </w:instrText>
        </w:r>
        <w:r w:rsidRPr="00473311">
          <w:rPr>
            <w:webHidden/>
          </w:rPr>
        </w:r>
        <w:r w:rsidRPr="00473311">
          <w:rPr>
            <w:webHidden/>
          </w:rPr>
          <w:fldChar w:fldCharType="separate"/>
        </w:r>
        <w:r w:rsidR="00F44BFC">
          <w:rPr>
            <w:webHidden/>
          </w:rPr>
          <w:t>5</w:t>
        </w:r>
        <w:r w:rsidRPr="00473311">
          <w:rPr>
            <w:webHidden/>
          </w:rPr>
          <w:fldChar w:fldCharType="end"/>
        </w:r>
      </w:hyperlink>
    </w:p>
    <w:p w14:paraId="56E96400" w14:textId="0EFA3A38"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796" w:history="1">
        <w:r w:rsidRPr="00473311">
          <w:rPr>
            <w:rStyle w:val="Hyperlink"/>
            <w:rFonts w:ascii="Public Sans" w:hAnsi="Public Sans"/>
          </w:rPr>
          <w:t>Accessible alternatives</w:t>
        </w:r>
        <w:r w:rsidRPr="00473311">
          <w:rPr>
            <w:webHidden/>
          </w:rPr>
          <w:tab/>
        </w:r>
        <w:r w:rsidRPr="00473311">
          <w:rPr>
            <w:webHidden/>
          </w:rPr>
          <w:fldChar w:fldCharType="begin"/>
        </w:r>
        <w:r w:rsidRPr="00473311">
          <w:rPr>
            <w:webHidden/>
          </w:rPr>
          <w:instrText xml:space="preserve"> PAGEREF _Toc196826796 \h </w:instrText>
        </w:r>
        <w:r w:rsidRPr="00473311">
          <w:rPr>
            <w:webHidden/>
          </w:rPr>
        </w:r>
        <w:r w:rsidRPr="00473311">
          <w:rPr>
            <w:webHidden/>
          </w:rPr>
          <w:fldChar w:fldCharType="separate"/>
        </w:r>
        <w:r w:rsidR="00F44BFC">
          <w:rPr>
            <w:webHidden/>
          </w:rPr>
          <w:t>5</w:t>
        </w:r>
        <w:r w:rsidRPr="00473311">
          <w:rPr>
            <w:webHidden/>
          </w:rPr>
          <w:fldChar w:fldCharType="end"/>
        </w:r>
      </w:hyperlink>
    </w:p>
    <w:p w14:paraId="52AE303C" w14:textId="593E46D0"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797" w:history="1">
        <w:r w:rsidRPr="00473311">
          <w:rPr>
            <w:rStyle w:val="Hyperlink"/>
            <w:rFonts w:ascii="Public Sans" w:hAnsi="Public Sans"/>
          </w:rPr>
          <w:t>How to have your say</w:t>
        </w:r>
        <w:r w:rsidRPr="00473311">
          <w:rPr>
            <w:webHidden/>
          </w:rPr>
          <w:tab/>
        </w:r>
        <w:r w:rsidRPr="00473311">
          <w:rPr>
            <w:webHidden/>
          </w:rPr>
          <w:fldChar w:fldCharType="begin"/>
        </w:r>
        <w:r w:rsidRPr="00473311">
          <w:rPr>
            <w:webHidden/>
          </w:rPr>
          <w:instrText xml:space="preserve"> PAGEREF _Toc196826797 \h </w:instrText>
        </w:r>
        <w:r w:rsidRPr="00473311">
          <w:rPr>
            <w:webHidden/>
          </w:rPr>
        </w:r>
        <w:r w:rsidRPr="00473311">
          <w:rPr>
            <w:webHidden/>
          </w:rPr>
          <w:fldChar w:fldCharType="separate"/>
        </w:r>
        <w:r w:rsidR="00F44BFC">
          <w:rPr>
            <w:webHidden/>
          </w:rPr>
          <w:t>6</w:t>
        </w:r>
        <w:r w:rsidRPr="00473311">
          <w:rPr>
            <w:webHidden/>
          </w:rPr>
          <w:fldChar w:fldCharType="end"/>
        </w:r>
      </w:hyperlink>
    </w:p>
    <w:p w14:paraId="7F7D5EA3" w14:textId="49AFD97A"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798" w:history="1">
        <w:r w:rsidRPr="00473311">
          <w:rPr>
            <w:rStyle w:val="Hyperlink"/>
            <w:rFonts w:ascii="Public Sans" w:hAnsi="Public Sans"/>
          </w:rPr>
          <w:t>What to include in a submission</w:t>
        </w:r>
        <w:r w:rsidRPr="00473311">
          <w:rPr>
            <w:webHidden/>
          </w:rPr>
          <w:tab/>
        </w:r>
        <w:r w:rsidRPr="00473311">
          <w:rPr>
            <w:webHidden/>
          </w:rPr>
          <w:fldChar w:fldCharType="begin"/>
        </w:r>
        <w:r w:rsidRPr="00473311">
          <w:rPr>
            <w:webHidden/>
          </w:rPr>
          <w:instrText xml:space="preserve"> PAGEREF _Toc196826798 \h </w:instrText>
        </w:r>
        <w:r w:rsidRPr="00473311">
          <w:rPr>
            <w:webHidden/>
          </w:rPr>
        </w:r>
        <w:r w:rsidRPr="00473311">
          <w:rPr>
            <w:webHidden/>
          </w:rPr>
          <w:fldChar w:fldCharType="separate"/>
        </w:r>
        <w:r w:rsidR="00F44BFC">
          <w:rPr>
            <w:webHidden/>
          </w:rPr>
          <w:t>6</w:t>
        </w:r>
        <w:r w:rsidRPr="00473311">
          <w:rPr>
            <w:webHidden/>
          </w:rPr>
          <w:fldChar w:fldCharType="end"/>
        </w:r>
      </w:hyperlink>
    </w:p>
    <w:p w14:paraId="07A48230" w14:textId="28D75B87"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799" w:history="1">
        <w:r w:rsidRPr="00473311">
          <w:rPr>
            <w:rStyle w:val="Hyperlink"/>
            <w:rFonts w:ascii="Public Sans" w:hAnsi="Public Sans"/>
          </w:rPr>
          <w:t>You can email your submission to us</w:t>
        </w:r>
        <w:r w:rsidRPr="00473311">
          <w:rPr>
            <w:webHidden/>
          </w:rPr>
          <w:tab/>
        </w:r>
        <w:r w:rsidRPr="00473311">
          <w:rPr>
            <w:webHidden/>
          </w:rPr>
          <w:fldChar w:fldCharType="begin"/>
        </w:r>
        <w:r w:rsidRPr="00473311">
          <w:rPr>
            <w:webHidden/>
          </w:rPr>
          <w:instrText xml:space="preserve"> PAGEREF _Toc196826799 \h </w:instrText>
        </w:r>
        <w:r w:rsidRPr="00473311">
          <w:rPr>
            <w:webHidden/>
          </w:rPr>
        </w:r>
        <w:r w:rsidRPr="00473311">
          <w:rPr>
            <w:webHidden/>
          </w:rPr>
          <w:fldChar w:fldCharType="separate"/>
        </w:r>
        <w:r w:rsidR="00F44BFC">
          <w:rPr>
            <w:webHidden/>
          </w:rPr>
          <w:t>6</w:t>
        </w:r>
        <w:r w:rsidRPr="00473311">
          <w:rPr>
            <w:webHidden/>
          </w:rPr>
          <w:fldChar w:fldCharType="end"/>
        </w:r>
      </w:hyperlink>
    </w:p>
    <w:p w14:paraId="4D231F5D" w14:textId="4F31D7A8"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00" w:history="1">
        <w:r w:rsidRPr="00473311">
          <w:rPr>
            <w:rStyle w:val="Hyperlink"/>
            <w:rFonts w:ascii="Public Sans" w:hAnsi="Public Sans"/>
          </w:rPr>
          <w:t>You can complete our community survey</w:t>
        </w:r>
        <w:r w:rsidRPr="00473311">
          <w:rPr>
            <w:webHidden/>
          </w:rPr>
          <w:tab/>
        </w:r>
        <w:r w:rsidRPr="00473311">
          <w:rPr>
            <w:webHidden/>
          </w:rPr>
          <w:fldChar w:fldCharType="begin"/>
        </w:r>
        <w:r w:rsidRPr="00473311">
          <w:rPr>
            <w:webHidden/>
          </w:rPr>
          <w:instrText xml:space="preserve"> PAGEREF _Toc196826800 \h </w:instrText>
        </w:r>
        <w:r w:rsidRPr="00473311">
          <w:rPr>
            <w:webHidden/>
          </w:rPr>
        </w:r>
        <w:r w:rsidRPr="00473311">
          <w:rPr>
            <w:webHidden/>
          </w:rPr>
          <w:fldChar w:fldCharType="separate"/>
        </w:r>
        <w:r w:rsidR="00F44BFC">
          <w:rPr>
            <w:webHidden/>
          </w:rPr>
          <w:t>7</w:t>
        </w:r>
        <w:r w:rsidRPr="00473311">
          <w:rPr>
            <w:webHidden/>
          </w:rPr>
          <w:fldChar w:fldCharType="end"/>
        </w:r>
      </w:hyperlink>
    </w:p>
    <w:p w14:paraId="577707E7" w14:textId="0329125F"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01" w:history="1">
        <w:r w:rsidRPr="00473311">
          <w:rPr>
            <w:rStyle w:val="Hyperlink"/>
            <w:rFonts w:ascii="Public Sans" w:hAnsi="Public Sans"/>
          </w:rPr>
          <w:t>Next steps</w:t>
        </w:r>
        <w:r w:rsidRPr="00473311">
          <w:rPr>
            <w:webHidden/>
          </w:rPr>
          <w:tab/>
        </w:r>
        <w:r w:rsidRPr="00473311">
          <w:rPr>
            <w:webHidden/>
          </w:rPr>
          <w:fldChar w:fldCharType="begin"/>
        </w:r>
        <w:r w:rsidRPr="00473311">
          <w:rPr>
            <w:webHidden/>
          </w:rPr>
          <w:instrText xml:space="preserve"> PAGEREF _Toc196826801 \h </w:instrText>
        </w:r>
        <w:r w:rsidRPr="00473311">
          <w:rPr>
            <w:webHidden/>
          </w:rPr>
        </w:r>
        <w:r w:rsidRPr="00473311">
          <w:rPr>
            <w:webHidden/>
          </w:rPr>
          <w:fldChar w:fldCharType="separate"/>
        </w:r>
        <w:r w:rsidR="00F44BFC">
          <w:rPr>
            <w:webHidden/>
          </w:rPr>
          <w:t>7</w:t>
        </w:r>
        <w:r w:rsidRPr="00473311">
          <w:rPr>
            <w:webHidden/>
          </w:rPr>
          <w:fldChar w:fldCharType="end"/>
        </w:r>
      </w:hyperlink>
    </w:p>
    <w:p w14:paraId="0C770FF3" w14:textId="30E75A9A" w:rsidR="005D6C72" w:rsidRPr="00473311" w:rsidRDefault="005D6C72">
      <w:pPr>
        <w:pStyle w:val="TOC1"/>
        <w:rPr>
          <w:rFonts w:eastAsiaTheme="minorEastAsia" w:cstheme="minorBidi"/>
          <w:b w:val="0"/>
          <w:color w:val="auto"/>
          <w:kern w:val="2"/>
          <w:sz w:val="24"/>
          <w:u w:val="none"/>
          <w:lang w:eastAsia="en-AU"/>
          <w14:ligatures w14:val="standardContextual"/>
        </w:rPr>
      </w:pPr>
      <w:hyperlink w:anchor="_Toc196826802" w:history="1">
        <w:r w:rsidRPr="00473311">
          <w:rPr>
            <w:rStyle w:val="Hyperlink"/>
            <w:rFonts w:ascii="Public Sans" w:hAnsi="Public Sans"/>
          </w:rPr>
          <w:t>2.</w:t>
        </w:r>
        <w:r w:rsidRPr="00473311">
          <w:rPr>
            <w:rFonts w:eastAsiaTheme="minorEastAsia" w:cstheme="minorBidi"/>
            <w:b w:val="0"/>
            <w:color w:val="auto"/>
            <w:kern w:val="2"/>
            <w:sz w:val="24"/>
            <w:u w:val="none"/>
            <w:lang w:eastAsia="en-AU"/>
            <w14:ligatures w14:val="standardContextual"/>
          </w:rPr>
          <w:tab/>
        </w:r>
        <w:r w:rsidRPr="00473311">
          <w:rPr>
            <w:rStyle w:val="Hyperlink"/>
            <w:rFonts w:ascii="Public Sans" w:hAnsi="Public Sans"/>
          </w:rPr>
          <w:t>Background and context</w:t>
        </w:r>
        <w:r w:rsidRPr="00473311">
          <w:rPr>
            <w:webHidden/>
          </w:rPr>
          <w:tab/>
        </w:r>
        <w:r w:rsidRPr="00473311">
          <w:rPr>
            <w:webHidden/>
          </w:rPr>
          <w:fldChar w:fldCharType="begin"/>
        </w:r>
        <w:r w:rsidRPr="00473311">
          <w:rPr>
            <w:webHidden/>
          </w:rPr>
          <w:instrText xml:space="preserve"> PAGEREF _Toc196826802 \h </w:instrText>
        </w:r>
        <w:r w:rsidRPr="00473311">
          <w:rPr>
            <w:webHidden/>
          </w:rPr>
        </w:r>
        <w:r w:rsidRPr="00473311">
          <w:rPr>
            <w:webHidden/>
          </w:rPr>
          <w:fldChar w:fldCharType="separate"/>
        </w:r>
        <w:r w:rsidR="00F44BFC">
          <w:rPr>
            <w:webHidden/>
          </w:rPr>
          <w:t>9</w:t>
        </w:r>
        <w:r w:rsidRPr="00473311">
          <w:rPr>
            <w:webHidden/>
          </w:rPr>
          <w:fldChar w:fldCharType="end"/>
        </w:r>
      </w:hyperlink>
    </w:p>
    <w:p w14:paraId="4EAB8763" w14:textId="219E0050"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03" w:history="1">
        <w:r w:rsidRPr="00473311">
          <w:rPr>
            <w:rStyle w:val="Hyperlink"/>
            <w:rFonts w:ascii="Public Sans" w:hAnsi="Public Sans"/>
          </w:rPr>
          <w:t>An introduction to the ADA</w:t>
        </w:r>
        <w:r w:rsidRPr="00473311">
          <w:rPr>
            <w:webHidden/>
          </w:rPr>
          <w:tab/>
        </w:r>
        <w:r w:rsidRPr="00473311">
          <w:rPr>
            <w:webHidden/>
          </w:rPr>
          <w:fldChar w:fldCharType="begin"/>
        </w:r>
        <w:r w:rsidRPr="00473311">
          <w:rPr>
            <w:webHidden/>
          </w:rPr>
          <w:instrText xml:space="preserve"> PAGEREF _Toc196826803 \h </w:instrText>
        </w:r>
        <w:r w:rsidRPr="00473311">
          <w:rPr>
            <w:webHidden/>
          </w:rPr>
        </w:r>
        <w:r w:rsidRPr="00473311">
          <w:rPr>
            <w:webHidden/>
          </w:rPr>
          <w:fldChar w:fldCharType="separate"/>
        </w:r>
        <w:r w:rsidR="00F44BFC">
          <w:rPr>
            <w:webHidden/>
          </w:rPr>
          <w:t>9</w:t>
        </w:r>
        <w:r w:rsidRPr="00473311">
          <w:rPr>
            <w:webHidden/>
          </w:rPr>
          <w:fldChar w:fldCharType="end"/>
        </w:r>
      </w:hyperlink>
    </w:p>
    <w:p w14:paraId="2575BDF4" w14:textId="288F4C93"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04" w:history="1">
        <w:r w:rsidRPr="00473311">
          <w:rPr>
            <w:rStyle w:val="Hyperlink"/>
            <w:rFonts w:ascii="Public Sans" w:hAnsi="Public Sans"/>
          </w:rPr>
          <w:t>Equality and non-discrimination</w:t>
        </w:r>
        <w:r w:rsidRPr="00473311">
          <w:rPr>
            <w:webHidden/>
          </w:rPr>
          <w:tab/>
        </w:r>
        <w:r w:rsidRPr="00473311">
          <w:rPr>
            <w:webHidden/>
          </w:rPr>
          <w:fldChar w:fldCharType="begin"/>
        </w:r>
        <w:r w:rsidRPr="00473311">
          <w:rPr>
            <w:webHidden/>
          </w:rPr>
          <w:instrText xml:space="preserve"> PAGEREF _Toc196826804 \h </w:instrText>
        </w:r>
        <w:r w:rsidRPr="00473311">
          <w:rPr>
            <w:webHidden/>
          </w:rPr>
        </w:r>
        <w:r w:rsidRPr="00473311">
          <w:rPr>
            <w:webHidden/>
          </w:rPr>
          <w:fldChar w:fldCharType="separate"/>
        </w:r>
        <w:r w:rsidR="00F44BFC">
          <w:rPr>
            <w:webHidden/>
          </w:rPr>
          <w:t>10</w:t>
        </w:r>
        <w:r w:rsidRPr="00473311">
          <w:rPr>
            <w:webHidden/>
          </w:rPr>
          <w:fldChar w:fldCharType="end"/>
        </w:r>
      </w:hyperlink>
    </w:p>
    <w:p w14:paraId="3104FD14" w14:textId="77C4535D"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05" w:history="1">
        <w:r w:rsidRPr="00473311">
          <w:rPr>
            <w:rStyle w:val="Hyperlink"/>
            <w:rFonts w:ascii="Public Sans" w:hAnsi="Public Sans"/>
          </w:rPr>
          <w:t>The international human rights context</w:t>
        </w:r>
        <w:r w:rsidRPr="00473311">
          <w:rPr>
            <w:webHidden/>
          </w:rPr>
          <w:tab/>
        </w:r>
        <w:r w:rsidRPr="00473311">
          <w:rPr>
            <w:webHidden/>
          </w:rPr>
          <w:fldChar w:fldCharType="begin"/>
        </w:r>
        <w:r w:rsidRPr="00473311">
          <w:rPr>
            <w:webHidden/>
          </w:rPr>
          <w:instrText xml:space="preserve"> PAGEREF _Toc196826805 \h </w:instrText>
        </w:r>
        <w:r w:rsidRPr="00473311">
          <w:rPr>
            <w:webHidden/>
          </w:rPr>
        </w:r>
        <w:r w:rsidRPr="00473311">
          <w:rPr>
            <w:webHidden/>
          </w:rPr>
          <w:fldChar w:fldCharType="separate"/>
        </w:r>
        <w:r w:rsidR="00F44BFC">
          <w:rPr>
            <w:webHidden/>
          </w:rPr>
          <w:t>11</w:t>
        </w:r>
        <w:r w:rsidRPr="00473311">
          <w:rPr>
            <w:webHidden/>
          </w:rPr>
          <w:fldChar w:fldCharType="end"/>
        </w:r>
      </w:hyperlink>
    </w:p>
    <w:p w14:paraId="276DAE07" w14:textId="5713456C"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06" w:history="1">
        <w:r w:rsidRPr="00473311">
          <w:rPr>
            <w:rStyle w:val="Hyperlink"/>
            <w:rFonts w:ascii="Public Sans" w:hAnsi="Public Sans"/>
          </w:rPr>
          <w:t>Equality and non-discrimination and the ADA</w:t>
        </w:r>
        <w:r w:rsidRPr="00473311">
          <w:rPr>
            <w:webHidden/>
          </w:rPr>
          <w:tab/>
        </w:r>
        <w:r w:rsidRPr="00473311">
          <w:rPr>
            <w:webHidden/>
          </w:rPr>
          <w:fldChar w:fldCharType="begin"/>
        </w:r>
        <w:r w:rsidRPr="00473311">
          <w:rPr>
            <w:webHidden/>
          </w:rPr>
          <w:instrText xml:space="preserve"> PAGEREF _Toc196826806 \h </w:instrText>
        </w:r>
        <w:r w:rsidRPr="00473311">
          <w:rPr>
            <w:webHidden/>
          </w:rPr>
        </w:r>
        <w:r w:rsidRPr="00473311">
          <w:rPr>
            <w:webHidden/>
          </w:rPr>
          <w:fldChar w:fldCharType="separate"/>
        </w:r>
        <w:r w:rsidR="00F44BFC">
          <w:rPr>
            <w:webHidden/>
          </w:rPr>
          <w:t>12</w:t>
        </w:r>
        <w:r w:rsidRPr="00473311">
          <w:rPr>
            <w:webHidden/>
          </w:rPr>
          <w:fldChar w:fldCharType="end"/>
        </w:r>
      </w:hyperlink>
    </w:p>
    <w:p w14:paraId="35B9FA24" w14:textId="595721CD"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07" w:history="1">
        <w:r w:rsidRPr="00473311">
          <w:rPr>
            <w:rStyle w:val="Hyperlink"/>
            <w:rFonts w:ascii="Public Sans" w:hAnsi="Public Sans"/>
          </w:rPr>
          <w:t>The wider Australian context</w:t>
        </w:r>
        <w:r w:rsidRPr="00473311">
          <w:rPr>
            <w:webHidden/>
          </w:rPr>
          <w:tab/>
        </w:r>
        <w:r w:rsidRPr="00473311">
          <w:rPr>
            <w:webHidden/>
          </w:rPr>
          <w:fldChar w:fldCharType="begin"/>
        </w:r>
        <w:r w:rsidRPr="00473311">
          <w:rPr>
            <w:webHidden/>
          </w:rPr>
          <w:instrText xml:space="preserve"> PAGEREF _Toc196826807 \h </w:instrText>
        </w:r>
        <w:r w:rsidRPr="00473311">
          <w:rPr>
            <w:webHidden/>
          </w:rPr>
        </w:r>
        <w:r w:rsidRPr="00473311">
          <w:rPr>
            <w:webHidden/>
          </w:rPr>
          <w:fldChar w:fldCharType="separate"/>
        </w:r>
        <w:r w:rsidR="00F44BFC">
          <w:rPr>
            <w:webHidden/>
          </w:rPr>
          <w:t>16</w:t>
        </w:r>
        <w:r w:rsidRPr="00473311">
          <w:rPr>
            <w:webHidden/>
          </w:rPr>
          <w:fldChar w:fldCharType="end"/>
        </w:r>
      </w:hyperlink>
    </w:p>
    <w:p w14:paraId="3ABE0860" w14:textId="0DB16FF3"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08" w:history="1">
        <w:r w:rsidRPr="00473311">
          <w:rPr>
            <w:rStyle w:val="Hyperlink"/>
            <w:rFonts w:ascii="Public Sans" w:hAnsi="Public Sans"/>
          </w:rPr>
          <w:t>Australian discrimination laws</w:t>
        </w:r>
        <w:r w:rsidRPr="00473311">
          <w:rPr>
            <w:webHidden/>
          </w:rPr>
          <w:tab/>
        </w:r>
        <w:r w:rsidRPr="00473311">
          <w:rPr>
            <w:webHidden/>
          </w:rPr>
          <w:fldChar w:fldCharType="begin"/>
        </w:r>
        <w:r w:rsidRPr="00473311">
          <w:rPr>
            <w:webHidden/>
          </w:rPr>
          <w:instrText xml:space="preserve"> PAGEREF _Toc196826808 \h </w:instrText>
        </w:r>
        <w:r w:rsidRPr="00473311">
          <w:rPr>
            <w:webHidden/>
          </w:rPr>
        </w:r>
        <w:r w:rsidRPr="00473311">
          <w:rPr>
            <w:webHidden/>
          </w:rPr>
          <w:fldChar w:fldCharType="separate"/>
        </w:r>
        <w:r w:rsidR="00F44BFC">
          <w:rPr>
            <w:webHidden/>
          </w:rPr>
          <w:t>16</w:t>
        </w:r>
        <w:r w:rsidRPr="00473311">
          <w:rPr>
            <w:webHidden/>
          </w:rPr>
          <w:fldChar w:fldCharType="end"/>
        </w:r>
      </w:hyperlink>
    </w:p>
    <w:p w14:paraId="275427CA" w14:textId="54760619"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09" w:history="1">
        <w:r w:rsidRPr="00473311">
          <w:rPr>
            <w:rStyle w:val="Hyperlink"/>
            <w:rFonts w:ascii="Public Sans" w:hAnsi="Public Sans"/>
          </w:rPr>
          <w:t>Workplace protections</w:t>
        </w:r>
        <w:r w:rsidRPr="00473311">
          <w:rPr>
            <w:webHidden/>
          </w:rPr>
          <w:tab/>
        </w:r>
        <w:r w:rsidRPr="00473311">
          <w:rPr>
            <w:webHidden/>
          </w:rPr>
          <w:fldChar w:fldCharType="begin"/>
        </w:r>
        <w:r w:rsidRPr="00473311">
          <w:rPr>
            <w:webHidden/>
          </w:rPr>
          <w:instrText xml:space="preserve"> PAGEREF _Toc196826809 \h </w:instrText>
        </w:r>
        <w:r w:rsidRPr="00473311">
          <w:rPr>
            <w:webHidden/>
          </w:rPr>
        </w:r>
        <w:r w:rsidRPr="00473311">
          <w:rPr>
            <w:webHidden/>
          </w:rPr>
          <w:fldChar w:fldCharType="separate"/>
        </w:r>
        <w:r w:rsidR="00F44BFC">
          <w:rPr>
            <w:webHidden/>
          </w:rPr>
          <w:t>18</w:t>
        </w:r>
        <w:r w:rsidRPr="00473311">
          <w:rPr>
            <w:webHidden/>
          </w:rPr>
          <w:fldChar w:fldCharType="end"/>
        </w:r>
      </w:hyperlink>
    </w:p>
    <w:p w14:paraId="62872CD9" w14:textId="54F410FD"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10" w:history="1">
        <w:r w:rsidRPr="00473311">
          <w:rPr>
            <w:rStyle w:val="Hyperlink"/>
            <w:rFonts w:ascii="Public Sans" w:hAnsi="Public Sans"/>
          </w:rPr>
          <w:t>Other potential complaints mechanisms</w:t>
        </w:r>
        <w:r w:rsidRPr="00473311">
          <w:rPr>
            <w:webHidden/>
          </w:rPr>
          <w:tab/>
        </w:r>
        <w:r w:rsidRPr="00473311">
          <w:rPr>
            <w:webHidden/>
          </w:rPr>
          <w:fldChar w:fldCharType="begin"/>
        </w:r>
        <w:r w:rsidRPr="00473311">
          <w:rPr>
            <w:webHidden/>
          </w:rPr>
          <w:instrText xml:space="preserve"> PAGEREF _Toc196826810 \h </w:instrText>
        </w:r>
        <w:r w:rsidRPr="00473311">
          <w:rPr>
            <w:webHidden/>
          </w:rPr>
        </w:r>
        <w:r w:rsidRPr="00473311">
          <w:rPr>
            <w:webHidden/>
          </w:rPr>
          <w:fldChar w:fldCharType="separate"/>
        </w:r>
        <w:r w:rsidR="00F44BFC">
          <w:rPr>
            <w:webHidden/>
          </w:rPr>
          <w:t>19</w:t>
        </w:r>
        <w:r w:rsidRPr="00473311">
          <w:rPr>
            <w:webHidden/>
          </w:rPr>
          <w:fldChar w:fldCharType="end"/>
        </w:r>
      </w:hyperlink>
    </w:p>
    <w:p w14:paraId="76D07112" w14:textId="5CDF91AC"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11" w:history="1">
        <w:r w:rsidRPr="00473311">
          <w:rPr>
            <w:rStyle w:val="Hyperlink"/>
            <w:rFonts w:ascii="Public Sans" w:hAnsi="Public Sans"/>
          </w:rPr>
          <w:t>Criminal vilification offences</w:t>
        </w:r>
        <w:r w:rsidRPr="00473311">
          <w:rPr>
            <w:webHidden/>
          </w:rPr>
          <w:tab/>
        </w:r>
        <w:r w:rsidRPr="00473311">
          <w:rPr>
            <w:webHidden/>
          </w:rPr>
          <w:fldChar w:fldCharType="begin"/>
        </w:r>
        <w:r w:rsidRPr="00473311">
          <w:rPr>
            <w:webHidden/>
          </w:rPr>
          <w:instrText xml:space="preserve"> PAGEREF _Toc196826811 \h </w:instrText>
        </w:r>
        <w:r w:rsidRPr="00473311">
          <w:rPr>
            <w:webHidden/>
          </w:rPr>
        </w:r>
        <w:r w:rsidRPr="00473311">
          <w:rPr>
            <w:webHidden/>
          </w:rPr>
          <w:fldChar w:fldCharType="separate"/>
        </w:r>
        <w:r w:rsidR="00F44BFC">
          <w:rPr>
            <w:webHidden/>
          </w:rPr>
          <w:t>19</w:t>
        </w:r>
        <w:r w:rsidRPr="00473311">
          <w:rPr>
            <w:webHidden/>
          </w:rPr>
          <w:fldChar w:fldCharType="end"/>
        </w:r>
      </w:hyperlink>
    </w:p>
    <w:p w14:paraId="358EC37D" w14:textId="612E8481" w:rsidR="005D6C72" w:rsidRPr="00473311" w:rsidRDefault="005D6C72">
      <w:pPr>
        <w:pStyle w:val="TOC1"/>
        <w:rPr>
          <w:rFonts w:eastAsiaTheme="minorEastAsia" w:cstheme="minorBidi"/>
          <w:b w:val="0"/>
          <w:color w:val="auto"/>
          <w:kern w:val="2"/>
          <w:sz w:val="24"/>
          <w:u w:val="none"/>
          <w:lang w:eastAsia="en-AU"/>
          <w14:ligatures w14:val="standardContextual"/>
        </w:rPr>
      </w:pPr>
      <w:hyperlink w:anchor="_Toc196826812" w:history="1">
        <w:r w:rsidRPr="00473311">
          <w:rPr>
            <w:rStyle w:val="Hyperlink"/>
            <w:rFonts w:ascii="Public Sans" w:hAnsi="Public Sans"/>
          </w:rPr>
          <w:t>3.</w:t>
        </w:r>
        <w:r w:rsidRPr="00473311">
          <w:rPr>
            <w:rFonts w:eastAsiaTheme="minorEastAsia" w:cstheme="minorBidi"/>
            <w:b w:val="0"/>
            <w:color w:val="auto"/>
            <w:kern w:val="2"/>
            <w:sz w:val="24"/>
            <w:u w:val="none"/>
            <w:lang w:eastAsia="en-AU"/>
            <w14:ligatures w14:val="standardContextual"/>
          </w:rPr>
          <w:tab/>
        </w:r>
        <w:r w:rsidRPr="00473311">
          <w:rPr>
            <w:rStyle w:val="Hyperlink"/>
            <w:rFonts w:ascii="Public Sans" w:hAnsi="Public Sans"/>
          </w:rPr>
          <w:t>Tests for discrimination</w:t>
        </w:r>
        <w:r w:rsidRPr="00473311">
          <w:rPr>
            <w:webHidden/>
          </w:rPr>
          <w:tab/>
        </w:r>
        <w:r w:rsidRPr="00473311">
          <w:rPr>
            <w:webHidden/>
          </w:rPr>
          <w:fldChar w:fldCharType="begin"/>
        </w:r>
        <w:r w:rsidRPr="00473311">
          <w:rPr>
            <w:webHidden/>
          </w:rPr>
          <w:instrText xml:space="preserve"> PAGEREF _Toc196826812 \h </w:instrText>
        </w:r>
        <w:r w:rsidRPr="00473311">
          <w:rPr>
            <w:webHidden/>
          </w:rPr>
        </w:r>
        <w:r w:rsidRPr="00473311">
          <w:rPr>
            <w:webHidden/>
          </w:rPr>
          <w:fldChar w:fldCharType="separate"/>
        </w:r>
        <w:r w:rsidR="00F44BFC">
          <w:rPr>
            <w:webHidden/>
          </w:rPr>
          <w:t>21</w:t>
        </w:r>
        <w:r w:rsidRPr="00473311">
          <w:rPr>
            <w:webHidden/>
          </w:rPr>
          <w:fldChar w:fldCharType="end"/>
        </w:r>
      </w:hyperlink>
    </w:p>
    <w:p w14:paraId="40EE674E" w14:textId="62A82B62"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13" w:history="1">
        <w:r w:rsidRPr="00473311">
          <w:rPr>
            <w:rStyle w:val="Hyperlink"/>
            <w:rFonts w:ascii="Public Sans" w:hAnsi="Public Sans"/>
          </w:rPr>
          <w:t>Direct discrimination</w:t>
        </w:r>
        <w:r w:rsidRPr="00473311">
          <w:rPr>
            <w:webHidden/>
          </w:rPr>
          <w:tab/>
        </w:r>
        <w:r w:rsidRPr="00473311">
          <w:rPr>
            <w:webHidden/>
          </w:rPr>
          <w:fldChar w:fldCharType="begin"/>
        </w:r>
        <w:r w:rsidRPr="00473311">
          <w:rPr>
            <w:webHidden/>
          </w:rPr>
          <w:instrText xml:space="preserve"> PAGEREF _Toc196826813 \h </w:instrText>
        </w:r>
        <w:r w:rsidRPr="00473311">
          <w:rPr>
            <w:webHidden/>
          </w:rPr>
        </w:r>
        <w:r w:rsidRPr="00473311">
          <w:rPr>
            <w:webHidden/>
          </w:rPr>
          <w:fldChar w:fldCharType="separate"/>
        </w:r>
        <w:r w:rsidR="00F44BFC">
          <w:rPr>
            <w:webHidden/>
          </w:rPr>
          <w:t>22</w:t>
        </w:r>
        <w:r w:rsidRPr="00473311">
          <w:rPr>
            <w:webHidden/>
          </w:rPr>
          <w:fldChar w:fldCharType="end"/>
        </w:r>
      </w:hyperlink>
    </w:p>
    <w:p w14:paraId="14FDED76" w14:textId="3DB0438D"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14" w:history="1">
        <w:r w:rsidRPr="00473311">
          <w:rPr>
            <w:rStyle w:val="Hyperlink"/>
            <w:rFonts w:ascii="Public Sans" w:hAnsi="Public Sans"/>
          </w:rPr>
          <w:t>The comparator test</w:t>
        </w:r>
        <w:r w:rsidRPr="00473311">
          <w:rPr>
            <w:webHidden/>
          </w:rPr>
          <w:tab/>
        </w:r>
        <w:r w:rsidRPr="00473311">
          <w:rPr>
            <w:webHidden/>
          </w:rPr>
          <w:fldChar w:fldCharType="begin"/>
        </w:r>
        <w:r w:rsidRPr="00473311">
          <w:rPr>
            <w:webHidden/>
          </w:rPr>
          <w:instrText xml:space="preserve"> PAGEREF _Toc196826814 \h </w:instrText>
        </w:r>
        <w:r w:rsidRPr="00473311">
          <w:rPr>
            <w:webHidden/>
          </w:rPr>
        </w:r>
        <w:r w:rsidRPr="00473311">
          <w:rPr>
            <w:webHidden/>
          </w:rPr>
          <w:fldChar w:fldCharType="separate"/>
        </w:r>
        <w:r w:rsidR="00F44BFC">
          <w:rPr>
            <w:webHidden/>
          </w:rPr>
          <w:t>23</w:t>
        </w:r>
        <w:r w:rsidRPr="00473311">
          <w:rPr>
            <w:webHidden/>
          </w:rPr>
          <w:fldChar w:fldCharType="end"/>
        </w:r>
      </w:hyperlink>
    </w:p>
    <w:p w14:paraId="6C8B7E56" w14:textId="0DBED5EC"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15" w:history="1">
        <w:r w:rsidRPr="00473311">
          <w:rPr>
            <w:rStyle w:val="Hyperlink"/>
            <w:rFonts w:ascii="Public Sans" w:hAnsi="Public Sans"/>
          </w:rPr>
          <w:t>Causation</w:t>
        </w:r>
        <w:r w:rsidRPr="00473311">
          <w:rPr>
            <w:webHidden/>
          </w:rPr>
          <w:tab/>
        </w:r>
        <w:r w:rsidRPr="00473311">
          <w:rPr>
            <w:webHidden/>
          </w:rPr>
          <w:fldChar w:fldCharType="begin"/>
        </w:r>
        <w:r w:rsidRPr="00473311">
          <w:rPr>
            <w:webHidden/>
          </w:rPr>
          <w:instrText xml:space="preserve"> PAGEREF _Toc196826815 \h </w:instrText>
        </w:r>
        <w:r w:rsidRPr="00473311">
          <w:rPr>
            <w:webHidden/>
          </w:rPr>
        </w:r>
        <w:r w:rsidRPr="00473311">
          <w:rPr>
            <w:webHidden/>
          </w:rPr>
          <w:fldChar w:fldCharType="separate"/>
        </w:r>
        <w:r w:rsidR="00F44BFC">
          <w:rPr>
            <w:webHidden/>
          </w:rPr>
          <w:t>25</w:t>
        </w:r>
        <w:r w:rsidRPr="00473311">
          <w:rPr>
            <w:webHidden/>
          </w:rPr>
          <w:fldChar w:fldCharType="end"/>
        </w:r>
      </w:hyperlink>
    </w:p>
    <w:p w14:paraId="3E7AAB78" w14:textId="36EDD5E0"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16" w:history="1">
        <w:r w:rsidRPr="00473311">
          <w:rPr>
            <w:rStyle w:val="Hyperlink"/>
            <w:rFonts w:ascii="Public Sans" w:hAnsi="Public Sans"/>
          </w:rPr>
          <w:t>Indirect discrimination</w:t>
        </w:r>
        <w:r w:rsidRPr="00473311">
          <w:rPr>
            <w:webHidden/>
          </w:rPr>
          <w:tab/>
        </w:r>
        <w:r w:rsidRPr="00473311">
          <w:rPr>
            <w:webHidden/>
          </w:rPr>
          <w:fldChar w:fldCharType="begin"/>
        </w:r>
        <w:r w:rsidRPr="00473311">
          <w:rPr>
            <w:webHidden/>
          </w:rPr>
          <w:instrText xml:space="preserve"> PAGEREF _Toc196826816 \h </w:instrText>
        </w:r>
        <w:r w:rsidRPr="00473311">
          <w:rPr>
            <w:webHidden/>
          </w:rPr>
        </w:r>
        <w:r w:rsidRPr="00473311">
          <w:rPr>
            <w:webHidden/>
          </w:rPr>
          <w:fldChar w:fldCharType="separate"/>
        </w:r>
        <w:r w:rsidR="00F44BFC">
          <w:rPr>
            <w:webHidden/>
          </w:rPr>
          <w:t>27</w:t>
        </w:r>
        <w:r w:rsidRPr="00473311">
          <w:rPr>
            <w:webHidden/>
          </w:rPr>
          <w:fldChar w:fldCharType="end"/>
        </w:r>
      </w:hyperlink>
    </w:p>
    <w:p w14:paraId="0310E8BF" w14:textId="01A02258"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17" w:history="1">
        <w:r w:rsidRPr="00473311">
          <w:rPr>
            <w:rStyle w:val="Hyperlink"/>
            <w:rFonts w:ascii="Public Sans" w:hAnsi="Public Sans"/>
          </w:rPr>
          <w:t>The comparative “disproportionate impact” test</w:t>
        </w:r>
        <w:r w:rsidRPr="00473311">
          <w:rPr>
            <w:webHidden/>
          </w:rPr>
          <w:tab/>
        </w:r>
        <w:r w:rsidRPr="00473311">
          <w:rPr>
            <w:webHidden/>
          </w:rPr>
          <w:fldChar w:fldCharType="begin"/>
        </w:r>
        <w:r w:rsidRPr="00473311">
          <w:rPr>
            <w:webHidden/>
          </w:rPr>
          <w:instrText xml:space="preserve"> PAGEREF _Toc196826817 \h </w:instrText>
        </w:r>
        <w:r w:rsidRPr="00473311">
          <w:rPr>
            <w:webHidden/>
          </w:rPr>
        </w:r>
        <w:r w:rsidRPr="00473311">
          <w:rPr>
            <w:webHidden/>
          </w:rPr>
          <w:fldChar w:fldCharType="separate"/>
        </w:r>
        <w:r w:rsidR="00F44BFC">
          <w:rPr>
            <w:webHidden/>
          </w:rPr>
          <w:t>27</w:t>
        </w:r>
        <w:r w:rsidRPr="00473311">
          <w:rPr>
            <w:webHidden/>
          </w:rPr>
          <w:fldChar w:fldCharType="end"/>
        </w:r>
      </w:hyperlink>
    </w:p>
    <w:p w14:paraId="3ABDAC2C" w14:textId="2A81BF47"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18" w:history="1">
        <w:r w:rsidRPr="00473311">
          <w:rPr>
            <w:rStyle w:val="Hyperlink"/>
            <w:rFonts w:ascii="Public Sans" w:hAnsi="Public Sans"/>
          </w:rPr>
          <w:t>The “inability to comply” element</w:t>
        </w:r>
        <w:r w:rsidRPr="00473311">
          <w:rPr>
            <w:webHidden/>
          </w:rPr>
          <w:tab/>
        </w:r>
        <w:r w:rsidRPr="00473311">
          <w:rPr>
            <w:webHidden/>
          </w:rPr>
          <w:fldChar w:fldCharType="begin"/>
        </w:r>
        <w:r w:rsidRPr="00473311">
          <w:rPr>
            <w:webHidden/>
          </w:rPr>
          <w:instrText xml:space="preserve"> PAGEREF _Toc196826818 \h </w:instrText>
        </w:r>
        <w:r w:rsidRPr="00473311">
          <w:rPr>
            <w:webHidden/>
          </w:rPr>
        </w:r>
        <w:r w:rsidRPr="00473311">
          <w:rPr>
            <w:webHidden/>
          </w:rPr>
          <w:fldChar w:fldCharType="separate"/>
        </w:r>
        <w:r w:rsidR="00F44BFC">
          <w:rPr>
            <w:webHidden/>
          </w:rPr>
          <w:t>30</w:t>
        </w:r>
        <w:r w:rsidRPr="00473311">
          <w:rPr>
            <w:webHidden/>
          </w:rPr>
          <w:fldChar w:fldCharType="end"/>
        </w:r>
      </w:hyperlink>
    </w:p>
    <w:p w14:paraId="1982E416" w14:textId="163AE546"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19" w:history="1">
        <w:r w:rsidRPr="00473311">
          <w:rPr>
            <w:rStyle w:val="Hyperlink"/>
            <w:rFonts w:ascii="Public Sans" w:hAnsi="Public Sans"/>
          </w:rPr>
          <w:t>The “reasonableness” standard</w:t>
        </w:r>
        <w:r w:rsidRPr="00473311">
          <w:rPr>
            <w:webHidden/>
          </w:rPr>
          <w:tab/>
        </w:r>
        <w:r w:rsidRPr="00473311">
          <w:rPr>
            <w:webHidden/>
          </w:rPr>
          <w:fldChar w:fldCharType="begin"/>
        </w:r>
        <w:r w:rsidRPr="00473311">
          <w:rPr>
            <w:webHidden/>
          </w:rPr>
          <w:instrText xml:space="preserve"> PAGEREF _Toc196826819 \h </w:instrText>
        </w:r>
        <w:r w:rsidRPr="00473311">
          <w:rPr>
            <w:webHidden/>
          </w:rPr>
        </w:r>
        <w:r w:rsidRPr="00473311">
          <w:rPr>
            <w:webHidden/>
          </w:rPr>
          <w:fldChar w:fldCharType="separate"/>
        </w:r>
        <w:r w:rsidR="00F44BFC">
          <w:rPr>
            <w:webHidden/>
          </w:rPr>
          <w:t>31</w:t>
        </w:r>
        <w:r w:rsidRPr="00473311">
          <w:rPr>
            <w:webHidden/>
          </w:rPr>
          <w:fldChar w:fldCharType="end"/>
        </w:r>
      </w:hyperlink>
    </w:p>
    <w:p w14:paraId="4D74F124" w14:textId="2EF0C89C"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20" w:history="1">
        <w:r w:rsidRPr="00473311">
          <w:rPr>
            <w:rStyle w:val="Hyperlink"/>
            <w:rFonts w:ascii="Public Sans" w:hAnsi="Public Sans"/>
          </w:rPr>
          <w:t>Indirect discrimination based on characteristics</w:t>
        </w:r>
        <w:r w:rsidRPr="00473311">
          <w:rPr>
            <w:webHidden/>
          </w:rPr>
          <w:tab/>
        </w:r>
        <w:r w:rsidRPr="00473311">
          <w:rPr>
            <w:webHidden/>
          </w:rPr>
          <w:fldChar w:fldCharType="begin"/>
        </w:r>
        <w:r w:rsidRPr="00473311">
          <w:rPr>
            <w:webHidden/>
          </w:rPr>
          <w:instrText xml:space="preserve"> PAGEREF _Toc196826820 \h </w:instrText>
        </w:r>
        <w:r w:rsidRPr="00473311">
          <w:rPr>
            <w:webHidden/>
          </w:rPr>
        </w:r>
        <w:r w:rsidRPr="00473311">
          <w:rPr>
            <w:webHidden/>
          </w:rPr>
          <w:fldChar w:fldCharType="separate"/>
        </w:r>
        <w:r w:rsidR="00F44BFC">
          <w:rPr>
            <w:webHidden/>
          </w:rPr>
          <w:t>33</w:t>
        </w:r>
        <w:r w:rsidRPr="00473311">
          <w:rPr>
            <w:webHidden/>
          </w:rPr>
          <w:fldChar w:fldCharType="end"/>
        </w:r>
      </w:hyperlink>
    </w:p>
    <w:p w14:paraId="1A53C10E" w14:textId="2B253518"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21" w:history="1">
        <w:r w:rsidRPr="00473311">
          <w:rPr>
            <w:rStyle w:val="Hyperlink"/>
            <w:rFonts w:ascii="Public Sans" w:hAnsi="Public Sans"/>
          </w:rPr>
          <w:t>The burden of proof</w:t>
        </w:r>
        <w:r w:rsidRPr="00473311">
          <w:rPr>
            <w:webHidden/>
          </w:rPr>
          <w:tab/>
        </w:r>
        <w:r w:rsidRPr="00473311">
          <w:rPr>
            <w:webHidden/>
          </w:rPr>
          <w:fldChar w:fldCharType="begin"/>
        </w:r>
        <w:r w:rsidRPr="00473311">
          <w:rPr>
            <w:webHidden/>
          </w:rPr>
          <w:instrText xml:space="preserve"> PAGEREF _Toc196826821 \h </w:instrText>
        </w:r>
        <w:r w:rsidRPr="00473311">
          <w:rPr>
            <w:webHidden/>
          </w:rPr>
        </w:r>
        <w:r w:rsidRPr="00473311">
          <w:rPr>
            <w:webHidden/>
          </w:rPr>
          <w:fldChar w:fldCharType="separate"/>
        </w:r>
        <w:r w:rsidR="00F44BFC">
          <w:rPr>
            <w:webHidden/>
          </w:rPr>
          <w:t>34</w:t>
        </w:r>
        <w:r w:rsidRPr="00473311">
          <w:rPr>
            <w:webHidden/>
          </w:rPr>
          <w:fldChar w:fldCharType="end"/>
        </w:r>
      </w:hyperlink>
    </w:p>
    <w:p w14:paraId="1A21FACC" w14:textId="44CC81B5"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22" w:history="1">
        <w:r w:rsidRPr="00473311">
          <w:rPr>
            <w:rStyle w:val="Hyperlink"/>
            <w:rFonts w:ascii="Public Sans" w:hAnsi="Public Sans"/>
          </w:rPr>
          <w:t>Direct discrimination</w:t>
        </w:r>
        <w:r w:rsidRPr="00473311">
          <w:rPr>
            <w:webHidden/>
          </w:rPr>
          <w:tab/>
        </w:r>
        <w:r w:rsidRPr="00473311">
          <w:rPr>
            <w:webHidden/>
          </w:rPr>
          <w:fldChar w:fldCharType="begin"/>
        </w:r>
        <w:r w:rsidRPr="00473311">
          <w:rPr>
            <w:webHidden/>
          </w:rPr>
          <w:instrText xml:space="preserve"> PAGEREF _Toc196826822 \h </w:instrText>
        </w:r>
        <w:r w:rsidRPr="00473311">
          <w:rPr>
            <w:webHidden/>
          </w:rPr>
        </w:r>
        <w:r w:rsidRPr="00473311">
          <w:rPr>
            <w:webHidden/>
          </w:rPr>
          <w:fldChar w:fldCharType="separate"/>
        </w:r>
        <w:r w:rsidR="00F44BFC">
          <w:rPr>
            <w:webHidden/>
          </w:rPr>
          <w:t>35</w:t>
        </w:r>
        <w:r w:rsidRPr="00473311">
          <w:rPr>
            <w:webHidden/>
          </w:rPr>
          <w:fldChar w:fldCharType="end"/>
        </w:r>
      </w:hyperlink>
    </w:p>
    <w:p w14:paraId="249F2D3E" w14:textId="25E35D1A"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23" w:history="1">
        <w:r w:rsidRPr="00473311">
          <w:rPr>
            <w:rStyle w:val="Hyperlink"/>
            <w:rFonts w:ascii="Public Sans" w:hAnsi="Public Sans"/>
          </w:rPr>
          <w:t>Indirect discrimination</w:t>
        </w:r>
        <w:r w:rsidRPr="00473311">
          <w:rPr>
            <w:webHidden/>
          </w:rPr>
          <w:tab/>
        </w:r>
        <w:r w:rsidRPr="00473311">
          <w:rPr>
            <w:webHidden/>
          </w:rPr>
          <w:fldChar w:fldCharType="begin"/>
        </w:r>
        <w:r w:rsidRPr="00473311">
          <w:rPr>
            <w:webHidden/>
          </w:rPr>
          <w:instrText xml:space="preserve"> PAGEREF _Toc196826823 \h </w:instrText>
        </w:r>
        <w:r w:rsidRPr="00473311">
          <w:rPr>
            <w:webHidden/>
          </w:rPr>
        </w:r>
        <w:r w:rsidRPr="00473311">
          <w:rPr>
            <w:webHidden/>
          </w:rPr>
          <w:fldChar w:fldCharType="separate"/>
        </w:r>
        <w:r w:rsidR="00F44BFC">
          <w:rPr>
            <w:webHidden/>
          </w:rPr>
          <w:t>35</w:t>
        </w:r>
        <w:r w:rsidRPr="00473311">
          <w:rPr>
            <w:webHidden/>
          </w:rPr>
          <w:fldChar w:fldCharType="end"/>
        </w:r>
      </w:hyperlink>
    </w:p>
    <w:p w14:paraId="099761CB" w14:textId="65CEE293"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24" w:history="1">
        <w:r w:rsidRPr="00473311">
          <w:rPr>
            <w:rStyle w:val="Hyperlink"/>
            <w:rFonts w:ascii="Public Sans" w:hAnsi="Public Sans"/>
          </w:rPr>
          <w:t>Some overarching issues</w:t>
        </w:r>
        <w:r w:rsidRPr="00473311">
          <w:rPr>
            <w:webHidden/>
          </w:rPr>
          <w:tab/>
        </w:r>
        <w:r w:rsidRPr="00473311">
          <w:rPr>
            <w:webHidden/>
          </w:rPr>
          <w:fldChar w:fldCharType="begin"/>
        </w:r>
        <w:r w:rsidRPr="00473311">
          <w:rPr>
            <w:webHidden/>
          </w:rPr>
          <w:instrText xml:space="preserve"> PAGEREF _Toc196826824 \h </w:instrText>
        </w:r>
        <w:r w:rsidRPr="00473311">
          <w:rPr>
            <w:webHidden/>
          </w:rPr>
        </w:r>
        <w:r w:rsidRPr="00473311">
          <w:rPr>
            <w:webHidden/>
          </w:rPr>
          <w:fldChar w:fldCharType="separate"/>
        </w:r>
        <w:r w:rsidR="00F44BFC">
          <w:rPr>
            <w:webHidden/>
          </w:rPr>
          <w:t>36</w:t>
        </w:r>
        <w:r w:rsidRPr="00473311">
          <w:rPr>
            <w:webHidden/>
          </w:rPr>
          <w:fldChar w:fldCharType="end"/>
        </w:r>
      </w:hyperlink>
    </w:p>
    <w:p w14:paraId="0F8F5A0D" w14:textId="732E549E"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25" w:history="1">
        <w:r w:rsidRPr="00473311">
          <w:rPr>
            <w:rStyle w:val="Hyperlink"/>
            <w:rFonts w:ascii="Public Sans" w:hAnsi="Public Sans"/>
          </w:rPr>
          <w:t>Overlapping forms of discrimination</w:t>
        </w:r>
        <w:r w:rsidRPr="00473311">
          <w:rPr>
            <w:webHidden/>
          </w:rPr>
          <w:tab/>
        </w:r>
        <w:r w:rsidRPr="00473311">
          <w:rPr>
            <w:webHidden/>
          </w:rPr>
          <w:fldChar w:fldCharType="begin"/>
        </w:r>
        <w:r w:rsidRPr="00473311">
          <w:rPr>
            <w:webHidden/>
          </w:rPr>
          <w:instrText xml:space="preserve"> PAGEREF _Toc196826825 \h </w:instrText>
        </w:r>
        <w:r w:rsidRPr="00473311">
          <w:rPr>
            <w:webHidden/>
          </w:rPr>
        </w:r>
        <w:r w:rsidRPr="00473311">
          <w:rPr>
            <w:webHidden/>
          </w:rPr>
          <w:fldChar w:fldCharType="separate"/>
        </w:r>
        <w:r w:rsidR="00F44BFC">
          <w:rPr>
            <w:webHidden/>
          </w:rPr>
          <w:t>36</w:t>
        </w:r>
        <w:r w:rsidRPr="00473311">
          <w:rPr>
            <w:webHidden/>
          </w:rPr>
          <w:fldChar w:fldCharType="end"/>
        </w:r>
      </w:hyperlink>
    </w:p>
    <w:p w14:paraId="097E6C22" w14:textId="368EC974"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26" w:history="1">
        <w:r w:rsidRPr="00473311">
          <w:rPr>
            <w:rStyle w:val="Hyperlink"/>
            <w:rFonts w:ascii="Public Sans" w:hAnsi="Public Sans"/>
          </w:rPr>
          <w:t>Intersectional discrimination</w:t>
        </w:r>
        <w:r w:rsidRPr="00473311">
          <w:rPr>
            <w:webHidden/>
          </w:rPr>
          <w:tab/>
        </w:r>
        <w:r w:rsidRPr="00473311">
          <w:rPr>
            <w:webHidden/>
          </w:rPr>
          <w:fldChar w:fldCharType="begin"/>
        </w:r>
        <w:r w:rsidRPr="00473311">
          <w:rPr>
            <w:webHidden/>
          </w:rPr>
          <w:instrText xml:space="preserve"> PAGEREF _Toc196826826 \h </w:instrText>
        </w:r>
        <w:r w:rsidRPr="00473311">
          <w:rPr>
            <w:webHidden/>
          </w:rPr>
        </w:r>
        <w:r w:rsidRPr="00473311">
          <w:rPr>
            <w:webHidden/>
          </w:rPr>
          <w:fldChar w:fldCharType="separate"/>
        </w:r>
        <w:r w:rsidR="00F44BFC">
          <w:rPr>
            <w:webHidden/>
          </w:rPr>
          <w:t>37</w:t>
        </w:r>
        <w:r w:rsidRPr="00473311">
          <w:rPr>
            <w:webHidden/>
          </w:rPr>
          <w:fldChar w:fldCharType="end"/>
        </w:r>
      </w:hyperlink>
    </w:p>
    <w:p w14:paraId="52070BCC" w14:textId="29E0C9D0"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27" w:history="1">
        <w:r w:rsidRPr="00473311">
          <w:rPr>
            <w:rStyle w:val="Hyperlink"/>
            <w:rFonts w:ascii="Public Sans" w:hAnsi="Public Sans"/>
          </w:rPr>
          <w:t>Intended future discrimination</w:t>
        </w:r>
        <w:r w:rsidRPr="00473311">
          <w:rPr>
            <w:webHidden/>
          </w:rPr>
          <w:tab/>
        </w:r>
        <w:r w:rsidRPr="00473311">
          <w:rPr>
            <w:webHidden/>
          </w:rPr>
          <w:fldChar w:fldCharType="begin"/>
        </w:r>
        <w:r w:rsidRPr="00473311">
          <w:rPr>
            <w:webHidden/>
          </w:rPr>
          <w:instrText xml:space="preserve"> PAGEREF _Toc196826827 \h </w:instrText>
        </w:r>
        <w:r w:rsidRPr="00473311">
          <w:rPr>
            <w:webHidden/>
          </w:rPr>
        </w:r>
        <w:r w:rsidRPr="00473311">
          <w:rPr>
            <w:webHidden/>
          </w:rPr>
          <w:fldChar w:fldCharType="separate"/>
        </w:r>
        <w:r w:rsidR="00F44BFC">
          <w:rPr>
            <w:webHidden/>
          </w:rPr>
          <w:t>39</w:t>
        </w:r>
        <w:r w:rsidRPr="00473311">
          <w:rPr>
            <w:webHidden/>
          </w:rPr>
          <w:fldChar w:fldCharType="end"/>
        </w:r>
      </w:hyperlink>
    </w:p>
    <w:p w14:paraId="735C7AD5" w14:textId="4E92D069" w:rsidR="005D6C72" w:rsidRPr="00473311" w:rsidRDefault="005D6C72">
      <w:pPr>
        <w:pStyle w:val="TOC1"/>
        <w:rPr>
          <w:rFonts w:eastAsiaTheme="minorEastAsia" w:cstheme="minorBidi"/>
          <w:b w:val="0"/>
          <w:color w:val="auto"/>
          <w:kern w:val="2"/>
          <w:sz w:val="24"/>
          <w:u w:val="none"/>
          <w:lang w:eastAsia="en-AU"/>
          <w14:ligatures w14:val="standardContextual"/>
        </w:rPr>
      </w:pPr>
      <w:hyperlink w:anchor="_Toc196826828" w:history="1">
        <w:r w:rsidRPr="00473311">
          <w:rPr>
            <w:rStyle w:val="Hyperlink"/>
            <w:rFonts w:ascii="Public Sans" w:hAnsi="Public Sans"/>
          </w:rPr>
          <w:t>4.</w:t>
        </w:r>
        <w:r w:rsidRPr="00473311">
          <w:rPr>
            <w:rFonts w:eastAsiaTheme="minorEastAsia" w:cstheme="minorBidi"/>
            <w:b w:val="0"/>
            <w:color w:val="auto"/>
            <w:kern w:val="2"/>
            <w:sz w:val="24"/>
            <w:u w:val="none"/>
            <w:lang w:eastAsia="en-AU"/>
            <w14:ligatures w14:val="standardContextual"/>
          </w:rPr>
          <w:tab/>
        </w:r>
        <w:r w:rsidRPr="00473311">
          <w:rPr>
            <w:rStyle w:val="Hyperlink"/>
            <w:rFonts w:ascii="Public Sans" w:hAnsi="Public Sans"/>
          </w:rPr>
          <w:t>Discrimination: protected attributes</w:t>
        </w:r>
        <w:r w:rsidRPr="00473311">
          <w:rPr>
            <w:webHidden/>
          </w:rPr>
          <w:tab/>
        </w:r>
        <w:r w:rsidRPr="00473311">
          <w:rPr>
            <w:webHidden/>
          </w:rPr>
          <w:fldChar w:fldCharType="begin"/>
        </w:r>
        <w:r w:rsidRPr="00473311">
          <w:rPr>
            <w:webHidden/>
          </w:rPr>
          <w:instrText xml:space="preserve"> PAGEREF _Toc196826828 \h </w:instrText>
        </w:r>
        <w:r w:rsidRPr="00473311">
          <w:rPr>
            <w:webHidden/>
          </w:rPr>
        </w:r>
        <w:r w:rsidRPr="00473311">
          <w:rPr>
            <w:webHidden/>
          </w:rPr>
          <w:fldChar w:fldCharType="separate"/>
        </w:r>
        <w:r w:rsidR="00F44BFC">
          <w:rPr>
            <w:webHidden/>
          </w:rPr>
          <w:t>41</w:t>
        </w:r>
        <w:r w:rsidRPr="00473311">
          <w:rPr>
            <w:webHidden/>
          </w:rPr>
          <w:fldChar w:fldCharType="end"/>
        </w:r>
      </w:hyperlink>
    </w:p>
    <w:p w14:paraId="3DE12288" w14:textId="77D5A2B9"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29" w:history="1">
        <w:r w:rsidRPr="00473311">
          <w:rPr>
            <w:rStyle w:val="Hyperlink"/>
            <w:rFonts w:ascii="Public Sans" w:hAnsi="Public Sans"/>
          </w:rPr>
          <w:t>Age</w:t>
        </w:r>
        <w:r w:rsidRPr="00473311">
          <w:rPr>
            <w:webHidden/>
          </w:rPr>
          <w:tab/>
        </w:r>
        <w:r w:rsidRPr="00473311">
          <w:rPr>
            <w:webHidden/>
          </w:rPr>
          <w:fldChar w:fldCharType="begin"/>
        </w:r>
        <w:r w:rsidRPr="00473311">
          <w:rPr>
            <w:webHidden/>
          </w:rPr>
          <w:instrText xml:space="preserve"> PAGEREF _Toc196826829 \h </w:instrText>
        </w:r>
        <w:r w:rsidRPr="00473311">
          <w:rPr>
            <w:webHidden/>
          </w:rPr>
        </w:r>
        <w:r w:rsidRPr="00473311">
          <w:rPr>
            <w:webHidden/>
          </w:rPr>
          <w:fldChar w:fldCharType="separate"/>
        </w:r>
        <w:r w:rsidR="00F44BFC">
          <w:rPr>
            <w:webHidden/>
          </w:rPr>
          <w:t>43</w:t>
        </w:r>
        <w:r w:rsidRPr="00473311">
          <w:rPr>
            <w:webHidden/>
          </w:rPr>
          <w:fldChar w:fldCharType="end"/>
        </w:r>
      </w:hyperlink>
    </w:p>
    <w:p w14:paraId="00F69DA4" w14:textId="32382EF2"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30" w:history="1">
        <w:r w:rsidRPr="00473311">
          <w:rPr>
            <w:rStyle w:val="Hyperlink"/>
            <w:rFonts w:ascii="Public Sans" w:hAnsi="Public Sans"/>
          </w:rPr>
          <w:t>Carer’s responsibilities</w:t>
        </w:r>
        <w:r w:rsidRPr="00473311">
          <w:rPr>
            <w:webHidden/>
          </w:rPr>
          <w:tab/>
        </w:r>
        <w:r w:rsidRPr="00473311">
          <w:rPr>
            <w:webHidden/>
          </w:rPr>
          <w:fldChar w:fldCharType="begin"/>
        </w:r>
        <w:r w:rsidRPr="00473311">
          <w:rPr>
            <w:webHidden/>
          </w:rPr>
          <w:instrText xml:space="preserve"> PAGEREF _Toc196826830 \h </w:instrText>
        </w:r>
        <w:r w:rsidRPr="00473311">
          <w:rPr>
            <w:webHidden/>
          </w:rPr>
        </w:r>
        <w:r w:rsidRPr="00473311">
          <w:rPr>
            <w:webHidden/>
          </w:rPr>
          <w:fldChar w:fldCharType="separate"/>
        </w:r>
        <w:r w:rsidR="00F44BFC">
          <w:rPr>
            <w:webHidden/>
          </w:rPr>
          <w:t>44</w:t>
        </w:r>
        <w:r w:rsidRPr="00473311">
          <w:rPr>
            <w:webHidden/>
          </w:rPr>
          <w:fldChar w:fldCharType="end"/>
        </w:r>
      </w:hyperlink>
    </w:p>
    <w:p w14:paraId="100A5514" w14:textId="7BF1F7DE"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31" w:history="1">
        <w:r w:rsidRPr="00473311">
          <w:rPr>
            <w:rStyle w:val="Hyperlink"/>
            <w:rFonts w:ascii="Public Sans" w:hAnsi="Public Sans"/>
          </w:rPr>
          <w:t>Whether the attribute should be defined</w:t>
        </w:r>
        <w:r w:rsidRPr="00473311">
          <w:rPr>
            <w:webHidden/>
          </w:rPr>
          <w:tab/>
        </w:r>
        <w:r w:rsidRPr="00473311">
          <w:rPr>
            <w:webHidden/>
          </w:rPr>
          <w:fldChar w:fldCharType="begin"/>
        </w:r>
        <w:r w:rsidRPr="00473311">
          <w:rPr>
            <w:webHidden/>
          </w:rPr>
          <w:instrText xml:space="preserve"> PAGEREF _Toc196826831 \h </w:instrText>
        </w:r>
        <w:r w:rsidRPr="00473311">
          <w:rPr>
            <w:webHidden/>
          </w:rPr>
        </w:r>
        <w:r w:rsidRPr="00473311">
          <w:rPr>
            <w:webHidden/>
          </w:rPr>
          <w:fldChar w:fldCharType="separate"/>
        </w:r>
        <w:r w:rsidR="00F44BFC">
          <w:rPr>
            <w:webHidden/>
          </w:rPr>
          <w:t>44</w:t>
        </w:r>
        <w:r w:rsidRPr="00473311">
          <w:rPr>
            <w:webHidden/>
          </w:rPr>
          <w:fldChar w:fldCharType="end"/>
        </w:r>
      </w:hyperlink>
    </w:p>
    <w:p w14:paraId="776E9217" w14:textId="1314666E"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32" w:history="1">
        <w:r w:rsidRPr="00473311">
          <w:rPr>
            <w:rStyle w:val="Hyperlink"/>
            <w:rFonts w:ascii="Public Sans" w:eastAsia="Calibri" w:hAnsi="Public Sans"/>
          </w:rPr>
          <w:t>Options for different definitions of “carer”</w:t>
        </w:r>
        <w:r w:rsidRPr="00473311">
          <w:rPr>
            <w:webHidden/>
          </w:rPr>
          <w:tab/>
        </w:r>
        <w:r w:rsidRPr="00473311">
          <w:rPr>
            <w:webHidden/>
          </w:rPr>
          <w:fldChar w:fldCharType="begin"/>
        </w:r>
        <w:r w:rsidRPr="00473311">
          <w:rPr>
            <w:webHidden/>
          </w:rPr>
          <w:instrText xml:space="preserve"> PAGEREF _Toc196826832 \h </w:instrText>
        </w:r>
        <w:r w:rsidRPr="00473311">
          <w:rPr>
            <w:webHidden/>
          </w:rPr>
        </w:r>
        <w:r w:rsidRPr="00473311">
          <w:rPr>
            <w:webHidden/>
          </w:rPr>
          <w:fldChar w:fldCharType="separate"/>
        </w:r>
        <w:r w:rsidR="00F44BFC">
          <w:rPr>
            <w:webHidden/>
          </w:rPr>
          <w:t>45</w:t>
        </w:r>
        <w:r w:rsidRPr="00473311">
          <w:rPr>
            <w:webHidden/>
          </w:rPr>
          <w:fldChar w:fldCharType="end"/>
        </w:r>
      </w:hyperlink>
    </w:p>
    <w:p w14:paraId="67E7800A" w14:textId="6F7C526A"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33" w:history="1">
        <w:r w:rsidRPr="00473311">
          <w:rPr>
            <w:rStyle w:val="Hyperlink"/>
            <w:rFonts w:ascii="Public Sans" w:hAnsi="Public Sans"/>
          </w:rPr>
          <w:t>Other forms of relationships could be recognised</w:t>
        </w:r>
        <w:r w:rsidRPr="00473311">
          <w:rPr>
            <w:webHidden/>
          </w:rPr>
          <w:tab/>
        </w:r>
        <w:r w:rsidRPr="00473311">
          <w:rPr>
            <w:webHidden/>
          </w:rPr>
          <w:fldChar w:fldCharType="begin"/>
        </w:r>
        <w:r w:rsidRPr="00473311">
          <w:rPr>
            <w:webHidden/>
          </w:rPr>
          <w:instrText xml:space="preserve"> PAGEREF _Toc196826833 \h </w:instrText>
        </w:r>
        <w:r w:rsidRPr="00473311">
          <w:rPr>
            <w:webHidden/>
          </w:rPr>
        </w:r>
        <w:r w:rsidRPr="00473311">
          <w:rPr>
            <w:webHidden/>
          </w:rPr>
          <w:fldChar w:fldCharType="separate"/>
        </w:r>
        <w:r w:rsidR="00F44BFC">
          <w:rPr>
            <w:webHidden/>
          </w:rPr>
          <w:t>46</w:t>
        </w:r>
        <w:r w:rsidRPr="00473311">
          <w:rPr>
            <w:webHidden/>
          </w:rPr>
          <w:fldChar w:fldCharType="end"/>
        </w:r>
      </w:hyperlink>
    </w:p>
    <w:p w14:paraId="3727F5A5" w14:textId="3CDCF95A"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34" w:history="1">
        <w:r w:rsidRPr="00473311">
          <w:rPr>
            <w:rStyle w:val="Hyperlink"/>
            <w:rFonts w:ascii="Public Sans" w:hAnsi="Public Sans"/>
          </w:rPr>
          <w:t>Disability discrimination</w:t>
        </w:r>
        <w:r w:rsidRPr="00473311">
          <w:rPr>
            <w:webHidden/>
          </w:rPr>
          <w:tab/>
        </w:r>
        <w:r w:rsidRPr="00473311">
          <w:rPr>
            <w:webHidden/>
          </w:rPr>
          <w:fldChar w:fldCharType="begin"/>
        </w:r>
        <w:r w:rsidRPr="00473311">
          <w:rPr>
            <w:webHidden/>
          </w:rPr>
          <w:instrText xml:space="preserve"> PAGEREF _Toc196826834 \h </w:instrText>
        </w:r>
        <w:r w:rsidRPr="00473311">
          <w:rPr>
            <w:webHidden/>
          </w:rPr>
        </w:r>
        <w:r w:rsidRPr="00473311">
          <w:rPr>
            <w:webHidden/>
          </w:rPr>
          <w:fldChar w:fldCharType="separate"/>
        </w:r>
        <w:r w:rsidR="00F44BFC">
          <w:rPr>
            <w:webHidden/>
          </w:rPr>
          <w:t>46</w:t>
        </w:r>
        <w:r w:rsidRPr="00473311">
          <w:rPr>
            <w:webHidden/>
          </w:rPr>
          <w:fldChar w:fldCharType="end"/>
        </w:r>
      </w:hyperlink>
    </w:p>
    <w:p w14:paraId="13079801" w14:textId="0E895270"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35" w:history="1">
        <w:r w:rsidRPr="00473311">
          <w:rPr>
            <w:rStyle w:val="Hyperlink"/>
            <w:rFonts w:ascii="Public Sans" w:hAnsi="Public Sans"/>
          </w:rPr>
          <w:t>The language used to define “disability”</w:t>
        </w:r>
        <w:r w:rsidRPr="00473311">
          <w:rPr>
            <w:webHidden/>
          </w:rPr>
          <w:tab/>
        </w:r>
        <w:r w:rsidRPr="00473311">
          <w:rPr>
            <w:webHidden/>
          </w:rPr>
          <w:fldChar w:fldCharType="begin"/>
        </w:r>
        <w:r w:rsidRPr="00473311">
          <w:rPr>
            <w:webHidden/>
          </w:rPr>
          <w:instrText xml:space="preserve"> PAGEREF _Toc196826835 \h </w:instrText>
        </w:r>
        <w:r w:rsidRPr="00473311">
          <w:rPr>
            <w:webHidden/>
          </w:rPr>
        </w:r>
        <w:r w:rsidRPr="00473311">
          <w:rPr>
            <w:webHidden/>
          </w:rPr>
          <w:fldChar w:fldCharType="separate"/>
        </w:r>
        <w:r w:rsidR="00F44BFC">
          <w:rPr>
            <w:webHidden/>
          </w:rPr>
          <w:t>47</w:t>
        </w:r>
        <w:r w:rsidRPr="00473311">
          <w:rPr>
            <w:webHidden/>
          </w:rPr>
          <w:fldChar w:fldCharType="end"/>
        </w:r>
      </w:hyperlink>
    </w:p>
    <w:p w14:paraId="255F28C5" w14:textId="51E24485"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36" w:history="1">
        <w:r w:rsidRPr="00473311">
          <w:rPr>
            <w:rStyle w:val="Hyperlink"/>
            <w:rFonts w:ascii="Public Sans" w:hAnsi="Public Sans"/>
          </w:rPr>
          <w:t>Options for expanding the ADA’s coverage</w:t>
        </w:r>
        <w:r w:rsidRPr="00473311">
          <w:rPr>
            <w:webHidden/>
          </w:rPr>
          <w:tab/>
        </w:r>
        <w:r w:rsidRPr="00473311">
          <w:rPr>
            <w:webHidden/>
          </w:rPr>
          <w:fldChar w:fldCharType="begin"/>
        </w:r>
        <w:r w:rsidRPr="00473311">
          <w:rPr>
            <w:webHidden/>
          </w:rPr>
          <w:instrText xml:space="preserve"> PAGEREF _Toc196826836 \h </w:instrText>
        </w:r>
        <w:r w:rsidRPr="00473311">
          <w:rPr>
            <w:webHidden/>
          </w:rPr>
        </w:r>
        <w:r w:rsidRPr="00473311">
          <w:rPr>
            <w:webHidden/>
          </w:rPr>
          <w:fldChar w:fldCharType="separate"/>
        </w:r>
        <w:r w:rsidR="00F44BFC">
          <w:rPr>
            <w:webHidden/>
          </w:rPr>
          <w:t>49</w:t>
        </w:r>
        <w:r w:rsidRPr="00473311">
          <w:rPr>
            <w:webHidden/>
          </w:rPr>
          <w:fldChar w:fldCharType="end"/>
        </w:r>
      </w:hyperlink>
    </w:p>
    <w:p w14:paraId="4EABCF34" w14:textId="670276A4"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37" w:history="1">
        <w:r w:rsidRPr="00473311">
          <w:rPr>
            <w:rStyle w:val="Hyperlink"/>
            <w:rFonts w:ascii="Public Sans" w:hAnsi="Public Sans"/>
          </w:rPr>
          <w:t>Recognising the rights of people with assistance animals</w:t>
        </w:r>
        <w:r w:rsidRPr="00473311">
          <w:rPr>
            <w:webHidden/>
          </w:rPr>
          <w:tab/>
        </w:r>
        <w:r w:rsidRPr="00473311">
          <w:rPr>
            <w:webHidden/>
          </w:rPr>
          <w:fldChar w:fldCharType="begin"/>
        </w:r>
        <w:r w:rsidRPr="00473311">
          <w:rPr>
            <w:webHidden/>
          </w:rPr>
          <w:instrText xml:space="preserve"> PAGEREF _Toc196826837 \h </w:instrText>
        </w:r>
        <w:r w:rsidRPr="00473311">
          <w:rPr>
            <w:webHidden/>
          </w:rPr>
        </w:r>
        <w:r w:rsidRPr="00473311">
          <w:rPr>
            <w:webHidden/>
          </w:rPr>
          <w:fldChar w:fldCharType="separate"/>
        </w:r>
        <w:r w:rsidR="00F44BFC">
          <w:rPr>
            <w:webHidden/>
          </w:rPr>
          <w:t>50</w:t>
        </w:r>
        <w:r w:rsidRPr="00473311">
          <w:rPr>
            <w:webHidden/>
          </w:rPr>
          <w:fldChar w:fldCharType="end"/>
        </w:r>
      </w:hyperlink>
    </w:p>
    <w:p w14:paraId="3038DC3A" w14:textId="441240F9"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38" w:history="1">
        <w:r w:rsidRPr="00473311">
          <w:rPr>
            <w:rStyle w:val="Hyperlink"/>
            <w:rFonts w:ascii="Public Sans" w:hAnsi="Public Sans"/>
          </w:rPr>
          <w:t>Discrimination based on genetic information</w:t>
        </w:r>
        <w:r w:rsidRPr="00473311">
          <w:rPr>
            <w:webHidden/>
          </w:rPr>
          <w:tab/>
        </w:r>
        <w:r w:rsidRPr="00473311">
          <w:rPr>
            <w:webHidden/>
          </w:rPr>
          <w:fldChar w:fldCharType="begin"/>
        </w:r>
        <w:r w:rsidRPr="00473311">
          <w:rPr>
            <w:webHidden/>
          </w:rPr>
          <w:instrText xml:space="preserve"> PAGEREF _Toc196826838 \h </w:instrText>
        </w:r>
        <w:r w:rsidRPr="00473311">
          <w:rPr>
            <w:webHidden/>
          </w:rPr>
        </w:r>
        <w:r w:rsidRPr="00473311">
          <w:rPr>
            <w:webHidden/>
          </w:rPr>
          <w:fldChar w:fldCharType="separate"/>
        </w:r>
        <w:r w:rsidR="00F44BFC">
          <w:rPr>
            <w:webHidden/>
          </w:rPr>
          <w:t>51</w:t>
        </w:r>
        <w:r w:rsidRPr="00473311">
          <w:rPr>
            <w:webHidden/>
          </w:rPr>
          <w:fldChar w:fldCharType="end"/>
        </w:r>
      </w:hyperlink>
    </w:p>
    <w:p w14:paraId="10656AD9" w14:textId="17B4D338"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39" w:history="1">
        <w:r w:rsidRPr="00473311">
          <w:rPr>
            <w:rStyle w:val="Hyperlink"/>
            <w:rFonts w:ascii="Public Sans" w:hAnsi="Public Sans"/>
          </w:rPr>
          <w:t>The public health exception</w:t>
        </w:r>
        <w:r w:rsidRPr="00473311">
          <w:rPr>
            <w:webHidden/>
          </w:rPr>
          <w:tab/>
        </w:r>
        <w:r w:rsidRPr="00473311">
          <w:rPr>
            <w:webHidden/>
          </w:rPr>
          <w:fldChar w:fldCharType="begin"/>
        </w:r>
        <w:r w:rsidRPr="00473311">
          <w:rPr>
            <w:webHidden/>
          </w:rPr>
          <w:instrText xml:space="preserve"> PAGEREF _Toc196826839 \h </w:instrText>
        </w:r>
        <w:r w:rsidRPr="00473311">
          <w:rPr>
            <w:webHidden/>
          </w:rPr>
        </w:r>
        <w:r w:rsidRPr="00473311">
          <w:rPr>
            <w:webHidden/>
          </w:rPr>
          <w:fldChar w:fldCharType="separate"/>
        </w:r>
        <w:r w:rsidR="00F44BFC">
          <w:rPr>
            <w:webHidden/>
          </w:rPr>
          <w:t>52</w:t>
        </w:r>
        <w:r w:rsidRPr="00473311">
          <w:rPr>
            <w:webHidden/>
          </w:rPr>
          <w:fldChar w:fldCharType="end"/>
        </w:r>
      </w:hyperlink>
    </w:p>
    <w:p w14:paraId="1DC0CF24" w14:textId="1E1A034A"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40" w:history="1">
        <w:r w:rsidRPr="00473311">
          <w:rPr>
            <w:rStyle w:val="Hyperlink"/>
            <w:rFonts w:ascii="Public Sans" w:hAnsi="Public Sans"/>
          </w:rPr>
          <w:t>Homosexuality</w:t>
        </w:r>
        <w:r w:rsidRPr="00473311">
          <w:rPr>
            <w:webHidden/>
          </w:rPr>
          <w:tab/>
        </w:r>
        <w:r w:rsidRPr="00473311">
          <w:rPr>
            <w:webHidden/>
          </w:rPr>
          <w:fldChar w:fldCharType="begin"/>
        </w:r>
        <w:r w:rsidRPr="00473311">
          <w:rPr>
            <w:webHidden/>
          </w:rPr>
          <w:instrText xml:space="preserve"> PAGEREF _Toc196826840 \h </w:instrText>
        </w:r>
        <w:r w:rsidRPr="00473311">
          <w:rPr>
            <w:webHidden/>
          </w:rPr>
        </w:r>
        <w:r w:rsidRPr="00473311">
          <w:rPr>
            <w:webHidden/>
          </w:rPr>
          <w:fldChar w:fldCharType="separate"/>
        </w:r>
        <w:r w:rsidR="00F44BFC">
          <w:rPr>
            <w:webHidden/>
          </w:rPr>
          <w:t>53</w:t>
        </w:r>
        <w:r w:rsidRPr="00473311">
          <w:rPr>
            <w:webHidden/>
          </w:rPr>
          <w:fldChar w:fldCharType="end"/>
        </w:r>
      </w:hyperlink>
    </w:p>
    <w:p w14:paraId="08D7566C" w14:textId="1104B993"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41" w:history="1">
        <w:r w:rsidRPr="00473311">
          <w:rPr>
            <w:rStyle w:val="Hyperlink"/>
            <w:rFonts w:ascii="Public Sans" w:hAnsi="Public Sans"/>
          </w:rPr>
          <w:t>Marital or domestic status</w:t>
        </w:r>
        <w:r w:rsidRPr="00473311">
          <w:rPr>
            <w:webHidden/>
          </w:rPr>
          <w:tab/>
        </w:r>
        <w:r w:rsidRPr="00473311">
          <w:rPr>
            <w:webHidden/>
          </w:rPr>
          <w:fldChar w:fldCharType="begin"/>
        </w:r>
        <w:r w:rsidRPr="00473311">
          <w:rPr>
            <w:webHidden/>
          </w:rPr>
          <w:instrText xml:space="preserve"> PAGEREF _Toc196826841 \h </w:instrText>
        </w:r>
        <w:r w:rsidRPr="00473311">
          <w:rPr>
            <w:webHidden/>
          </w:rPr>
        </w:r>
        <w:r w:rsidRPr="00473311">
          <w:rPr>
            <w:webHidden/>
          </w:rPr>
          <w:fldChar w:fldCharType="separate"/>
        </w:r>
        <w:r w:rsidR="00F44BFC">
          <w:rPr>
            <w:webHidden/>
          </w:rPr>
          <w:t>55</w:t>
        </w:r>
        <w:r w:rsidRPr="00473311">
          <w:rPr>
            <w:webHidden/>
          </w:rPr>
          <w:fldChar w:fldCharType="end"/>
        </w:r>
      </w:hyperlink>
    </w:p>
    <w:p w14:paraId="481B2581" w14:textId="025B7241"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42" w:history="1">
        <w:r w:rsidRPr="00473311">
          <w:rPr>
            <w:rStyle w:val="Hyperlink"/>
            <w:rFonts w:ascii="Public Sans" w:hAnsi="Public Sans"/>
          </w:rPr>
          <w:t>Race</w:t>
        </w:r>
        <w:r w:rsidRPr="00473311">
          <w:rPr>
            <w:webHidden/>
          </w:rPr>
          <w:tab/>
        </w:r>
        <w:r w:rsidRPr="00473311">
          <w:rPr>
            <w:webHidden/>
          </w:rPr>
          <w:fldChar w:fldCharType="begin"/>
        </w:r>
        <w:r w:rsidRPr="00473311">
          <w:rPr>
            <w:webHidden/>
          </w:rPr>
          <w:instrText xml:space="preserve"> PAGEREF _Toc196826842 \h </w:instrText>
        </w:r>
        <w:r w:rsidRPr="00473311">
          <w:rPr>
            <w:webHidden/>
          </w:rPr>
        </w:r>
        <w:r w:rsidRPr="00473311">
          <w:rPr>
            <w:webHidden/>
          </w:rPr>
          <w:fldChar w:fldCharType="separate"/>
        </w:r>
        <w:r w:rsidR="00F44BFC">
          <w:rPr>
            <w:webHidden/>
          </w:rPr>
          <w:t>56</w:t>
        </w:r>
        <w:r w:rsidRPr="00473311">
          <w:rPr>
            <w:webHidden/>
          </w:rPr>
          <w:fldChar w:fldCharType="end"/>
        </w:r>
      </w:hyperlink>
    </w:p>
    <w:p w14:paraId="547AAF83" w14:textId="31C5D51A"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43" w:history="1">
        <w:r w:rsidRPr="00473311">
          <w:rPr>
            <w:rStyle w:val="Hyperlink"/>
            <w:rFonts w:ascii="Public Sans" w:hAnsi="Public Sans"/>
          </w:rPr>
          <w:t>Some potential gaps in coverage</w:t>
        </w:r>
        <w:r w:rsidRPr="00473311">
          <w:rPr>
            <w:webHidden/>
          </w:rPr>
          <w:tab/>
        </w:r>
        <w:r w:rsidRPr="00473311">
          <w:rPr>
            <w:webHidden/>
          </w:rPr>
          <w:fldChar w:fldCharType="begin"/>
        </w:r>
        <w:r w:rsidRPr="00473311">
          <w:rPr>
            <w:webHidden/>
          </w:rPr>
          <w:instrText xml:space="preserve"> PAGEREF _Toc196826843 \h </w:instrText>
        </w:r>
        <w:r w:rsidRPr="00473311">
          <w:rPr>
            <w:webHidden/>
          </w:rPr>
        </w:r>
        <w:r w:rsidRPr="00473311">
          <w:rPr>
            <w:webHidden/>
          </w:rPr>
          <w:fldChar w:fldCharType="separate"/>
        </w:r>
        <w:r w:rsidR="00F44BFC">
          <w:rPr>
            <w:webHidden/>
          </w:rPr>
          <w:t>56</w:t>
        </w:r>
        <w:r w:rsidRPr="00473311">
          <w:rPr>
            <w:webHidden/>
          </w:rPr>
          <w:fldChar w:fldCharType="end"/>
        </w:r>
      </w:hyperlink>
    </w:p>
    <w:p w14:paraId="01AC12C7" w14:textId="761F9420"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44" w:history="1">
        <w:r w:rsidRPr="00473311">
          <w:rPr>
            <w:rStyle w:val="Hyperlink"/>
            <w:rFonts w:ascii="Public Sans" w:hAnsi="Public Sans"/>
          </w:rPr>
          <w:t>Recognising Aboriginal and Torres Strait Islander peoples</w:t>
        </w:r>
        <w:r w:rsidRPr="00473311">
          <w:rPr>
            <w:webHidden/>
          </w:rPr>
          <w:tab/>
        </w:r>
        <w:r w:rsidRPr="00473311">
          <w:rPr>
            <w:webHidden/>
          </w:rPr>
          <w:fldChar w:fldCharType="begin"/>
        </w:r>
        <w:r w:rsidRPr="00473311">
          <w:rPr>
            <w:webHidden/>
          </w:rPr>
          <w:instrText xml:space="preserve"> PAGEREF _Toc196826844 \h </w:instrText>
        </w:r>
        <w:r w:rsidRPr="00473311">
          <w:rPr>
            <w:webHidden/>
          </w:rPr>
        </w:r>
        <w:r w:rsidRPr="00473311">
          <w:rPr>
            <w:webHidden/>
          </w:rPr>
          <w:fldChar w:fldCharType="separate"/>
        </w:r>
        <w:r w:rsidR="00F44BFC">
          <w:rPr>
            <w:webHidden/>
          </w:rPr>
          <w:t>58</w:t>
        </w:r>
        <w:r w:rsidRPr="00473311">
          <w:rPr>
            <w:webHidden/>
          </w:rPr>
          <w:fldChar w:fldCharType="end"/>
        </w:r>
      </w:hyperlink>
    </w:p>
    <w:p w14:paraId="41591C22" w14:textId="0DDEF05F"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45" w:history="1">
        <w:r w:rsidRPr="00473311">
          <w:rPr>
            <w:rStyle w:val="Hyperlink"/>
            <w:rFonts w:ascii="Public Sans" w:hAnsi="Public Sans"/>
          </w:rPr>
          <w:t>Sex discrimination</w:t>
        </w:r>
        <w:r w:rsidRPr="00473311">
          <w:rPr>
            <w:webHidden/>
          </w:rPr>
          <w:tab/>
        </w:r>
        <w:r w:rsidRPr="00473311">
          <w:rPr>
            <w:webHidden/>
          </w:rPr>
          <w:fldChar w:fldCharType="begin"/>
        </w:r>
        <w:r w:rsidRPr="00473311">
          <w:rPr>
            <w:webHidden/>
          </w:rPr>
          <w:instrText xml:space="preserve"> PAGEREF _Toc196826845 \h </w:instrText>
        </w:r>
        <w:r w:rsidRPr="00473311">
          <w:rPr>
            <w:webHidden/>
          </w:rPr>
        </w:r>
        <w:r w:rsidRPr="00473311">
          <w:rPr>
            <w:webHidden/>
          </w:rPr>
          <w:fldChar w:fldCharType="separate"/>
        </w:r>
        <w:r w:rsidR="00F44BFC">
          <w:rPr>
            <w:webHidden/>
          </w:rPr>
          <w:t>59</w:t>
        </w:r>
        <w:r w:rsidRPr="00473311">
          <w:rPr>
            <w:webHidden/>
          </w:rPr>
          <w:fldChar w:fldCharType="end"/>
        </w:r>
      </w:hyperlink>
    </w:p>
    <w:p w14:paraId="129914E8" w14:textId="7EB89E31"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46" w:history="1">
        <w:r w:rsidRPr="00473311">
          <w:rPr>
            <w:rStyle w:val="Hyperlink"/>
            <w:rFonts w:ascii="Public Sans" w:hAnsi="Public Sans"/>
          </w:rPr>
          <w:t>Gender discrimination and sex discrimination</w:t>
        </w:r>
        <w:r w:rsidRPr="00473311">
          <w:rPr>
            <w:webHidden/>
          </w:rPr>
          <w:tab/>
        </w:r>
        <w:r w:rsidRPr="00473311">
          <w:rPr>
            <w:webHidden/>
          </w:rPr>
          <w:fldChar w:fldCharType="begin"/>
        </w:r>
        <w:r w:rsidRPr="00473311">
          <w:rPr>
            <w:webHidden/>
          </w:rPr>
          <w:instrText xml:space="preserve"> PAGEREF _Toc196826846 \h </w:instrText>
        </w:r>
        <w:r w:rsidRPr="00473311">
          <w:rPr>
            <w:webHidden/>
          </w:rPr>
        </w:r>
        <w:r w:rsidRPr="00473311">
          <w:rPr>
            <w:webHidden/>
          </w:rPr>
          <w:fldChar w:fldCharType="separate"/>
        </w:r>
        <w:r w:rsidR="00F44BFC">
          <w:rPr>
            <w:webHidden/>
          </w:rPr>
          <w:t>59</w:t>
        </w:r>
        <w:r w:rsidRPr="00473311">
          <w:rPr>
            <w:webHidden/>
          </w:rPr>
          <w:fldChar w:fldCharType="end"/>
        </w:r>
      </w:hyperlink>
    </w:p>
    <w:p w14:paraId="15C3B684" w14:textId="222F7427"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47" w:history="1">
        <w:r w:rsidRPr="00473311">
          <w:rPr>
            <w:rStyle w:val="Hyperlink"/>
            <w:rFonts w:ascii="Public Sans" w:hAnsi="Public Sans"/>
          </w:rPr>
          <w:t>Binary and non-binary language</w:t>
        </w:r>
        <w:r w:rsidRPr="00473311">
          <w:rPr>
            <w:webHidden/>
          </w:rPr>
          <w:tab/>
        </w:r>
        <w:r w:rsidRPr="00473311">
          <w:rPr>
            <w:webHidden/>
          </w:rPr>
          <w:fldChar w:fldCharType="begin"/>
        </w:r>
        <w:r w:rsidRPr="00473311">
          <w:rPr>
            <w:webHidden/>
          </w:rPr>
          <w:instrText xml:space="preserve"> PAGEREF _Toc196826847 \h </w:instrText>
        </w:r>
        <w:r w:rsidRPr="00473311">
          <w:rPr>
            <w:webHidden/>
          </w:rPr>
        </w:r>
        <w:r w:rsidRPr="00473311">
          <w:rPr>
            <w:webHidden/>
          </w:rPr>
          <w:fldChar w:fldCharType="separate"/>
        </w:r>
        <w:r w:rsidR="00F44BFC">
          <w:rPr>
            <w:webHidden/>
          </w:rPr>
          <w:t>59</w:t>
        </w:r>
        <w:r w:rsidRPr="00473311">
          <w:rPr>
            <w:webHidden/>
          </w:rPr>
          <w:fldChar w:fldCharType="end"/>
        </w:r>
      </w:hyperlink>
    </w:p>
    <w:p w14:paraId="103D9C34" w14:textId="1F7826F3"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48" w:history="1">
        <w:r w:rsidRPr="00473311">
          <w:rPr>
            <w:rStyle w:val="Hyperlink"/>
            <w:rFonts w:ascii="Public Sans" w:hAnsi="Public Sans"/>
          </w:rPr>
          <w:t>Discrimination based on pregnancy or breastfeeding</w:t>
        </w:r>
        <w:r w:rsidRPr="00473311">
          <w:rPr>
            <w:webHidden/>
          </w:rPr>
          <w:tab/>
        </w:r>
        <w:r w:rsidRPr="00473311">
          <w:rPr>
            <w:webHidden/>
          </w:rPr>
          <w:fldChar w:fldCharType="begin"/>
        </w:r>
        <w:r w:rsidRPr="00473311">
          <w:rPr>
            <w:webHidden/>
          </w:rPr>
          <w:instrText xml:space="preserve"> PAGEREF _Toc196826848 \h </w:instrText>
        </w:r>
        <w:r w:rsidRPr="00473311">
          <w:rPr>
            <w:webHidden/>
          </w:rPr>
        </w:r>
        <w:r w:rsidRPr="00473311">
          <w:rPr>
            <w:webHidden/>
          </w:rPr>
          <w:fldChar w:fldCharType="separate"/>
        </w:r>
        <w:r w:rsidR="00F44BFC">
          <w:rPr>
            <w:webHidden/>
          </w:rPr>
          <w:t>60</w:t>
        </w:r>
        <w:r w:rsidRPr="00473311">
          <w:rPr>
            <w:webHidden/>
          </w:rPr>
          <w:fldChar w:fldCharType="end"/>
        </w:r>
      </w:hyperlink>
    </w:p>
    <w:p w14:paraId="269E3DD9" w14:textId="0B98E6EF"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49" w:history="1">
        <w:r w:rsidRPr="00473311">
          <w:rPr>
            <w:rStyle w:val="Hyperlink"/>
            <w:rFonts w:ascii="Public Sans" w:hAnsi="Public Sans"/>
          </w:rPr>
          <w:t>Transgender grounds</w:t>
        </w:r>
        <w:r w:rsidRPr="00473311">
          <w:rPr>
            <w:webHidden/>
          </w:rPr>
          <w:tab/>
        </w:r>
        <w:r w:rsidRPr="00473311">
          <w:rPr>
            <w:webHidden/>
          </w:rPr>
          <w:fldChar w:fldCharType="begin"/>
        </w:r>
        <w:r w:rsidRPr="00473311">
          <w:rPr>
            <w:webHidden/>
          </w:rPr>
          <w:instrText xml:space="preserve"> PAGEREF _Toc196826849 \h </w:instrText>
        </w:r>
        <w:r w:rsidRPr="00473311">
          <w:rPr>
            <w:webHidden/>
          </w:rPr>
        </w:r>
        <w:r w:rsidRPr="00473311">
          <w:rPr>
            <w:webHidden/>
          </w:rPr>
          <w:fldChar w:fldCharType="separate"/>
        </w:r>
        <w:r w:rsidR="00F44BFC">
          <w:rPr>
            <w:webHidden/>
          </w:rPr>
          <w:t>61</w:t>
        </w:r>
        <w:r w:rsidRPr="00473311">
          <w:rPr>
            <w:webHidden/>
          </w:rPr>
          <w:fldChar w:fldCharType="end"/>
        </w:r>
      </w:hyperlink>
    </w:p>
    <w:p w14:paraId="1FB78833" w14:textId="453690A3"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50" w:history="1">
        <w:r w:rsidRPr="00473311">
          <w:rPr>
            <w:rStyle w:val="Hyperlink"/>
            <w:rFonts w:ascii="Public Sans" w:hAnsi="Public Sans"/>
          </w:rPr>
          <w:t>“Gender identity” as a potential alternative</w:t>
        </w:r>
        <w:r w:rsidRPr="00473311">
          <w:rPr>
            <w:webHidden/>
          </w:rPr>
          <w:tab/>
        </w:r>
        <w:r w:rsidRPr="00473311">
          <w:rPr>
            <w:webHidden/>
          </w:rPr>
          <w:fldChar w:fldCharType="begin"/>
        </w:r>
        <w:r w:rsidRPr="00473311">
          <w:rPr>
            <w:webHidden/>
          </w:rPr>
          <w:instrText xml:space="preserve"> PAGEREF _Toc196826850 \h </w:instrText>
        </w:r>
        <w:r w:rsidRPr="00473311">
          <w:rPr>
            <w:webHidden/>
          </w:rPr>
        </w:r>
        <w:r w:rsidRPr="00473311">
          <w:rPr>
            <w:webHidden/>
          </w:rPr>
          <w:fldChar w:fldCharType="separate"/>
        </w:r>
        <w:r w:rsidR="00F44BFC">
          <w:rPr>
            <w:webHidden/>
          </w:rPr>
          <w:t>61</w:t>
        </w:r>
        <w:r w:rsidRPr="00473311">
          <w:rPr>
            <w:webHidden/>
          </w:rPr>
          <w:fldChar w:fldCharType="end"/>
        </w:r>
      </w:hyperlink>
    </w:p>
    <w:p w14:paraId="5EF0C240" w14:textId="10FA1DDF"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51" w:history="1">
        <w:r w:rsidRPr="00473311">
          <w:rPr>
            <w:rStyle w:val="Hyperlink"/>
            <w:rFonts w:ascii="Public Sans" w:hAnsi="Public Sans"/>
          </w:rPr>
          <w:t>Redefining “transgender grounds”</w:t>
        </w:r>
        <w:r w:rsidRPr="00473311">
          <w:rPr>
            <w:webHidden/>
          </w:rPr>
          <w:tab/>
        </w:r>
        <w:r w:rsidRPr="00473311">
          <w:rPr>
            <w:webHidden/>
          </w:rPr>
          <w:fldChar w:fldCharType="begin"/>
        </w:r>
        <w:r w:rsidRPr="00473311">
          <w:rPr>
            <w:webHidden/>
          </w:rPr>
          <w:instrText xml:space="preserve"> PAGEREF _Toc196826851 \h </w:instrText>
        </w:r>
        <w:r w:rsidRPr="00473311">
          <w:rPr>
            <w:webHidden/>
          </w:rPr>
        </w:r>
        <w:r w:rsidRPr="00473311">
          <w:rPr>
            <w:webHidden/>
          </w:rPr>
          <w:fldChar w:fldCharType="separate"/>
        </w:r>
        <w:r w:rsidR="00F44BFC">
          <w:rPr>
            <w:webHidden/>
          </w:rPr>
          <w:t>62</w:t>
        </w:r>
        <w:r w:rsidRPr="00473311">
          <w:rPr>
            <w:webHidden/>
          </w:rPr>
          <w:fldChar w:fldCharType="end"/>
        </w:r>
      </w:hyperlink>
    </w:p>
    <w:p w14:paraId="5558F428" w14:textId="749F3B3D"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52" w:history="1">
        <w:r w:rsidRPr="00473311">
          <w:rPr>
            <w:rStyle w:val="Hyperlink"/>
            <w:rFonts w:ascii="Public Sans" w:hAnsi="Public Sans"/>
          </w:rPr>
          <w:t>Extending existing protections</w:t>
        </w:r>
        <w:r w:rsidRPr="00473311">
          <w:rPr>
            <w:webHidden/>
          </w:rPr>
          <w:tab/>
        </w:r>
        <w:r w:rsidRPr="00473311">
          <w:rPr>
            <w:webHidden/>
          </w:rPr>
          <w:fldChar w:fldCharType="begin"/>
        </w:r>
        <w:r w:rsidRPr="00473311">
          <w:rPr>
            <w:webHidden/>
          </w:rPr>
          <w:instrText xml:space="preserve"> PAGEREF _Toc196826852 \h </w:instrText>
        </w:r>
        <w:r w:rsidRPr="00473311">
          <w:rPr>
            <w:webHidden/>
          </w:rPr>
        </w:r>
        <w:r w:rsidRPr="00473311">
          <w:rPr>
            <w:webHidden/>
          </w:rPr>
          <w:fldChar w:fldCharType="separate"/>
        </w:r>
        <w:r w:rsidR="00F44BFC">
          <w:rPr>
            <w:webHidden/>
          </w:rPr>
          <w:t>63</w:t>
        </w:r>
        <w:r w:rsidRPr="00473311">
          <w:rPr>
            <w:webHidden/>
          </w:rPr>
          <w:fldChar w:fldCharType="end"/>
        </w:r>
      </w:hyperlink>
    </w:p>
    <w:p w14:paraId="509B7361" w14:textId="60430642"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53" w:history="1">
        <w:r w:rsidRPr="00473311">
          <w:rPr>
            <w:rStyle w:val="Hyperlink"/>
            <w:rFonts w:ascii="Public Sans" w:hAnsi="Public Sans"/>
          </w:rPr>
          <w:t>Past or future attributes</w:t>
        </w:r>
        <w:r w:rsidRPr="00473311">
          <w:rPr>
            <w:webHidden/>
          </w:rPr>
          <w:tab/>
        </w:r>
        <w:r w:rsidRPr="00473311">
          <w:rPr>
            <w:webHidden/>
          </w:rPr>
          <w:fldChar w:fldCharType="begin"/>
        </w:r>
        <w:r w:rsidRPr="00473311">
          <w:rPr>
            <w:webHidden/>
          </w:rPr>
          <w:instrText xml:space="preserve"> PAGEREF _Toc196826853 \h </w:instrText>
        </w:r>
        <w:r w:rsidRPr="00473311">
          <w:rPr>
            <w:webHidden/>
          </w:rPr>
        </w:r>
        <w:r w:rsidRPr="00473311">
          <w:rPr>
            <w:webHidden/>
          </w:rPr>
          <w:fldChar w:fldCharType="separate"/>
        </w:r>
        <w:r w:rsidR="00F44BFC">
          <w:rPr>
            <w:webHidden/>
          </w:rPr>
          <w:t>63</w:t>
        </w:r>
        <w:r w:rsidRPr="00473311">
          <w:rPr>
            <w:webHidden/>
          </w:rPr>
          <w:fldChar w:fldCharType="end"/>
        </w:r>
      </w:hyperlink>
    </w:p>
    <w:p w14:paraId="76A629B3" w14:textId="5D7917DD"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54" w:history="1">
        <w:r w:rsidRPr="00473311">
          <w:rPr>
            <w:rStyle w:val="Hyperlink"/>
            <w:rFonts w:ascii="Public Sans" w:hAnsi="Public Sans"/>
          </w:rPr>
          <w:t>Relatives and associates of people with protected attributes</w:t>
        </w:r>
        <w:r w:rsidRPr="00473311">
          <w:rPr>
            <w:webHidden/>
          </w:rPr>
          <w:tab/>
        </w:r>
        <w:r w:rsidRPr="00473311">
          <w:rPr>
            <w:webHidden/>
          </w:rPr>
          <w:fldChar w:fldCharType="begin"/>
        </w:r>
        <w:r w:rsidRPr="00473311">
          <w:rPr>
            <w:webHidden/>
          </w:rPr>
          <w:instrText xml:space="preserve"> PAGEREF _Toc196826854 \h </w:instrText>
        </w:r>
        <w:r w:rsidRPr="00473311">
          <w:rPr>
            <w:webHidden/>
          </w:rPr>
        </w:r>
        <w:r w:rsidRPr="00473311">
          <w:rPr>
            <w:webHidden/>
          </w:rPr>
          <w:fldChar w:fldCharType="separate"/>
        </w:r>
        <w:r w:rsidR="00F44BFC">
          <w:rPr>
            <w:webHidden/>
          </w:rPr>
          <w:t>63</w:t>
        </w:r>
        <w:r w:rsidRPr="00473311">
          <w:rPr>
            <w:webHidden/>
          </w:rPr>
          <w:fldChar w:fldCharType="end"/>
        </w:r>
      </w:hyperlink>
    </w:p>
    <w:p w14:paraId="5F9AB395" w14:textId="410D1F83" w:rsidR="005D6C72" w:rsidRPr="00473311" w:rsidRDefault="005D6C72">
      <w:pPr>
        <w:pStyle w:val="TOC1"/>
        <w:rPr>
          <w:rFonts w:eastAsiaTheme="minorEastAsia" w:cstheme="minorBidi"/>
          <w:b w:val="0"/>
          <w:color w:val="auto"/>
          <w:kern w:val="2"/>
          <w:sz w:val="24"/>
          <w:u w:val="none"/>
          <w:lang w:eastAsia="en-AU"/>
          <w14:ligatures w14:val="standardContextual"/>
        </w:rPr>
      </w:pPr>
      <w:hyperlink w:anchor="_Toc196826855" w:history="1">
        <w:r w:rsidRPr="00473311">
          <w:rPr>
            <w:rStyle w:val="Hyperlink"/>
            <w:rFonts w:ascii="Public Sans" w:hAnsi="Public Sans"/>
          </w:rPr>
          <w:t>5.</w:t>
        </w:r>
        <w:r w:rsidRPr="00473311">
          <w:rPr>
            <w:rFonts w:eastAsiaTheme="minorEastAsia" w:cstheme="minorBidi"/>
            <w:b w:val="0"/>
            <w:color w:val="auto"/>
            <w:kern w:val="2"/>
            <w:sz w:val="24"/>
            <w:u w:val="none"/>
            <w:lang w:eastAsia="en-AU"/>
            <w14:ligatures w14:val="standardContextual"/>
          </w:rPr>
          <w:tab/>
        </w:r>
        <w:r w:rsidRPr="00473311">
          <w:rPr>
            <w:rStyle w:val="Hyperlink"/>
            <w:rFonts w:ascii="Public Sans" w:hAnsi="Public Sans"/>
          </w:rPr>
          <w:t>Discrimination: potential new protected attributes</w:t>
        </w:r>
        <w:r w:rsidRPr="00473311">
          <w:rPr>
            <w:webHidden/>
          </w:rPr>
          <w:tab/>
        </w:r>
        <w:r w:rsidRPr="00473311">
          <w:rPr>
            <w:webHidden/>
          </w:rPr>
          <w:fldChar w:fldCharType="begin"/>
        </w:r>
        <w:r w:rsidRPr="00473311">
          <w:rPr>
            <w:webHidden/>
          </w:rPr>
          <w:instrText xml:space="preserve"> PAGEREF _Toc196826855 \h </w:instrText>
        </w:r>
        <w:r w:rsidRPr="00473311">
          <w:rPr>
            <w:webHidden/>
          </w:rPr>
        </w:r>
        <w:r w:rsidRPr="00473311">
          <w:rPr>
            <w:webHidden/>
          </w:rPr>
          <w:fldChar w:fldCharType="separate"/>
        </w:r>
        <w:r w:rsidR="00F44BFC">
          <w:rPr>
            <w:webHidden/>
          </w:rPr>
          <w:t>65</w:t>
        </w:r>
        <w:r w:rsidRPr="00473311">
          <w:rPr>
            <w:webHidden/>
          </w:rPr>
          <w:fldChar w:fldCharType="end"/>
        </w:r>
      </w:hyperlink>
    </w:p>
    <w:p w14:paraId="4CE84933" w14:textId="2C7072BB"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56" w:history="1">
        <w:r w:rsidRPr="00473311">
          <w:rPr>
            <w:rStyle w:val="Hyperlink"/>
            <w:rFonts w:ascii="Public Sans" w:hAnsi="Public Sans"/>
          </w:rPr>
          <w:t>Principles that could guide reform</w:t>
        </w:r>
        <w:r w:rsidRPr="00473311">
          <w:rPr>
            <w:webHidden/>
          </w:rPr>
          <w:tab/>
        </w:r>
        <w:r w:rsidRPr="00473311">
          <w:rPr>
            <w:webHidden/>
          </w:rPr>
          <w:fldChar w:fldCharType="begin"/>
        </w:r>
        <w:r w:rsidRPr="00473311">
          <w:rPr>
            <w:webHidden/>
          </w:rPr>
          <w:instrText xml:space="preserve"> PAGEREF _Toc196826856 \h </w:instrText>
        </w:r>
        <w:r w:rsidRPr="00473311">
          <w:rPr>
            <w:webHidden/>
          </w:rPr>
        </w:r>
        <w:r w:rsidRPr="00473311">
          <w:rPr>
            <w:webHidden/>
          </w:rPr>
          <w:fldChar w:fldCharType="separate"/>
        </w:r>
        <w:r w:rsidR="00F44BFC">
          <w:rPr>
            <w:webHidden/>
          </w:rPr>
          <w:t>66</w:t>
        </w:r>
        <w:r w:rsidRPr="00473311">
          <w:rPr>
            <w:webHidden/>
          </w:rPr>
          <w:fldChar w:fldCharType="end"/>
        </w:r>
      </w:hyperlink>
    </w:p>
    <w:p w14:paraId="064CFCDA" w14:textId="7C2D152A"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57" w:history="1">
        <w:r w:rsidRPr="00473311">
          <w:rPr>
            <w:rStyle w:val="Hyperlink"/>
            <w:rFonts w:ascii="Public Sans" w:hAnsi="Public Sans"/>
          </w:rPr>
          <w:t>Identifying the guiding principles</w:t>
        </w:r>
        <w:r w:rsidRPr="00473311">
          <w:rPr>
            <w:webHidden/>
          </w:rPr>
          <w:tab/>
        </w:r>
        <w:r w:rsidRPr="00473311">
          <w:rPr>
            <w:webHidden/>
          </w:rPr>
          <w:fldChar w:fldCharType="begin"/>
        </w:r>
        <w:r w:rsidRPr="00473311">
          <w:rPr>
            <w:webHidden/>
          </w:rPr>
          <w:instrText xml:space="preserve"> PAGEREF _Toc196826857 \h </w:instrText>
        </w:r>
        <w:r w:rsidRPr="00473311">
          <w:rPr>
            <w:webHidden/>
          </w:rPr>
        </w:r>
        <w:r w:rsidRPr="00473311">
          <w:rPr>
            <w:webHidden/>
          </w:rPr>
          <w:fldChar w:fldCharType="separate"/>
        </w:r>
        <w:r w:rsidR="00F44BFC">
          <w:rPr>
            <w:webHidden/>
          </w:rPr>
          <w:t>66</w:t>
        </w:r>
        <w:r w:rsidRPr="00473311">
          <w:rPr>
            <w:webHidden/>
          </w:rPr>
          <w:fldChar w:fldCharType="end"/>
        </w:r>
      </w:hyperlink>
    </w:p>
    <w:p w14:paraId="528CEA12" w14:textId="411DBD22"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58" w:history="1">
        <w:r w:rsidRPr="00473311">
          <w:rPr>
            <w:rStyle w:val="Hyperlink"/>
            <w:rFonts w:ascii="Public Sans" w:hAnsi="Public Sans"/>
          </w:rPr>
          <w:t>Identifying gaps between federal and state law</w:t>
        </w:r>
        <w:r w:rsidRPr="00473311">
          <w:rPr>
            <w:webHidden/>
          </w:rPr>
          <w:tab/>
        </w:r>
        <w:r w:rsidRPr="00473311">
          <w:rPr>
            <w:webHidden/>
          </w:rPr>
          <w:fldChar w:fldCharType="begin"/>
        </w:r>
        <w:r w:rsidRPr="00473311">
          <w:rPr>
            <w:webHidden/>
          </w:rPr>
          <w:instrText xml:space="preserve"> PAGEREF _Toc196826858 \h </w:instrText>
        </w:r>
        <w:r w:rsidRPr="00473311">
          <w:rPr>
            <w:webHidden/>
          </w:rPr>
        </w:r>
        <w:r w:rsidRPr="00473311">
          <w:rPr>
            <w:webHidden/>
          </w:rPr>
          <w:fldChar w:fldCharType="separate"/>
        </w:r>
        <w:r w:rsidR="00F44BFC">
          <w:rPr>
            <w:webHidden/>
          </w:rPr>
          <w:t>67</w:t>
        </w:r>
        <w:r w:rsidRPr="00473311">
          <w:rPr>
            <w:webHidden/>
          </w:rPr>
          <w:fldChar w:fldCharType="end"/>
        </w:r>
      </w:hyperlink>
    </w:p>
    <w:p w14:paraId="02FC9B32" w14:textId="301A32FC"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59" w:history="1">
        <w:r w:rsidRPr="00473311">
          <w:rPr>
            <w:rStyle w:val="Hyperlink"/>
            <w:rFonts w:ascii="Public Sans" w:hAnsi="Public Sans"/>
          </w:rPr>
          <w:t>Some options for new protected attributes</w:t>
        </w:r>
        <w:r w:rsidRPr="00473311">
          <w:rPr>
            <w:webHidden/>
          </w:rPr>
          <w:tab/>
        </w:r>
        <w:r w:rsidRPr="00473311">
          <w:rPr>
            <w:webHidden/>
          </w:rPr>
          <w:fldChar w:fldCharType="begin"/>
        </w:r>
        <w:r w:rsidRPr="00473311">
          <w:rPr>
            <w:webHidden/>
          </w:rPr>
          <w:instrText xml:space="preserve"> PAGEREF _Toc196826859 \h </w:instrText>
        </w:r>
        <w:r w:rsidRPr="00473311">
          <w:rPr>
            <w:webHidden/>
          </w:rPr>
        </w:r>
        <w:r w:rsidRPr="00473311">
          <w:rPr>
            <w:webHidden/>
          </w:rPr>
          <w:fldChar w:fldCharType="separate"/>
        </w:r>
        <w:r w:rsidR="00F44BFC">
          <w:rPr>
            <w:webHidden/>
          </w:rPr>
          <w:t>70</w:t>
        </w:r>
        <w:r w:rsidRPr="00473311">
          <w:rPr>
            <w:webHidden/>
          </w:rPr>
          <w:fldChar w:fldCharType="end"/>
        </w:r>
      </w:hyperlink>
    </w:p>
    <w:p w14:paraId="2FDA7ACC" w14:textId="695651FD"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60" w:history="1">
        <w:r w:rsidRPr="00473311">
          <w:rPr>
            <w:rStyle w:val="Hyperlink"/>
            <w:rFonts w:ascii="Public Sans" w:hAnsi="Public Sans"/>
          </w:rPr>
          <w:t>Irrelevant criminal record</w:t>
        </w:r>
        <w:r w:rsidRPr="00473311">
          <w:rPr>
            <w:webHidden/>
          </w:rPr>
          <w:tab/>
        </w:r>
        <w:r w:rsidRPr="00473311">
          <w:rPr>
            <w:webHidden/>
          </w:rPr>
          <w:fldChar w:fldCharType="begin"/>
        </w:r>
        <w:r w:rsidRPr="00473311">
          <w:rPr>
            <w:webHidden/>
          </w:rPr>
          <w:instrText xml:space="preserve"> PAGEREF _Toc196826860 \h </w:instrText>
        </w:r>
        <w:r w:rsidRPr="00473311">
          <w:rPr>
            <w:webHidden/>
          </w:rPr>
        </w:r>
        <w:r w:rsidRPr="00473311">
          <w:rPr>
            <w:webHidden/>
          </w:rPr>
          <w:fldChar w:fldCharType="separate"/>
        </w:r>
        <w:r w:rsidR="00F44BFC">
          <w:rPr>
            <w:webHidden/>
          </w:rPr>
          <w:t>70</w:t>
        </w:r>
        <w:r w:rsidRPr="00473311">
          <w:rPr>
            <w:webHidden/>
          </w:rPr>
          <w:fldChar w:fldCharType="end"/>
        </w:r>
      </w:hyperlink>
    </w:p>
    <w:p w14:paraId="6BA5AF56" w14:textId="65B9E96B"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61" w:history="1">
        <w:r w:rsidRPr="00473311">
          <w:rPr>
            <w:rStyle w:val="Hyperlink"/>
            <w:rFonts w:ascii="Public Sans" w:hAnsi="Public Sans"/>
          </w:rPr>
          <w:t>Domestic and family violence</w:t>
        </w:r>
        <w:r w:rsidRPr="00473311">
          <w:rPr>
            <w:webHidden/>
          </w:rPr>
          <w:tab/>
        </w:r>
        <w:r w:rsidRPr="00473311">
          <w:rPr>
            <w:webHidden/>
          </w:rPr>
          <w:fldChar w:fldCharType="begin"/>
        </w:r>
        <w:r w:rsidRPr="00473311">
          <w:rPr>
            <w:webHidden/>
          </w:rPr>
          <w:instrText xml:space="preserve"> PAGEREF _Toc196826861 \h </w:instrText>
        </w:r>
        <w:r w:rsidRPr="00473311">
          <w:rPr>
            <w:webHidden/>
          </w:rPr>
        </w:r>
        <w:r w:rsidRPr="00473311">
          <w:rPr>
            <w:webHidden/>
          </w:rPr>
          <w:fldChar w:fldCharType="separate"/>
        </w:r>
        <w:r w:rsidR="00F44BFC">
          <w:rPr>
            <w:webHidden/>
          </w:rPr>
          <w:t>72</w:t>
        </w:r>
        <w:r w:rsidRPr="00473311">
          <w:rPr>
            <w:webHidden/>
          </w:rPr>
          <w:fldChar w:fldCharType="end"/>
        </w:r>
      </w:hyperlink>
    </w:p>
    <w:p w14:paraId="4E44752C" w14:textId="3590DE65"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62" w:history="1">
        <w:r w:rsidRPr="00473311">
          <w:rPr>
            <w:rStyle w:val="Hyperlink"/>
            <w:rFonts w:ascii="Public Sans" w:hAnsi="Public Sans"/>
          </w:rPr>
          <w:t>Health status and irrelevant medical record</w:t>
        </w:r>
        <w:r w:rsidRPr="00473311">
          <w:rPr>
            <w:webHidden/>
          </w:rPr>
          <w:tab/>
        </w:r>
        <w:r w:rsidRPr="00473311">
          <w:rPr>
            <w:webHidden/>
          </w:rPr>
          <w:fldChar w:fldCharType="begin"/>
        </w:r>
        <w:r w:rsidRPr="00473311">
          <w:rPr>
            <w:webHidden/>
          </w:rPr>
          <w:instrText xml:space="preserve"> PAGEREF _Toc196826862 \h </w:instrText>
        </w:r>
        <w:r w:rsidRPr="00473311">
          <w:rPr>
            <w:webHidden/>
          </w:rPr>
        </w:r>
        <w:r w:rsidRPr="00473311">
          <w:rPr>
            <w:webHidden/>
          </w:rPr>
          <w:fldChar w:fldCharType="separate"/>
        </w:r>
        <w:r w:rsidR="00F44BFC">
          <w:rPr>
            <w:webHidden/>
          </w:rPr>
          <w:t>73</w:t>
        </w:r>
        <w:r w:rsidRPr="00473311">
          <w:rPr>
            <w:webHidden/>
          </w:rPr>
          <w:fldChar w:fldCharType="end"/>
        </w:r>
      </w:hyperlink>
    </w:p>
    <w:p w14:paraId="334FE76F" w14:textId="3C86B90D"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63" w:history="1">
        <w:r w:rsidRPr="00473311">
          <w:rPr>
            <w:rStyle w:val="Hyperlink"/>
            <w:rFonts w:ascii="Public Sans" w:hAnsi="Public Sans"/>
          </w:rPr>
          <w:t>Industrial activity or political belief or activity</w:t>
        </w:r>
        <w:r w:rsidRPr="00473311">
          <w:rPr>
            <w:webHidden/>
          </w:rPr>
          <w:tab/>
        </w:r>
        <w:r w:rsidRPr="00473311">
          <w:rPr>
            <w:webHidden/>
          </w:rPr>
          <w:fldChar w:fldCharType="begin"/>
        </w:r>
        <w:r w:rsidRPr="00473311">
          <w:rPr>
            <w:webHidden/>
          </w:rPr>
          <w:instrText xml:space="preserve"> PAGEREF _Toc196826863 \h </w:instrText>
        </w:r>
        <w:r w:rsidRPr="00473311">
          <w:rPr>
            <w:webHidden/>
          </w:rPr>
        </w:r>
        <w:r w:rsidRPr="00473311">
          <w:rPr>
            <w:webHidden/>
          </w:rPr>
          <w:fldChar w:fldCharType="separate"/>
        </w:r>
        <w:r w:rsidR="00F44BFC">
          <w:rPr>
            <w:webHidden/>
          </w:rPr>
          <w:t>75</w:t>
        </w:r>
        <w:r w:rsidRPr="00473311">
          <w:rPr>
            <w:webHidden/>
          </w:rPr>
          <w:fldChar w:fldCharType="end"/>
        </w:r>
      </w:hyperlink>
    </w:p>
    <w:p w14:paraId="1B6E6DFC" w14:textId="22582351"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64" w:history="1">
        <w:r w:rsidRPr="00473311">
          <w:rPr>
            <w:rStyle w:val="Hyperlink"/>
            <w:rFonts w:ascii="Public Sans" w:hAnsi="Public Sans"/>
          </w:rPr>
          <w:t>Physical features or appearance</w:t>
        </w:r>
        <w:r w:rsidRPr="00473311">
          <w:rPr>
            <w:webHidden/>
          </w:rPr>
          <w:tab/>
        </w:r>
        <w:r w:rsidRPr="00473311">
          <w:rPr>
            <w:webHidden/>
          </w:rPr>
          <w:fldChar w:fldCharType="begin"/>
        </w:r>
        <w:r w:rsidRPr="00473311">
          <w:rPr>
            <w:webHidden/>
          </w:rPr>
          <w:instrText xml:space="preserve"> PAGEREF _Toc196826864 \h </w:instrText>
        </w:r>
        <w:r w:rsidRPr="00473311">
          <w:rPr>
            <w:webHidden/>
          </w:rPr>
        </w:r>
        <w:r w:rsidRPr="00473311">
          <w:rPr>
            <w:webHidden/>
          </w:rPr>
          <w:fldChar w:fldCharType="separate"/>
        </w:r>
        <w:r w:rsidR="00F44BFC">
          <w:rPr>
            <w:webHidden/>
          </w:rPr>
          <w:t>77</w:t>
        </w:r>
        <w:r w:rsidRPr="00473311">
          <w:rPr>
            <w:webHidden/>
          </w:rPr>
          <w:fldChar w:fldCharType="end"/>
        </w:r>
      </w:hyperlink>
    </w:p>
    <w:p w14:paraId="767E1C28" w14:textId="4DDD70B8"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65" w:history="1">
        <w:r w:rsidRPr="00473311">
          <w:rPr>
            <w:rStyle w:val="Hyperlink"/>
            <w:rFonts w:ascii="Public Sans" w:hAnsi="Public Sans"/>
          </w:rPr>
          <w:t>Religious belief or activity</w:t>
        </w:r>
        <w:r w:rsidRPr="00473311">
          <w:rPr>
            <w:webHidden/>
          </w:rPr>
          <w:tab/>
        </w:r>
        <w:r w:rsidRPr="00473311">
          <w:rPr>
            <w:webHidden/>
          </w:rPr>
          <w:fldChar w:fldCharType="begin"/>
        </w:r>
        <w:r w:rsidRPr="00473311">
          <w:rPr>
            <w:webHidden/>
          </w:rPr>
          <w:instrText xml:space="preserve"> PAGEREF _Toc196826865 \h </w:instrText>
        </w:r>
        <w:r w:rsidRPr="00473311">
          <w:rPr>
            <w:webHidden/>
          </w:rPr>
        </w:r>
        <w:r w:rsidRPr="00473311">
          <w:rPr>
            <w:webHidden/>
          </w:rPr>
          <w:fldChar w:fldCharType="separate"/>
        </w:r>
        <w:r w:rsidR="00F44BFC">
          <w:rPr>
            <w:webHidden/>
          </w:rPr>
          <w:t>79</w:t>
        </w:r>
        <w:r w:rsidRPr="00473311">
          <w:rPr>
            <w:webHidden/>
          </w:rPr>
          <w:fldChar w:fldCharType="end"/>
        </w:r>
      </w:hyperlink>
    </w:p>
    <w:p w14:paraId="5F0B32E6" w14:textId="2AC3D0B5"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66" w:history="1">
        <w:r w:rsidRPr="00473311">
          <w:rPr>
            <w:rStyle w:val="Hyperlink"/>
            <w:rFonts w:ascii="Public Sans" w:hAnsi="Public Sans"/>
          </w:rPr>
          <w:t>Sex characteristics</w:t>
        </w:r>
        <w:r w:rsidRPr="00473311">
          <w:rPr>
            <w:webHidden/>
          </w:rPr>
          <w:tab/>
        </w:r>
        <w:r w:rsidRPr="00473311">
          <w:rPr>
            <w:webHidden/>
          </w:rPr>
          <w:fldChar w:fldCharType="begin"/>
        </w:r>
        <w:r w:rsidRPr="00473311">
          <w:rPr>
            <w:webHidden/>
          </w:rPr>
          <w:instrText xml:space="preserve"> PAGEREF _Toc196826866 \h </w:instrText>
        </w:r>
        <w:r w:rsidRPr="00473311">
          <w:rPr>
            <w:webHidden/>
          </w:rPr>
        </w:r>
        <w:r w:rsidRPr="00473311">
          <w:rPr>
            <w:webHidden/>
          </w:rPr>
          <w:fldChar w:fldCharType="separate"/>
        </w:r>
        <w:r w:rsidR="00F44BFC">
          <w:rPr>
            <w:webHidden/>
          </w:rPr>
          <w:t>82</w:t>
        </w:r>
        <w:r w:rsidRPr="00473311">
          <w:rPr>
            <w:webHidden/>
          </w:rPr>
          <w:fldChar w:fldCharType="end"/>
        </w:r>
      </w:hyperlink>
    </w:p>
    <w:p w14:paraId="4BAC91DF" w14:textId="3BCADF71"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67" w:history="1">
        <w:r w:rsidRPr="00473311">
          <w:rPr>
            <w:rStyle w:val="Hyperlink"/>
            <w:rFonts w:ascii="Public Sans" w:hAnsi="Public Sans"/>
          </w:rPr>
          <w:t>Sex work, lawful sexual activity and occupation</w:t>
        </w:r>
        <w:r w:rsidRPr="00473311">
          <w:rPr>
            <w:webHidden/>
          </w:rPr>
          <w:tab/>
        </w:r>
        <w:r w:rsidRPr="00473311">
          <w:rPr>
            <w:webHidden/>
          </w:rPr>
          <w:fldChar w:fldCharType="begin"/>
        </w:r>
        <w:r w:rsidRPr="00473311">
          <w:rPr>
            <w:webHidden/>
          </w:rPr>
          <w:instrText xml:space="preserve"> PAGEREF _Toc196826867 \h </w:instrText>
        </w:r>
        <w:r w:rsidRPr="00473311">
          <w:rPr>
            <w:webHidden/>
          </w:rPr>
        </w:r>
        <w:r w:rsidRPr="00473311">
          <w:rPr>
            <w:webHidden/>
          </w:rPr>
          <w:fldChar w:fldCharType="separate"/>
        </w:r>
        <w:r w:rsidR="00F44BFC">
          <w:rPr>
            <w:webHidden/>
          </w:rPr>
          <w:t>83</w:t>
        </w:r>
        <w:r w:rsidRPr="00473311">
          <w:rPr>
            <w:webHidden/>
          </w:rPr>
          <w:fldChar w:fldCharType="end"/>
        </w:r>
      </w:hyperlink>
    </w:p>
    <w:p w14:paraId="3664FC91" w14:textId="7C34E922"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68" w:history="1">
        <w:r w:rsidRPr="00473311">
          <w:rPr>
            <w:rStyle w:val="Hyperlink"/>
            <w:rFonts w:ascii="Public Sans" w:hAnsi="Public Sans"/>
          </w:rPr>
          <w:t>Socio-economic status</w:t>
        </w:r>
        <w:r w:rsidRPr="00473311">
          <w:rPr>
            <w:webHidden/>
          </w:rPr>
          <w:tab/>
        </w:r>
        <w:r w:rsidRPr="00473311">
          <w:rPr>
            <w:webHidden/>
          </w:rPr>
          <w:fldChar w:fldCharType="begin"/>
        </w:r>
        <w:r w:rsidRPr="00473311">
          <w:rPr>
            <w:webHidden/>
          </w:rPr>
          <w:instrText xml:space="preserve"> PAGEREF _Toc196826868 \h </w:instrText>
        </w:r>
        <w:r w:rsidRPr="00473311">
          <w:rPr>
            <w:webHidden/>
          </w:rPr>
        </w:r>
        <w:r w:rsidRPr="00473311">
          <w:rPr>
            <w:webHidden/>
          </w:rPr>
          <w:fldChar w:fldCharType="separate"/>
        </w:r>
        <w:r w:rsidR="00F44BFC">
          <w:rPr>
            <w:webHidden/>
          </w:rPr>
          <w:t>86</w:t>
        </w:r>
        <w:r w:rsidRPr="00473311">
          <w:rPr>
            <w:webHidden/>
          </w:rPr>
          <w:fldChar w:fldCharType="end"/>
        </w:r>
      </w:hyperlink>
    </w:p>
    <w:p w14:paraId="5B3A175F" w14:textId="0B4DD3ED"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69" w:history="1">
        <w:r w:rsidRPr="00473311">
          <w:rPr>
            <w:rStyle w:val="Hyperlink"/>
            <w:rFonts w:ascii="Public Sans" w:hAnsi="Public Sans"/>
          </w:rPr>
          <w:t>An alternative approach: an open-ended list</w:t>
        </w:r>
        <w:r w:rsidRPr="00473311">
          <w:rPr>
            <w:webHidden/>
          </w:rPr>
          <w:tab/>
        </w:r>
        <w:r w:rsidRPr="00473311">
          <w:rPr>
            <w:webHidden/>
          </w:rPr>
          <w:fldChar w:fldCharType="begin"/>
        </w:r>
        <w:r w:rsidRPr="00473311">
          <w:rPr>
            <w:webHidden/>
          </w:rPr>
          <w:instrText xml:space="preserve"> PAGEREF _Toc196826869 \h </w:instrText>
        </w:r>
        <w:r w:rsidRPr="00473311">
          <w:rPr>
            <w:webHidden/>
          </w:rPr>
        </w:r>
        <w:r w:rsidRPr="00473311">
          <w:rPr>
            <w:webHidden/>
          </w:rPr>
          <w:fldChar w:fldCharType="separate"/>
        </w:r>
        <w:r w:rsidR="00F44BFC">
          <w:rPr>
            <w:webHidden/>
          </w:rPr>
          <w:t>88</w:t>
        </w:r>
        <w:r w:rsidRPr="00473311">
          <w:rPr>
            <w:webHidden/>
          </w:rPr>
          <w:fldChar w:fldCharType="end"/>
        </w:r>
      </w:hyperlink>
    </w:p>
    <w:p w14:paraId="5E9F8967" w14:textId="646DADB0" w:rsidR="005D6C72" w:rsidRPr="00473311" w:rsidRDefault="005D6C72">
      <w:pPr>
        <w:pStyle w:val="TOC1"/>
        <w:rPr>
          <w:rFonts w:eastAsiaTheme="minorEastAsia" w:cstheme="minorBidi"/>
          <w:b w:val="0"/>
          <w:color w:val="auto"/>
          <w:kern w:val="2"/>
          <w:sz w:val="24"/>
          <w:u w:val="none"/>
          <w:lang w:eastAsia="en-AU"/>
          <w14:ligatures w14:val="standardContextual"/>
        </w:rPr>
      </w:pPr>
      <w:hyperlink w:anchor="_Toc196826870" w:history="1">
        <w:r w:rsidRPr="00473311">
          <w:rPr>
            <w:rStyle w:val="Hyperlink"/>
            <w:rFonts w:ascii="Public Sans" w:hAnsi="Public Sans"/>
          </w:rPr>
          <w:t>6.</w:t>
        </w:r>
        <w:r w:rsidRPr="00473311">
          <w:rPr>
            <w:rFonts w:eastAsiaTheme="minorEastAsia" w:cstheme="minorBidi"/>
            <w:b w:val="0"/>
            <w:color w:val="auto"/>
            <w:kern w:val="2"/>
            <w:sz w:val="24"/>
            <w:u w:val="none"/>
            <w:lang w:eastAsia="en-AU"/>
            <w14:ligatures w14:val="standardContextual"/>
          </w:rPr>
          <w:tab/>
        </w:r>
        <w:r w:rsidRPr="00473311">
          <w:rPr>
            <w:rStyle w:val="Hyperlink"/>
            <w:rFonts w:ascii="Public Sans" w:hAnsi="Public Sans"/>
          </w:rPr>
          <w:t>Discrimination: Areas of public life</w:t>
        </w:r>
        <w:r w:rsidRPr="00473311">
          <w:rPr>
            <w:webHidden/>
          </w:rPr>
          <w:tab/>
        </w:r>
        <w:r w:rsidRPr="00473311">
          <w:rPr>
            <w:webHidden/>
          </w:rPr>
          <w:fldChar w:fldCharType="begin"/>
        </w:r>
        <w:r w:rsidRPr="00473311">
          <w:rPr>
            <w:webHidden/>
          </w:rPr>
          <w:instrText xml:space="preserve"> PAGEREF _Toc196826870 \h </w:instrText>
        </w:r>
        <w:r w:rsidRPr="00473311">
          <w:rPr>
            <w:webHidden/>
          </w:rPr>
        </w:r>
        <w:r w:rsidRPr="00473311">
          <w:rPr>
            <w:webHidden/>
          </w:rPr>
          <w:fldChar w:fldCharType="separate"/>
        </w:r>
        <w:r w:rsidR="00F44BFC">
          <w:rPr>
            <w:webHidden/>
          </w:rPr>
          <w:t>91</w:t>
        </w:r>
        <w:r w:rsidRPr="00473311">
          <w:rPr>
            <w:webHidden/>
          </w:rPr>
          <w:fldChar w:fldCharType="end"/>
        </w:r>
      </w:hyperlink>
    </w:p>
    <w:p w14:paraId="296711DB" w14:textId="3171058F"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71" w:history="1">
        <w:r w:rsidRPr="00473311">
          <w:rPr>
            <w:rStyle w:val="Hyperlink"/>
            <w:rFonts w:ascii="Public Sans" w:hAnsi="Public Sans"/>
          </w:rPr>
          <w:t>Discrimination in work</w:t>
        </w:r>
        <w:r w:rsidRPr="00473311">
          <w:rPr>
            <w:webHidden/>
          </w:rPr>
          <w:tab/>
        </w:r>
        <w:r w:rsidRPr="00473311">
          <w:rPr>
            <w:webHidden/>
          </w:rPr>
          <w:fldChar w:fldCharType="begin"/>
        </w:r>
        <w:r w:rsidRPr="00473311">
          <w:rPr>
            <w:webHidden/>
          </w:rPr>
          <w:instrText xml:space="preserve"> PAGEREF _Toc196826871 \h </w:instrText>
        </w:r>
        <w:r w:rsidRPr="00473311">
          <w:rPr>
            <w:webHidden/>
          </w:rPr>
        </w:r>
        <w:r w:rsidRPr="00473311">
          <w:rPr>
            <w:webHidden/>
          </w:rPr>
          <w:fldChar w:fldCharType="separate"/>
        </w:r>
        <w:r w:rsidR="00F44BFC">
          <w:rPr>
            <w:webHidden/>
          </w:rPr>
          <w:t>93</w:t>
        </w:r>
        <w:r w:rsidRPr="00473311">
          <w:rPr>
            <w:webHidden/>
          </w:rPr>
          <w:fldChar w:fldCharType="end"/>
        </w:r>
      </w:hyperlink>
    </w:p>
    <w:p w14:paraId="7224C570" w14:textId="0A9F6EAC"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72" w:history="1">
        <w:r w:rsidRPr="00473311">
          <w:rPr>
            <w:rStyle w:val="Hyperlink"/>
            <w:rFonts w:ascii="Public Sans" w:hAnsi="Public Sans"/>
          </w:rPr>
          <w:t>Issues relating to coverage</w:t>
        </w:r>
        <w:r w:rsidRPr="00473311">
          <w:rPr>
            <w:webHidden/>
          </w:rPr>
          <w:tab/>
        </w:r>
        <w:r w:rsidRPr="00473311">
          <w:rPr>
            <w:webHidden/>
          </w:rPr>
          <w:fldChar w:fldCharType="begin"/>
        </w:r>
        <w:r w:rsidRPr="00473311">
          <w:rPr>
            <w:webHidden/>
          </w:rPr>
          <w:instrText xml:space="preserve"> PAGEREF _Toc196826872 \h </w:instrText>
        </w:r>
        <w:r w:rsidRPr="00473311">
          <w:rPr>
            <w:webHidden/>
          </w:rPr>
        </w:r>
        <w:r w:rsidRPr="00473311">
          <w:rPr>
            <w:webHidden/>
          </w:rPr>
          <w:fldChar w:fldCharType="separate"/>
        </w:r>
        <w:r w:rsidR="00F44BFC">
          <w:rPr>
            <w:webHidden/>
          </w:rPr>
          <w:t>94</w:t>
        </w:r>
        <w:r w:rsidRPr="00473311">
          <w:rPr>
            <w:webHidden/>
          </w:rPr>
          <w:fldChar w:fldCharType="end"/>
        </w:r>
      </w:hyperlink>
    </w:p>
    <w:p w14:paraId="07B75373" w14:textId="49997827"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73" w:history="1">
        <w:r w:rsidRPr="00473311">
          <w:rPr>
            <w:rStyle w:val="Hyperlink"/>
            <w:rFonts w:ascii="Public Sans" w:hAnsi="Public Sans"/>
          </w:rPr>
          <w:t>Exceptions to discrimination in work</w:t>
        </w:r>
        <w:r w:rsidRPr="00473311">
          <w:rPr>
            <w:webHidden/>
          </w:rPr>
          <w:tab/>
        </w:r>
        <w:r w:rsidRPr="00473311">
          <w:rPr>
            <w:webHidden/>
          </w:rPr>
          <w:fldChar w:fldCharType="begin"/>
        </w:r>
        <w:r w:rsidRPr="00473311">
          <w:rPr>
            <w:webHidden/>
          </w:rPr>
          <w:instrText xml:space="preserve"> PAGEREF _Toc196826873 \h </w:instrText>
        </w:r>
        <w:r w:rsidRPr="00473311">
          <w:rPr>
            <w:webHidden/>
          </w:rPr>
        </w:r>
        <w:r w:rsidRPr="00473311">
          <w:rPr>
            <w:webHidden/>
          </w:rPr>
          <w:fldChar w:fldCharType="separate"/>
        </w:r>
        <w:r w:rsidR="00F44BFC">
          <w:rPr>
            <w:webHidden/>
          </w:rPr>
          <w:t>96</w:t>
        </w:r>
        <w:r w:rsidRPr="00473311">
          <w:rPr>
            <w:webHidden/>
          </w:rPr>
          <w:fldChar w:fldCharType="end"/>
        </w:r>
      </w:hyperlink>
    </w:p>
    <w:p w14:paraId="1F091CB3" w14:textId="586908BB"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74" w:history="1">
        <w:r w:rsidRPr="00473311">
          <w:rPr>
            <w:rStyle w:val="Hyperlink"/>
            <w:rFonts w:ascii="Public Sans" w:hAnsi="Public Sans"/>
          </w:rPr>
          <w:t>Education</w:t>
        </w:r>
        <w:r w:rsidRPr="00473311">
          <w:rPr>
            <w:webHidden/>
          </w:rPr>
          <w:tab/>
        </w:r>
        <w:r w:rsidRPr="00473311">
          <w:rPr>
            <w:webHidden/>
          </w:rPr>
          <w:fldChar w:fldCharType="begin"/>
        </w:r>
        <w:r w:rsidRPr="00473311">
          <w:rPr>
            <w:webHidden/>
          </w:rPr>
          <w:instrText xml:space="preserve"> PAGEREF _Toc196826874 \h </w:instrText>
        </w:r>
        <w:r w:rsidRPr="00473311">
          <w:rPr>
            <w:webHidden/>
          </w:rPr>
        </w:r>
        <w:r w:rsidRPr="00473311">
          <w:rPr>
            <w:webHidden/>
          </w:rPr>
          <w:fldChar w:fldCharType="separate"/>
        </w:r>
        <w:r w:rsidR="00F44BFC">
          <w:rPr>
            <w:webHidden/>
          </w:rPr>
          <w:t>103</w:t>
        </w:r>
        <w:r w:rsidRPr="00473311">
          <w:rPr>
            <w:webHidden/>
          </w:rPr>
          <w:fldChar w:fldCharType="end"/>
        </w:r>
      </w:hyperlink>
    </w:p>
    <w:p w14:paraId="3B9EC22A" w14:textId="796292BE"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75" w:history="1">
        <w:r w:rsidRPr="00473311">
          <w:rPr>
            <w:rStyle w:val="Hyperlink"/>
            <w:rFonts w:ascii="Public Sans" w:hAnsi="Public Sans"/>
          </w:rPr>
          <w:t>Issues relating to coverage</w:t>
        </w:r>
        <w:r w:rsidRPr="00473311">
          <w:rPr>
            <w:webHidden/>
          </w:rPr>
          <w:tab/>
        </w:r>
        <w:r w:rsidRPr="00473311">
          <w:rPr>
            <w:webHidden/>
          </w:rPr>
          <w:fldChar w:fldCharType="begin"/>
        </w:r>
        <w:r w:rsidRPr="00473311">
          <w:rPr>
            <w:webHidden/>
          </w:rPr>
          <w:instrText xml:space="preserve"> PAGEREF _Toc196826875 \h </w:instrText>
        </w:r>
        <w:r w:rsidRPr="00473311">
          <w:rPr>
            <w:webHidden/>
          </w:rPr>
        </w:r>
        <w:r w:rsidRPr="00473311">
          <w:rPr>
            <w:webHidden/>
          </w:rPr>
          <w:fldChar w:fldCharType="separate"/>
        </w:r>
        <w:r w:rsidR="00F44BFC">
          <w:rPr>
            <w:webHidden/>
          </w:rPr>
          <w:t>103</w:t>
        </w:r>
        <w:r w:rsidRPr="00473311">
          <w:rPr>
            <w:webHidden/>
          </w:rPr>
          <w:fldChar w:fldCharType="end"/>
        </w:r>
      </w:hyperlink>
    </w:p>
    <w:p w14:paraId="548B9581" w14:textId="2256C4E3"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76" w:history="1">
        <w:r w:rsidRPr="00473311">
          <w:rPr>
            <w:rStyle w:val="Hyperlink"/>
            <w:rFonts w:ascii="Public Sans" w:hAnsi="Public Sans"/>
          </w:rPr>
          <w:t>Exceptions to discrimination in education</w:t>
        </w:r>
        <w:r w:rsidRPr="00473311">
          <w:rPr>
            <w:webHidden/>
          </w:rPr>
          <w:tab/>
        </w:r>
        <w:r w:rsidRPr="00473311">
          <w:rPr>
            <w:webHidden/>
          </w:rPr>
          <w:fldChar w:fldCharType="begin"/>
        </w:r>
        <w:r w:rsidRPr="00473311">
          <w:rPr>
            <w:webHidden/>
          </w:rPr>
          <w:instrText xml:space="preserve"> PAGEREF _Toc196826876 \h </w:instrText>
        </w:r>
        <w:r w:rsidRPr="00473311">
          <w:rPr>
            <w:webHidden/>
          </w:rPr>
        </w:r>
        <w:r w:rsidRPr="00473311">
          <w:rPr>
            <w:webHidden/>
          </w:rPr>
          <w:fldChar w:fldCharType="separate"/>
        </w:r>
        <w:r w:rsidR="00F44BFC">
          <w:rPr>
            <w:webHidden/>
          </w:rPr>
          <w:t>104</w:t>
        </w:r>
        <w:r w:rsidRPr="00473311">
          <w:rPr>
            <w:webHidden/>
          </w:rPr>
          <w:fldChar w:fldCharType="end"/>
        </w:r>
      </w:hyperlink>
    </w:p>
    <w:p w14:paraId="09F36450" w14:textId="2DED4E48"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77" w:history="1">
        <w:r w:rsidRPr="00473311">
          <w:rPr>
            <w:rStyle w:val="Hyperlink"/>
            <w:rFonts w:ascii="Public Sans" w:hAnsi="Public Sans"/>
          </w:rPr>
          <w:t>The provision of goods and services</w:t>
        </w:r>
        <w:r w:rsidRPr="00473311">
          <w:rPr>
            <w:webHidden/>
          </w:rPr>
          <w:tab/>
        </w:r>
        <w:r w:rsidRPr="00473311">
          <w:rPr>
            <w:webHidden/>
          </w:rPr>
          <w:fldChar w:fldCharType="begin"/>
        </w:r>
        <w:r w:rsidRPr="00473311">
          <w:rPr>
            <w:webHidden/>
          </w:rPr>
          <w:instrText xml:space="preserve"> PAGEREF _Toc196826877 \h </w:instrText>
        </w:r>
        <w:r w:rsidRPr="00473311">
          <w:rPr>
            <w:webHidden/>
          </w:rPr>
        </w:r>
        <w:r w:rsidRPr="00473311">
          <w:rPr>
            <w:webHidden/>
          </w:rPr>
          <w:fldChar w:fldCharType="separate"/>
        </w:r>
        <w:r w:rsidR="00F44BFC">
          <w:rPr>
            <w:webHidden/>
          </w:rPr>
          <w:t>106</w:t>
        </w:r>
        <w:r w:rsidRPr="00473311">
          <w:rPr>
            <w:webHidden/>
          </w:rPr>
          <w:fldChar w:fldCharType="end"/>
        </w:r>
      </w:hyperlink>
    </w:p>
    <w:p w14:paraId="595BFA7F" w14:textId="65C46142"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78" w:history="1">
        <w:r w:rsidRPr="00473311">
          <w:rPr>
            <w:rStyle w:val="Hyperlink"/>
            <w:rFonts w:ascii="Public Sans" w:hAnsi="Public Sans"/>
          </w:rPr>
          <w:t>Issues relating to coverage</w:t>
        </w:r>
        <w:r w:rsidRPr="00473311">
          <w:rPr>
            <w:webHidden/>
          </w:rPr>
          <w:tab/>
        </w:r>
        <w:r w:rsidRPr="00473311">
          <w:rPr>
            <w:webHidden/>
          </w:rPr>
          <w:fldChar w:fldCharType="begin"/>
        </w:r>
        <w:r w:rsidRPr="00473311">
          <w:rPr>
            <w:webHidden/>
          </w:rPr>
          <w:instrText xml:space="preserve"> PAGEREF _Toc196826878 \h </w:instrText>
        </w:r>
        <w:r w:rsidRPr="00473311">
          <w:rPr>
            <w:webHidden/>
          </w:rPr>
        </w:r>
        <w:r w:rsidRPr="00473311">
          <w:rPr>
            <w:webHidden/>
          </w:rPr>
          <w:fldChar w:fldCharType="separate"/>
        </w:r>
        <w:r w:rsidR="00F44BFC">
          <w:rPr>
            <w:webHidden/>
          </w:rPr>
          <w:t>106</w:t>
        </w:r>
        <w:r w:rsidRPr="00473311">
          <w:rPr>
            <w:webHidden/>
          </w:rPr>
          <w:fldChar w:fldCharType="end"/>
        </w:r>
      </w:hyperlink>
    </w:p>
    <w:p w14:paraId="38A5C523" w14:textId="192F3D37"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79" w:history="1">
        <w:r w:rsidRPr="00473311">
          <w:rPr>
            <w:rStyle w:val="Hyperlink"/>
            <w:rFonts w:ascii="Public Sans" w:hAnsi="Public Sans"/>
          </w:rPr>
          <w:t>Exceptions for superannuation services and insurance</w:t>
        </w:r>
        <w:r w:rsidRPr="00473311">
          <w:rPr>
            <w:webHidden/>
          </w:rPr>
          <w:tab/>
        </w:r>
        <w:r w:rsidRPr="00473311">
          <w:rPr>
            <w:webHidden/>
          </w:rPr>
          <w:fldChar w:fldCharType="begin"/>
        </w:r>
        <w:r w:rsidRPr="00473311">
          <w:rPr>
            <w:webHidden/>
          </w:rPr>
          <w:instrText xml:space="preserve"> PAGEREF _Toc196826879 \h </w:instrText>
        </w:r>
        <w:r w:rsidRPr="00473311">
          <w:rPr>
            <w:webHidden/>
          </w:rPr>
        </w:r>
        <w:r w:rsidRPr="00473311">
          <w:rPr>
            <w:webHidden/>
          </w:rPr>
          <w:fldChar w:fldCharType="separate"/>
        </w:r>
        <w:r w:rsidR="00F44BFC">
          <w:rPr>
            <w:webHidden/>
          </w:rPr>
          <w:t>109</w:t>
        </w:r>
        <w:r w:rsidRPr="00473311">
          <w:rPr>
            <w:webHidden/>
          </w:rPr>
          <w:fldChar w:fldCharType="end"/>
        </w:r>
      </w:hyperlink>
    </w:p>
    <w:p w14:paraId="4A8891E0" w14:textId="37800217"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80" w:history="1">
        <w:r w:rsidRPr="00473311">
          <w:rPr>
            <w:rStyle w:val="Hyperlink"/>
            <w:rFonts w:ascii="Public Sans" w:hAnsi="Public Sans"/>
          </w:rPr>
          <w:t>Other exceptions to discrimination in goods and services</w:t>
        </w:r>
        <w:r w:rsidRPr="00473311">
          <w:rPr>
            <w:webHidden/>
          </w:rPr>
          <w:tab/>
        </w:r>
        <w:r w:rsidRPr="00473311">
          <w:rPr>
            <w:webHidden/>
          </w:rPr>
          <w:fldChar w:fldCharType="begin"/>
        </w:r>
        <w:r w:rsidRPr="00473311">
          <w:rPr>
            <w:webHidden/>
          </w:rPr>
          <w:instrText xml:space="preserve"> PAGEREF _Toc196826880 \h </w:instrText>
        </w:r>
        <w:r w:rsidRPr="00473311">
          <w:rPr>
            <w:webHidden/>
          </w:rPr>
        </w:r>
        <w:r w:rsidRPr="00473311">
          <w:rPr>
            <w:webHidden/>
          </w:rPr>
          <w:fldChar w:fldCharType="separate"/>
        </w:r>
        <w:r w:rsidR="00F44BFC">
          <w:rPr>
            <w:webHidden/>
          </w:rPr>
          <w:t>113</w:t>
        </w:r>
        <w:r w:rsidRPr="00473311">
          <w:rPr>
            <w:webHidden/>
          </w:rPr>
          <w:fldChar w:fldCharType="end"/>
        </w:r>
      </w:hyperlink>
    </w:p>
    <w:p w14:paraId="7451271F" w14:textId="6C0497B3"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81" w:history="1">
        <w:r w:rsidRPr="00473311">
          <w:rPr>
            <w:rStyle w:val="Hyperlink"/>
            <w:rFonts w:ascii="Public Sans" w:hAnsi="Public Sans"/>
          </w:rPr>
          <w:t>Accommodation</w:t>
        </w:r>
        <w:r w:rsidRPr="00473311">
          <w:rPr>
            <w:webHidden/>
          </w:rPr>
          <w:tab/>
        </w:r>
        <w:r w:rsidRPr="00473311">
          <w:rPr>
            <w:webHidden/>
          </w:rPr>
          <w:fldChar w:fldCharType="begin"/>
        </w:r>
        <w:r w:rsidRPr="00473311">
          <w:rPr>
            <w:webHidden/>
          </w:rPr>
          <w:instrText xml:space="preserve"> PAGEREF _Toc196826881 \h </w:instrText>
        </w:r>
        <w:r w:rsidRPr="00473311">
          <w:rPr>
            <w:webHidden/>
          </w:rPr>
        </w:r>
        <w:r w:rsidRPr="00473311">
          <w:rPr>
            <w:webHidden/>
          </w:rPr>
          <w:fldChar w:fldCharType="separate"/>
        </w:r>
        <w:r w:rsidR="00F44BFC">
          <w:rPr>
            <w:webHidden/>
          </w:rPr>
          <w:t>114</w:t>
        </w:r>
        <w:r w:rsidRPr="00473311">
          <w:rPr>
            <w:webHidden/>
          </w:rPr>
          <w:fldChar w:fldCharType="end"/>
        </w:r>
      </w:hyperlink>
    </w:p>
    <w:p w14:paraId="6856CDEA" w14:textId="3AECC219"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82" w:history="1">
        <w:r w:rsidRPr="00473311">
          <w:rPr>
            <w:rStyle w:val="Hyperlink"/>
            <w:rFonts w:ascii="Public Sans" w:hAnsi="Public Sans"/>
          </w:rPr>
          <w:t>Issues relating to coverage</w:t>
        </w:r>
        <w:r w:rsidRPr="00473311">
          <w:rPr>
            <w:webHidden/>
          </w:rPr>
          <w:tab/>
        </w:r>
        <w:r w:rsidRPr="00473311">
          <w:rPr>
            <w:webHidden/>
          </w:rPr>
          <w:fldChar w:fldCharType="begin"/>
        </w:r>
        <w:r w:rsidRPr="00473311">
          <w:rPr>
            <w:webHidden/>
          </w:rPr>
          <w:instrText xml:space="preserve"> PAGEREF _Toc196826882 \h </w:instrText>
        </w:r>
        <w:r w:rsidRPr="00473311">
          <w:rPr>
            <w:webHidden/>
          </w:rPr>
        </w:r>
        <w:r w:rsidRPr="00473311">
          <w:rPr>
            <w:webHidden/>
          </w:rPr>
          <w:fldChar w:fldCharType="separate"/>
        </w:r>
        <w:r w:rsidR="00F44BFC">
          <w:rPr>
            <w:webHidden/>
          </w:rPr>
          <w:t>114</w:t>
        </w:r>
        <w:r w:rsidRPr="00473311">
          <w:rPr>
            <w:webHidden/>
          </w:rPr>
          <w:fldChar w:fldCharType="end"/>
        </w:r>
      </w:hyperlink>
    </w:p>
    <w:p w14:paraId="65267B5F" w14:textId="34E58DE6"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83" w:history="1">
        <w:r w:rsidRPr="00473311">
          <w:rPr>
            <w:rStyle w:val="Hyperlink"/>
            <w:rFonts w:ascii="Public Sans" w:hAnsi="Public Sans"/>
          </w:rPr>
          <w:t>Exceptions to discrimination in accommodation</w:t>
        </w:r>
        <w:r w:rsidRPr="00473311">
          <w:rPr>
            <w:webHidden/>
          </w:rPr>
          <w:tab/>
        </w:r>
        <w:r w:rsidRPr="00473311">
          <w:rPr>
            <w:webHidden/>
          </w:rPr>
          <w:fldChar w:fldCharType="begin"/>
        </w:r>
        <w:r w:rsidRPr="00473311">
          <w:rPr>
            <w:webHidden/>
          </w:rPr>
          <w:instrText xml:space="preserve"> PAGEREF _Toc196826883 \h </w:instrText>
        </w:r>
        <w:r w:rsidRPr="00473311">
          <w:rPr>
            <w:webHidden/>
          </w:rPr>
        </w:r>
        <w:r w:rsidRPr="00473311">
          <w:rPr>
            <w:webHidden/>
          </w:rPr>
          <w:fldChar w:fldCharType="separate"/>
        </w:r>
        <w:r w:rsidR="00F44BFC">
          <w:rPr>
            <w:webHidden/>
          </w:rPr>
          <w:t>115</w:t>
        </w:r>
        <w:r w:rsidRPr="00473311">
          <w:rPr>
            <w:webHidden/>
          </w:rPr>
          <w:fldChar w:fldCharType="end"/>
        </w:r>
      </w:hyperlink>
    </w:p>
    <w:p w14:paraId="1057E4E6" w14:textId="325CDC42"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84" w:history="1">
        <w:r w:rsidRPr="00473311">
          <w:rPr>
            <w:rStyle w:val="Hyperlink"/>
            <w:rFonts w:ascii="Public Sans" w:hAnsi="Public Sans"/>
          </w:rPr>
          <w:t>Registered clubs</w:t>
        </w:r>
        <w:r w:rsidRPr="00473311">
          <w:rPr>
            <w:webHidden/>
          </w:rPr>
          <w:tab/>
        </w:r>
        <w:r w:rsidRPr="00473311">
          <w:rPr>
            <w:webHidden/>
          </w:rPr>
          <w:fldChar w:fldCharType="begin"/>
        </w:r>
        <w:r w:rsidRPr="00473311">
          <w:rPr>
            <w:webHidden/>
          </w:rPr>
          <w:instrText xml:space="preserve"> PAGEREF _Toc196826884 \h </w:instrText>
        </w:r>
        <w:r w:rsidRPr="00473311">
          <w:rPr>
            <w:webHidden/>
          </w:rPr>
        </w:r>
        <w:r w:rsidRPr="00473311">
          <w:rPr>
            <w:webHidden/>
          </w:rPr>
          <w:fldChar w:fldCharType="separate"/>
        </w:r>
        <w:r w:rsidR="00F44BFC">
          <w:rPr>
            <w:webHidden/>
          </w:rPr>
          <w:t>117</w:t>
        </w:r>
        <w:r w:rsidRPr="00473311">
          <w:rPr>
            <w:webHidden/>
          </w:rPr>
          <w:fldChar w:fldCharType="end"/>
        </w:r>
      </w:hyperlink>
    </w:p>
    <w:p w14:paraId="16F508EC" w14:textId="0CBB0C2A"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85" w:history="1">
        <w:r w:rsidRPr="00473311">
          <w:rPr>
            <w:rStyle w:val="Hyperlink"/>
            <w:rFonts w:ascii="Public Sans" w:hAnsi="Public Sans"/>
          </w:rPr>
          <w:t>Issues relating to coverage</w:t>
        </w:r>
        <w:r w:rsidRPr="00473311">
          <w:rPr>
            <w:webHidden/>
          </w:rPr>
          <w:tab/>
        </w:r>
        <w:r w:rsidRPr="00473311">
          <w:rPr>
            <w:webHidden/>
          </w:rPr>
          <w:fldChar w:fldCharType="begin"/>
        </w:r>
        <w:r w:rsidRPr="00473311">
          <w:rPr>
            <w:webHidden/>
          </w:rPr>
          <w:instrText xml:space="preserve"> PAGEREF _Toc196826885 \h </w:instrText>
        </w:r>
        <w:r w:rsidRPr="00473311">
          <w:rPr>
            <w:webHidden/>
          </w:rPr>
        </w:r>
        <w:r w:rsidRPr="00473311">
          <w:rPr>
            <w:webHidden/>
          </w:rPr>
          <w:fldChar w:fldCharType="separate"/>
        </w:r>
        <w:r w:rsidR="00F44BFC">
          <w:rPr>
            <w:webHidden/>
          </w:rPr>
          <w:t>117</w:t>
        </w:r>
        <w:r w:rsidRPr="00473311">
          <w:rPr>
            <w:webHidden/>
          </w:rPr>
          <w:fldChar w:fldCharType="end"/>
        </w:r>
      </w:hyperlink>
    </w:p>
    <w:p w14:paraId="51641682" w14:textId="5086ACEC"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86" w:history="1">
        <w:r w:rsidRPr="00473311">
          <w:rPr>
            <w:rStyle w:val="Hyperlink"/>
            <w:rFonts w:ascii="Public Sans" w:hAnsi="Public Sans"/>
          </w:rPr>
          <w:t>Exceptions to discrimination by registered clubs</w:t>
        </w:r>
        <w:r w:rsidRPr="00473311">
          <w:rPr>
            <w:webHidden/>
          </w:rPr>
          <w:tab/>
        </w:r>
        <w:r w:rsidRPr="00473311">
          <w:rPr>
            <w:webHidden/>
          </w:rPr>
          <w:fldChar w:fldCharType="begin"/>
        </w:r>
        <w:r w:rsidRPr="00473311">
          <w:rPr>
            <w:webHidden/>
          </w:rPr>
          <w:instrText xml:space="preserve"> PAGEREF _Toc196826886 \h </w:instrText>
        </w:r>
        <w:r w:rsidRPr="00473311">
          <w:rPr>
            <w:webHidden/>
          </w:rPr>
        </w:r>
        <w:r w:rsidRPr="00473311">
          <w:rPr>
            <w:webHidden/>
          </w:rPr>
          <w:fldChar w:fldCharType="separate"/>
        </w:r>
        <w:r w:rsidR="00F44BFC">
          <w:rPr>
            <w:webHidden/>
          </w:rPr>
          <w:t>118</w:t>
        </w:r>
        <w:r w:rsidRPr="00473311">
          <w:rPr>
            <w:webHidden/>
          </w:rPr>
          <w:fldChar w:fldCharType="end"/>
        </w:r>
      </w:hyperlink>
    </w:p>
    <w:p w14:paraId="07C04BBA" w14:textId="1DD7A818"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87" w:history="1">
        <w:r w:rsidRPr="00473311">
          <w:rPr>
            <w:rStyle w:val="Hyperlink"/>
            <w:rFonts w:ascii="Public Sans" w:hAnsi="Public Sans"/>
          </w:rPr>
          <w:t>Protecting all attributes in all areas</w:t>
        </w:r>
        <w:r w:rsidRPr="00473311">
          <w:rPr>
            <w:webHidden/>
          </w:rPr>
          <w:tab/>
        </w:r>
        <w:r w:rsidRPr="00473311">
          <w:rPr>
            <w:webHidden/>
          </w:rPr>
          <w:fldChar w:fldCharType="begin"/>
        </w:r>
        <w:r w:rsidRPr="00473311">
          <w:rPr>
            <w:webHidden/>
          </w:rPr>
          <w:instrText xml:space="preserve"> PAGEREF _Toc196826887 \h </w:instrText>
        </w:r>
        <w:r w:rsidRPr="00473311">
          <w:rPr>
            <w:webHidden/>
          </w:rPr>
        </w:r>
        <w:r w:rsidRPr="00473311">
          <w:rPr>
            <w:webHidden/>
          </w:rPr>
          <w:fldChar w:fldCharType="separate"/>
        </w:r>
        <w:r w:rsidR="00F44BFC">
          <w:rPr>
            <w:webHidden/>
          </w:rPr>
          <w:t>120</w:t>
        </w:r>
        <w:r w:rsidRPr="00473311">
          <w:rPr>
            <w:webHidden/>
          </w:rPr>
          <w:fldChar w:fldCharType="end"/>
        </w:r>
      </w:hyperlink>
    </w:p>
    <w:p w14:paraId="7725D185" w14:textId="5C5D28E6"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88" w:history="1">
        <w:r w:rsidRPr="00473311">
          <w:rPr>
            <w:rStyle w:val="Hyperlink"/>
            <w:rFonts w:ascii="Public Sans" w:hAnsi="Public Sans"/>
          </w:rPr>
          <w:t>Other potential protected areas</w:t>
        </w:r>
        <w:r w:rsidRPr="00473311">
          <w:rPr>
            <w:webHidden/>
          </w:rPr>
          <w:tab/>
        </w:r>
        <w:r w:rsidRPr="00473311">
          <w:rPr>
            <w:webHidden/>
          </w:rPr>
          <w:fldChar w:fldCharType="begin"/>
        </w:r>
        <w:r w:rsidRPr="00473311">
          <w:rPr>
            <w:webHidden/>
          </w:rPr>
          <w:instrText xml:space="preserve"> PAGEREF _Toc196826888 \h </w:instrText>
        </w:r>
        <w:r w:rsidRPr="00473311">
          <w:rPr>
            <w:webHidden/>
          </w:rPr>
        </w:r>
        <w:r w:rsidRPr="00473311">
          <w:rPr>
            <w:webHidden/>
          </w:rPr>
          <w:fldChar w:fldCharType="separate"/>
        </w:r>
        <w:r w:rsidR="00F44BFC">
          <w:rPr>
            <w:webHidden/>
          </w:rPr>
          <w:t>121</w:t>
        </w:r>
        <w:r w:rsidRPr="00473311">
          <w:rPr>
            <w:webHidden/>
          </w:rPr>
          <w:fldChar w:fldCharType="end"/>
        </w:r>
      </w:hyperlink>
    </w:p>
    <w:p w14:paraId="00E3C8F1" w14:textId="26E1B3A3"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89" w:history="1">
        <w:r w:rsidRPr="00473311">
          <w:rPr>
            <w:rStyle w:val="Hyperlink"/>
            <w:rFonts w:ascii="Public Sans" w:hAnsi="Public Sans"/>
          </w:rPr>
          <w:t>A broader application to all areas of public life</w:t>
        </w:r>
        <w:r w:rsidRPr="00473311">
          <w:rPr>
            <w:webHidden/>
          </w:rPr>
          <w:tab/>
        </w:r>
        <w:r w:rsidRPr="00473311">
          <w:rPr>
            <w:webHidden/>
          </w:rPr>
          <w:fldChar w:fldCharType="begin"/>
        </w:r>
        <w:r w:rsidRPr="00473311">
          <w:rPr>
            <w:webHidden/>
          </w:rPr>
          <w:instrText xml:space="preserve"> PAGEREF _Toc196826889 \h </w:instrText>
        </w:r>
        <w:r w:rsidRPr="00473311">
          <w:rPr>
            <w:webHidden/>
          </w:rPr>
        </w:r>
        <w:r w:rsidRPr="00473311">
          <w:rPr>
            <w:webHidden/>
          </w:rPr>
          <w:fldChar w:fldCharType="separate"/>
        </w:r>
        <w:r w:rsidR="00F44BFC">
          <w:rPr>
            <w:webHidden/>
          </w:rPr>
          <w:t>121</w:t>
        </w:r>
        <w:r w:rsidRPr="00473311">
          <w:rPr>
            <w:webHidden/>
          </w:rPr>
          <w:fldChar w:fldCharType="end"/>
        </w:r>
      </w:hyperlink>
    </w:p>
    <w:p w14:paraId="3DA06F23" w14:textId="352FC461"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90" w:history="1">
        <w:r w:rsidRPr="00473311">
          <w:rPr>
            <w:rStyle w:val="Hyperlink"/>
            <w:rFonts w:ascii="Public Sans" w:hAnsi="Public Sans"/>
          </w:rPr>
          <w:t>Disposal of interests in land</w:t>
        </w:r>
        <w:r w:rsidRPr="00473311">
          <w:rPr>
            <w:webHidden/>
          </w:rPr>
          <w:tab/>
        </w:r>
        <w:r w:rsidRPr="00473311">
          <w:rPr>
            <w:webHidden/>
          </w:rPr>
          <w:fldChar w:fldCharType="begin"/>
        </w:r>
        <w:r w:rsidRPr="00473311">
          <w:rPr>
            <w:webHidden/>
          </w:rPr>
          <w:instrText xml:space="preserve"> PAGEREF _Toc196826890 \h </w:instrText>
        </w:r>
        <w:r w:rsidRPr="00473311">
          <w:rPr>
            <w:webHidden/>
          </w:rPr>
        </w:r>
        <w:r w:rsidRPr="00473311">
          <w:rPr>
            <w:webHidden/>
          </w:rPr>
          <w:fldChar w:fldCharType="separate"/>
        </w:r>
        <w:r w:rsidR="00F44BFC">
          <w:rPr>
            <w:webHidden/>
          </w:rPr>
          <w:t>122</w:t>
        </w:r>
        <w:r w:rsidRPr="00473311">
          <w:rPr>
            <w:webHidden/>
          </w:rPr>
          <w:fldChar w:fldCharType="end"/>
        </w:r>
      </w:hyperlink>
    </w:p>
    <w:p w14:paraId="4ED46449" w14:textId="46E3EC32"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91" w:history="1">
        <w:r w:rsidRPr="00473311">
          <w:rPr>
            <w:rStyle w:val="Hyperlink"/>
            <w:rFonts w:ascii="Public Sans" w:hAnsi="Public Sans"/>
          </w:rPr>
          <w:t>Government functions and the administration of laws</w:t>
        </w:r>
        <w:r w:rsidRPr="00473311">
          <w:rPr>
            <w:webHidden/>
          </w:rPr>
          <w:tab/>
        </w:r>
        <w:r w:rsidRPr="00473311">
          <w:rPr>
            <w:webHidden/>
          </w:rPr>
          <w:fldChar w:fldCharType="begin"/>
        </w:r>
        <w:r w:rsidRPr="00473311">
          <w:rPr>
            <w:webHidden/>
          </w:rPr>
          <w:instrText xml:space="preserve"> PAGEREF _Toc196826891 \h </w:instrText>
        </w:r>
        <w:r w:rsidRPr="00473311">
          <w:rPr>
            <w:webHidden/>
          </w:rPr>
        </w:r>
        <w:r w:rsidRPr="00473311">
          <w:rPr>
            <w:webHidden/>
          </w:rPr>
          <w:fldChar w:fldCharType="separate"/>
        </w:r>
        <w:r w:rsidR="00F44BFC">
          <w:rPr>
            <w:webHidden/>
          </w:rPr>
          <w:t>123</w:t>
        </w:r>
        <w:r w:rsidRPr="00473311">
          <w:rPr>
            <w:webHidden/>
          </w:rPr>
          <w:fldChar w:fldCharType="end"/>
        </w:r>
      </w:hyperlink>
    </w:p>
    <w:p w14:paraId="45183044" w14:textId="79DC2E95"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92" w:history="1">
        <w:r w:rsidRPr="00473311">
          <w:rPr>
            <w:rStyle w:val="Hyperlink"/>
            <w:rFonts w:ascii="Public Sans" w:hAnsi="Public Sans"/>
          </w:rPr>
          <w:t>Requests for information</w:t>
        </w:r>
        <w:r w:rsidRPr="00473311">
          <w:rPr>
            <w:webHidden/>
          </w:rPr>
          <w:tab/>
        </w:r>
        <w:r w:rsidRPr="00473311">
          <w:rPr>
            <w:webHidden/>
          </w:rPr>
          <w:fldChar w:fldCharType="begin"/>
        </w:r>
        <w:r w:rsidRPr="00473311">
          <w:rPr>
            <w:webHidden/>
          </w:rPr>
          <w:instrText xml:space="preserve"> PAGEREF _Toc196826892 \h </w:instrText>
        </w:r>
        <w:r w:rsidRPr="00473311">
          <w:rPr>
            <w:webHidden/>
          </w:rPr>
        </w:r>
        <w:r w:rsidRPr="00473311">
          <w:rPr>
            <w:webHidden/>
          </w:rPr>
          <w:fldChar w:fldCharType="separate"/>
        </w:r>
        <w:r w:rsidR="00F44BFC">
          <w:rPr>
            <w:webHidden/>
          </w:rPr>
          <w:t>123</w:t>
        </w:r>
        <w:r w:rsidRPr="00473311">
          <w:rPr>
            <w:webHidden/>
          </w:rPr>
          <w:fldChar w:fldCharType="end"/>
        </w:r>
      </w:hyperlink>
    </w:p>
    <w:p w14:paraId="4C00822F" w14:textId="422EFCC8"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93" w:history="1">
        <w:r w:rsidRPr="00473311">
          <w:rPr>
            <w:rStyle w:val="Hyperlink"/>
            <w:rFonts w:ascii="Public Sans" w:hAnsi="Public Sans"/>
          </w:rPr>
          <w:t>Sport and other competitions</w:t>
        </w:r>
        <w:r w:rsidRPr="00473311">
          <w:rPr>
            <w:webHidden/>
          </w:rPr>
          <w:tab/>
        </w:r>
        <w:r w:rsidRPr="00473311">
          <w:rPr>
            <w:webHidden/>
          </w:rPr>
          <w:fldChar w:fldCharType="begin"/>
        </w:r>
        <w:r w:rsidRPr="00473311">
          <w:rPr>
            <w:webHidden/>
          </w:rPr>
          <w:instrText xml:space="preserve"> PAGEREF _Toc196826893 \h </w:instrText>
        </w:r>
        <w:r w:rsidRPr="00473311">
          <w:rPr>
            <w:webHidden/>
          </w:rPr>
        </w:r>
        <w:r w:rsidRPr="00473311">
          <w:rPr>
            <w:webHidden/>
          </w:rPr>
          <w:fldChar w:fldCharType="separate"/>
        </w:r>
        <w:r w:rsidR="00F44BFC">
          <w:rPr>
            <w:webHidden/>
          </w:rPr>
          <w:t>124</w:t>
        </w:r>
        <w:r w:rsidRPr="00473311">
          <w:rPr>
            <w:webHidden/>
          </w:rPr>
          <w:fldChar w:fldCharType="end"/>
        </w:r>
      </w:hyperlink>
    </w:p>
    <w:p w14:paraId="4A8F2AFA" w14:textId="0153CE18"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94" w:history="1">
        <w:r w:rsidRPr="00473311">
          <w:rPr>
            <w:rStyle w:val="Hyperlink"/>
            <w:rFonts w:ascii="Public Sans" w:hAnsi="Public Sans"/>
          </w:rPr>
          <w:t>Strata committees and owners’ corporations</w:t>
        </w:r>
        <w:r w:rsidRPr="00473311">
          <w:rPr>
            <w:webHidden/>
          </w:rPr>
          <w:tab/>
        </w:r>
        <w:r w:rsidRPr="00473311">
          <w:rPr>
            <w:webHidden/>
          </w:rPr>
          <w:fldChar w:fldCharType="begin"/>
        </w:r>
        <w:r w:rsidRPr="00473311">
          <w:rPr>
            <w:webHidden/>
          </w:rPr>
          <w:instrText xml:space="preserve"> PAGEREF _Toc196826894 \h </w:instrText>
        </w:r>
        <w:r w:rsidRPr="00473311">
          <w:rPr>
            <w:webHidden/>
          </w:rPr>
        </w:r>
        <w:r w:rsidRPr="00473311">
          <w:rPr>
            <w:webHidden/>
          </w:rPr>
          <w:fldChar w:fldCharType="separate"/>
        </w:r>
        <w:r w:rsidR="00F44BFC">
          <w:rPr>
            <w:webHidden/>
          </w:rPr>
          <w:t>126</w:t>
        </w:r>
        <w:r w:rsidRPr="00473311">
          <w:rPr>
            <w:webHidden/>
          </w:rPr>
          <w:fldChar w:fldCharType="end"/>
        </w:r>
      </w:hyperlink>
    </w:p>
    <w:p w14:paraId="717093DB" w14:textId="78BA37DC" w:rsidR="005D6C72" w:rsidRPr="00473311" w:rsidRDefault="005D6C72">
      <w:pPr>
        <w:pStyle w:val="TOC1"/>
        <w:rPr>
          <w:rFonts w:eastAsiaTheme="minorEastAsia" w:cstheme="minorBidi"/>
          <w:b w:val="0"/>
          <w:color w:val="auto"/>
          <w:kern w:val="2"/>
          <w:sz w:val="24"/>
          <w:u w:val="none"/>
          <w:lang w:eastAsia="en-AU"/>
          <w14:ligatures w14:val="standardContextual"/>
        </w:rPr>
      </w:pPr>
      <w:hyperlink w:anchor="_Toc196826895" w:history="1">
        <w:r w:rsidRPr="00473311">
          <w:rPr>
            <w:rStyle w:val="Hyperlink"/>
            <w:rFonts w:ascii="Public Sans" w:hAnsi="Public Sans"/>
          </w:rPr>
          <w:t>7.</w:t>
        </w:r>
        <w:r w:rsidRPr="00473311">
          <w:rPr>
            <w:rFonts w:eastAsiaTheme="minorEastAsia" w:cstheme="minorBidi"/>
            <w:b w:val="0"/>
            <w:color w:val="auto"/>
            <w:kern w:val="2"/>
            <w:sz w:val="24"/>
            <w:u w:val="none"/>
            <w:lang w:eastAsia="en-AU"/>
            <w14:ligatures w14:val="standardContextual"/>
          </w:rPr>
          <w:tab/>
        </w:r>
        <w:r w:rsidRPr="00473311">
          <w:rPr>
            <w:rStyle w:val="Hyperlink"/>
            <w:rFonts w:ascii="Public Sans" w:hAnsi="Public Sans"/>
          </w:rPr>
          <w:t>Wider exceptions</w:t>
        </w:r>
        <w:r w:rsidRPr="00473311">
          <w:rPr>
            <w:webHidden/>
          </w:rPr>
          <w:tab/>
        </w:r>
        <w:r w:rsidRPr="00473311">
          <w:rPr>
            <w:webHidden/>
          </w:rPr>
          <w:fldChar w:fldCharType="begin"/>
        </w:r>
        <w:r w:rsidRPr="00473311">
          <w:rPr>
            <w:webHidden/>
          </w:rPr>
          <w:instrText xml:space="preserve"> PAGEREF _Toc196826895 \h </w:instrText>
        </w:r>
        <w:r w:rsidRPr="00473311">
          <w:rPr>
            <w:webHidden/>
          </w:rPr>
        </w:r>
        <w:r w:rsidRPr="00473311">
          <w:rPr>
            <w:webHidden/>
          </w:rPr>
          <w:fldChar w:fldCharType="separate"/>
        </w:r>
        <w:r w:rsidR="00F44BFC">
          <w:rPr>
            <w:webHidden/>
          </w:rPr>
          <w:t>129</w:t>
        </w:r>
        <w:r w:rsidRPr="00473311">
          <w:rPr>
            <w:webHidden/>
          </w:rPr>
          <w:fldChar w:fldCharType="end"/>
        </w:r>
      </w:hyperlink>
    </w:p>
    <w:p w14:paraId="06E52D00" w14:textId="17B1BEF3"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896" w:history="1">
        <w:r w:rsidRPr="00473311">
          <w:rPr>
            <w:rStyle w:val="Hyperlink"/>
            <w:rFonts w:ascii="Public Sans" w:hAnsi="Public Sans"/>
          </w:rPr>
          <w:t>Religious bodies</w:t>
        </w:r>
        <w:r w:rsidRPr="00473311">
          <w:rPr>
            <w:webHidden/>
          </w:rPr>
          <w:tab/>
        </w:r>
        <w:r w:rsidRPr="00473311">
          <w:rPr>
            <w:webHidden/>
          </w:rPr>
          <w:fldChar w:fldCharType="begin"/>
        </w:r>
        <w:r w:rsidRPr="00473311">
          <w:rPr>
            <w:webHidden/>
          </w:rPr>
          <w:instrText xml:space="preserve"> PAGEREF _Toc196826896 \h </w:instrText>
        </w:r>
        <w:r w:rsidRPr="00473311">
          <w:rPr>
            <w:webHidden/>
          </w:rPr>
        </w:r>
        <w:r w:rsidRPr="00473311">
          <w:rPr>
            <w:webHidden/>
          </w:rPr>
          <w:fldChar w:fldCharType="separate"/>
        </w:r>
        <w:r w:rsidR="00F44BFC">
          <w:rPr>
            <w:webHidden/>
          </w:rPr>
          <w:t>130</w:t>
        </w:r>
        <w:r w:rsidRPr="00473311">
          <w:rPr>
            <w:webHidden/>
          </w:rPr>
          <w:fldChar w:fldCharType="end"/>
        </w:r>
      </w:hyperlink>
    </w:p>
    <w:p w14:paraId="20FC16F8" w14:textId="5EDDF55B"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97" w:history="1">
        <w:r w:rsidRPr="00473311">
          <w:rPr>
            <w:rStyle w:val="Hyperlink"/>
            <w:rFonts w:ascii="Public Sans" w:hAnsi="Public Sans"/>
          </w:rPr>
          <w:t>Training and appointing religious personnel</w:t>
        </w:r>
        <w:r w:rsidRPr="00473311">
          <w:rPr>
            <w:webHidden/>
          </w:rPr>
          <w:tab/>
        </w:r>
        <w:r w:rsidRPr="00473311">
          <w:rPr>
            <w:webHidden/>
          </w:rPr>
          <w:fldChar w:fldCharType="begin"/>
        </w:r>
        <w:r w:rsidRPr="00473311">
          <w:rPr>
            <w:webHidden/>
          </w:rPr>
          <w:instrText xml:space="preserve"> PAGEREF _Toc196826897 \h </w:instrText>
        </w:r>
        <w:r w:rsidRPr="00473311">
          <w:rPr>
            <w:webHidden/>
          </w:rPr>
        </w:r>
        <w:r w:rsidRPr="00473311">
          <w:rPr>
            <w:webHidden/>
          </w:rPr>
          <w:fldChar w:fldCharType="separate"/>
        </w:r>
        <w:r w:rsidR="00F44BFC">
          <w:rPr>
            <w:webHidden/>
          </w:rPr>
          <w:t>132</w:t>
        </w:r>
        <w:r w:rsidRPr="00473311">
          <w:rPr>
            <w:webHidden/>
          </w:rPr>
          <w:fldChar w:fldCharType="end"/>
        </w:r>
      </w:hyperlink>
    </w:p>
    <w:p w14:paraId="0209E3E4" w14:textId="0C72D7A5"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98" w:history="1">
        <w:r w:rsidRPr="00473311">
          <w:rPr>
            <w:rStyle w:val="Hyperlink"/>
            <w:rFonts w:ascii="Public Sans" w:hAnsi="Public Sans"/>
          </w:rPr>
          <w:t>Appointing any other person in any capacity</w:t>
        </w:r>
        <w:r w:rsidRPr="00473311">
          <w:rPr>
            <w:webHidden/>
          </w:rPr>
          <w:tab/>
        </w:r>
        <w:r w:rsidRPr="00473311">
          <w:rPr>
            <w:webHidden/>
          </w:rPr>
          <w:fldChar w:fldCharType="begin"/>
        </w:r>
        <w:r w:rsidRPr="00473311">
          <w:rPr>
            <w:webHidden/>
          </w:rPr>
          <w:instrText xml:space="preserve"> PAGEREF _Toc196826898 \h </w:instrText>
        </w:r>
        <w:r w:rsidRPr="00473311">
          <w:rPr>
            <w:webHidden/>
          </w:rPr>
        </w:r>
        <w:r w:rsidRPr="00473311">
          <w:rPr>
            <w:webHidden/>
          </w:rPr>
          <w:fldChar w:fldCharType="separate"/>
        </w:r>
        <w:r w:rsidR="00F44BFC">
          <w:rPr>
            <w:webHidden/>
          </w:rPr>
          <w:t>133</w:t>
        </w:r>
        <w:r w:rsidRPr="00473311">
          <w:rPr>
            <w:webHidden/>
          </w:rPr>
          <w:fldChar w:fldCharType="end"/>
        </w:r>
      </w:hyperlink>
    </w:p>
    <w:p w14:paraId="5078535B" w14:textId="7FA94CF1"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899" w:history="1">
        <w:r w:rsidRPr="00473311">
          <w:rPr>
            <w:rStyle w:val="Hyperlink"/>
            <w:rFonts w:ascii="Public Sans" w:hAnsi="Public Sans"/>
          </w:rPr>
          <w:t>Other acts or practices of religious bodies</w:t>
        </w:r>
        <w:r w:rsidRPr="00473311">
          <w:rPr>
            <w:webHidden/>
          </w:rPr>
          <w:tab/>
        </w:r>
        <w:r w:rsidRPr="00473311">
          <w:rPr>
            <w:webHidden/>
          </w:rPr>
          <w:fldChar w:fldCharType="begin"/>
        </w:r>
        <w:r w:rsidRPr="00473311">
          <w:rPr>
            <w:webHidden/>
          </w:rPr>
          <w:instrText xml:space="preserve"> PAGEREF _Toc196826899 \h </w:instrText>
        </w:r>
        <w:r w:rsidRPr="00473311">
          <w:rPr>
            <w:webHidden/>
          </w:rPr>
        </w:r>
        <w:r w:rsidRPr="00473311">
          <w:rPr>
            <w:webHidden/>
          </w:rPr>
          <w:fldChar w:fldCharType="separate"/>
        </w:r>
        <w:r w:rsidR="00F44BFC">
          <w:rPr>
            <w:webHidden/>
          </w:rPr>
          <w:t>135</w:t>
        </w:r>
        <w:r w:rsidRPr="00473311">
          <w:rPr>
            <w:webHidden/>
          </w:rPr>
          <w:fldChar w:fldCharType="end"/>
        </w:r>
      </w:hyperlink>
    </w:p>
    <w:p w14:paraId="3322A660" w14:textId="339FCF8E"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00" w:history="1">
        <w:r w:rsidRPr="00473311">
          <w:rPr>
            <w:rStyle w:val="Hyperlink"/>
            <w:rFonts w:ascii="Public Sans" w:hAnsi="Public Sans"/>
          </w:rPr>
          <w:t>Harassment, vilification and victimisation by religious bodies</w:t>
        </w:r>
        <w:r w:rsidRPr="00473311">
          <w:rPr>
            <w:webHidden/>
          </w:rPr>
          <w:tab/>
        </w:r>
        <w:r w:rsidRPr="00473311">
          <w:rPr>
            <w:webHidden/>
          </w:rPr>
          <w:fldChar w:fldCharType="begin"/>
        </w:r>
        <w:r w:rsidRPr="00473311">
          <w:rPr>
            <w:webHidden/>
          </w:rPr>
          <w:instrText xml:space="preserve"> PAGEREF _Toc196826900 \h </w:instrText>
        </w:r>
        <w:r w:rsidRPr="00473311">
          <w:rPr>
            <w:webHidden/>
          </w:rPr>
        </w:r>
        <w:r w:rsidRPr="00473311">
          <w:rPr>
            <w:webHidden/>
          </w:rPr>
          <w:fldChar w:fldCharType="separate"/>
        </w:r>
        <w:r w:rsidR="00F44BFC">
          <w:rPr>
            <w:webHidden/>
          </w:rPr>
          <w:t>140</w:t>
        </w:r>
        <w:r w:rsidRPr="00473311">
          <w:rPr>
            <w:webHidden/>
          </w:rPr>
          <w:fldChar w:fldCharType="end"/>
        </w:r>
      </w:hyperlink>
    </w:p>
    <w:p w14:paraId="535572F6" w14:textId="78B37970"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01" w:history="1">
        <w:r w:rsidRPr="00473311">
          <w:rPr>
            <w:rStyle w:val="Hyperlink"/>
            <w:rFonts w:ascii="Public Sans" w:hAnsi="Public Sans"/>
          </w:rPr>
          <w:t>Adoption services</w:t>
        </w:r>
        <w:r w:rsidRPr="00473311">
          <w:rPr>
            <w:webHidden/>
          </w:rPr>
          <w:tab/>
        </w:r>
        <w:r w:rsidRPr="00473311">
          <w:rPr>
            <w:webHidden/>
          </w:rPr>
          <w:fldChar w:fldCharType="begin"/>
        </w:r>
        <w:r w:rsidRPr="00473311">
          <w:rPr>
            <w:webHidden/>
          </w:rPr>
          <w:instrText xml:space="preserve"> PAGEREF _Toc196826901 \h </w:instrText>
        </w:r>
        <w:r w:rsidRPr="00473311">
          <w:rPr>
            <w:webHidden/>
          </w:rPr>
        </w:r>
        <w:r w:rsidRPr="00473311">
          <w:rPr>
            <w:webHidden/>
          </w:rPr>
          <w:fldChar w:fldCharType="separate"/>
        </w:r>
        <w:r w:rsidR="00F44BFC">
          <w:rPr>
            <w:webHidden/>
          </w:rPr>
          <w:t>141</w:t>
        </w:r>
        <w:r w:rsidRPr="00473311">
          <w:rPr>
            <w:webHidden/>
          </w:rPr>
          <w:fldChar w:fldCharType="end"/>
        </w:r>
      </w:hyperlink>
    </w:p>
    <w:p w14:paraId="10282927" w14:textId="69213157"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02" w:history="1">
        <w:r w:rsidRPr="00473311">
          <w:rPr>
            <w:rStyle w:val="Hyperlink"/>
            <w:rFonts w:ascii="Public Sans" w:hAnsi="Public Sans"/>
          </w:rPr>
          <w:t>Private educational authorities</w:t>
        </w:r>
        <w:r w:rsidRPr="00473311">
          <w:rPr>
            <w:webHidden/>
          </w:rPr>
          <w:tab/>
        </w:r>
        <w:r w:rsidRPr="00473311">
          <w:rPr>
            <w:webHidden/>
          </w:rPr>
          <w:fldChar w:fldCharType="begin"/>
        </w:r>
        <w:r w:rsidRPr="00473311">
          <w:rPr>
            <w:webHidden/>
          </w:rPr>
          <w:instrText xml:space="preserve"> PAGEREF _Toc196826902 \h </w:instrText>
        </w:r>
        <w:r w:rsidRPr="00473311">
          <w:rPr>
            <w:webHidden/>
          </w:rPr>
        </w:r>
        <w:r w:rsidRPr="00473311">
          <w:rPr>
            <w:webHidden/>
          </w:rPr>
          <w:fldChar w:fldCharType="separate"/>
        </w:r>
        <w:r w:rsidR="00F44BFC">
          <w:rPr>
            <w:webHidden/>
          </w:rPr>
          <w:t>142</w:t>
        </w:r>
        <w:r w:rsidRPr="00473311">
          <w:rPr>
            <w:webHidden/>
          </w:rPr>
          <w:fldChar w:fldCharType="end"/>
        </w:r>
      </w:hyperlink>
    </w:p>
    <w:p w14:paraId="6FBF7237" w14:textId="68C6DC50"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03" w:history="1">
        <w:r w:rsidRPr="00473311">
          <w:rPr>
            <w:rStyle w:val="Hyperlink"/>
            <w:rFonts w:ascii="Public Sans" w:hAnsi="Public Sans"/>
          </w:rPr>
          <w:t>The exceptions cover a wide range of educational bodies</w:t>
        </w:r>
        <w:r w:rsidRPr="00473311">
          <w:rPr>
            <w:webHidden/>
          </w:rPr>
          <w:tab/>
        </w:r>
        <w:r w:rsidRPr="00473311">
          <w:rPr>
            <w:webHidden/>
          </w:rPr>
          <w:fldChar w:fldCharType="begin"/>
        </w:r>
        <w:r w:rsidRPr="00473311">
          <w:rPr>
            <w:webHidden/>
          </w:rPr>
          <w:instrText xml:space="preserve"> PAGEREF _Toc196826903 \h </w:instrText>
        </w:r>
        <w:r w:rsidRPr="00473311">
          <w:rPr>
            <w:webHidden/>
          </w:rPr>
        </w:r>
        <w:r w:rsidRPr="00473311">
          <w:rPr>
            <w:webHidden/>
          </w:rPr>
          <w:fldChar w:fldCharType="separate"/>
        </w:r>
        <w:r w:rsidR="00F44BFC">
          <w:rPr>
            <w:webHidden/>
          </w:rPr>
          <w:t>144</w:t>
        </w:r>
        <w:r w:rsidRPr="00473311">
          <w:rPr>
            <w:webHidden/>
          </w:rPr>
          <w:fldChar w:fldCharType="end"/>
        </w:r>
      </w:hyperlink>
    </w:p>
    <w:p w14:paraId="1E8D98E6" w14:textId="5FDA97CC"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04" w:history="1">
        <w:r w:rsidRPr="00473311">
          <w:rPr>
            <w:rStyle w:val="Hyperlink"/>
            <w:rFonts w:ascii="Public Sans" w:hAnsi="Public Sans"/>
          </w:rPr>
          <w:t>Discrimination in work</w:t>
        </w:r>
        <w:r w:rsidRPr="00473311">
          <w:rPr>
            <w:webHidden/>
          </w:rPr>
          <w:tab/>
        </w:r>
        <w:r w:rsidRPr="00473311">
          <w:rPr>
            <w:webHidden/>
          </w:rPr>
          <w:fldChar w:fldCharType="begin"/>
        </w:r>
        <w:r w:rsidRPr="00473311">
          <w:rPr>
            <w:webHidden/>
          </w:rPr>
          <w:instrText xml:space="preserve"> PAGEREF _Toc196826904 \h </w:instrText>
        </w:r>
        <w:r w:rsidRPr="00473311">
          <w:rPr>
            <w:webHidden/>
          </w:rPr>
        </w:r>
        <w:r w:rsidRPr="00473311">
          <w:rPr>
            <w:webHidden/>
          </w:rPr>
          <w:fldChar w:fldCharType="separate"/>
        </w:r>
        <w:r w:rsidR="00F44BFC">
          <w:rPr>
            <w:webHidden/>
          </w:rPr>
          <w:t>145</w:t>
        </w:r>
        <w:r w:rsidRPr="00473311">
          <w:rPr>
            <w:webHidden/>
          </w:rPr>
          <w:fldChar w:fldCharType="end"/>
        </w:r>
      </w:hyperlink>
    </w:p>
    <w:p w14:paraId="392F7F34" w14:textId="3C95202D"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05" w:history="1">
        <w:r w:rsidRPr="00473311">
          <w:rPr>
            <w:rStyle w:val="Hyperlink"/>
            <w:rFonts w:ascii="Public Sans" w:hAnsi="Public Sans"/>
          </w:rPr>
          <w:t>Discrimination in education</w:t>
        </w:r>
        <w:r w:rsidRPr="00473311">
          <w:rPr>
            <w:webHidden/>
          </w:rPr>
          <w:tab/>
        </w:r>
        <w:r w:rsidRPr="00473311">
          <w:rPr>
            <w:webHidden/>
          </w:rPr>
          <w:fldChar w:fldCharType="begin"/>
        </w:r>
        <w:r w:rsidRPr="00473311">
          <w:rPr>
            <w:webHidden/>
          </w:rPr>
          <w:instrText xml:space="preserve"> PAGEREF _Toc196826905 \h </w:instrText>
        </w:r>
        <w:r w:rsidRPr="00473311">
          <w:rPr>
            <w:webHidden/>
          </w:rPr>
        </w:r>
        <w:r w:rsidRPr="00473311">
          <w:rPr>
            <w:webHidden/>
          </w:rPr>
          <w:fldChar w:fldCharType="separate"/>
        </w:r>
        <w:r w:rsidR="00F44BFC">
          <w:rPr>
            <w:webHidden/>
          </w:rPr>
          <w:t>150</w:t>
        </w:r>
        <w:r w:rsidRPr="00473311">
          <w:rPr>
            <w:webHidden/>
          </w:rPr>
          <w:fldChar w:fldCharType="end"/>
        </w:r>
      </w:hyperlink>
    </w:p>
    <w:p w14:paraId="6E2FCAF3" w14:textId="6524A7D6"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06" w:history="1">
        <w:r w:rsidRPr="00473311">
          <w:rPr>
            <w:rStyle w:val="Hyperlink"/>
            <w:rFonts w:ascii="Public Sans" w:hAnsi="Public Sans"/>
          </w:rPr>
          <w:t>Sport</w:t>
        </w:r>
        <w:r w:rsidRPr="00473311">
          <w:rPr>
            <w:webHidden/>
          </w:rPr>
          <w:tab/>
        </w:r>
        <w:r w:rsidRPr="00473311">
          <w:rPr>
            <w:webHidden/>
          </w:rPr>
          <w:fldChar w:fldCharType="begin"/>
        </w:r>
        <w:r w:rsidRPr="00473311">
          <w:rPr>
            <w:webHidden/>
          </w:rPr>
          <w:instrText xml:space="preserve"> PAGEREF _Toc196826906 \h </w:instrText>
        </w:r>
        <w:r w:rsidRPr="00473311">
          <w:rPr>
            <w:webHidden/>
          </w:rPr>
        </w:r>
        <w:r w:rsidRPr="00473311">
          <w:rPr>
            <w:webHidden/>
          </w:rPr>
          <w:fldChar w:fldCharType="separate"/>
        </w:r>
        <w:r w:rsidR="00F44BFC">
          <w:rPr>
            <w:webHidden/>
          </w:rPr>
          <w:t>154</w:t>
        </w:r>
        <w:r w:rsidRPr="00473311">
          <w:rPr>
            <w:webHidden/>
          </w:rPr>
          <w:fldChar w:fldCharType="end"/>
        </w:r>
      </w:hyperlink>
    </w:p>
    <w:p w14:paraId="3A89BD0C" w14:textId="3D0E82C0"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07" w:history="1">
        <w:r w:rsidRPr="00473311">
          <w:rPr>
            <w:rStyle w:val="Hyperlink"/>
            <w:rFonts w:ascii="Public Sans" w:hAnsi="Public Sans"/>
          </w:rPr>
          <w:t>Sex discrimination exception</w:t>
        </w:r>
        <w:r w:rsidRPr="00473311">
          <w:rPr>
            <w:webHidden/>
          </w:rPr>
          <w:tab/>
        </w:r>
        <w:r w:rsidRPr="00473311">
          <w:rPr>
            <w:webHidden/>
          </w:rPr>
          <w:fldChar w:fldCharType="begin"/>
        </w:r>
        <w:r w:rsidRPr="00473311">
          <w:rPr>
            <w:webHidden/>
          </w:rPr>
          <w:instrText xml:space="preserve"> PAGEREF _Toc196826907 \h </w:instrText>
        </w:r>
        <w:r w:rsidRPr="00473311">
          <w:rPr>
            <w:webHidden/>
          </w:rPr>
        </w:r>
        <w:r w:rsidRPr="00473311">
          <w:rPr>
            <w:webHidden/>
          </w:rPr>
          <w:fldChar w:fldCharType="separate"/>
        </w:r>
        <w:r w:rsidR="00F44BFC">
          <w:rPr>
            <w:webHidden/>
          </w:rPr>
          <w:t>154</w:t>
        </w:r>
        <w:r w:rsidRPr="00473311">
          <w:rPr>
            <w:webHidden/>
          </w:rPr>
          <w:fldChar w:fldCharType="end"/>
        </w:r>
      </w:hyperlink>
    </w:p>
    <w:p w14:paraId="51263712" w14:textId="4AF82A80"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08" w:history="1">
        <w:r w:rsidRPr="00473311">
          <w:rPr>
            <w:rStyle w:val="Hyperlink"/>
            <w:rFonts w:ascii="Public Sans" w:hAnsi="Public Sans"/>
          </w:rPr>
          <w:t>Transgender discrimination and vilification exception</w:t>
        </w:r>
        <w:r w:rsidRPr="00473311">
          <w:rPr>
            <w:webHidden/>
          </w:rPr>
          <w:tab/>
        </w:r>
        <w:r w:rsidRPr="00473311">
          <w:rPr>
            <w:webHidden/>
          </w:rPr>
          <w:fldChar w:fldCharType="begin"/>
        </w:r>
        <w:r w:rsidRPr="00473311">
          <w:rPr>
            <w:webHidden/>
          </w:rPr>
          <w:instrText xml:space="preserve"> PAGEREF _Toc196826908 \h </w:instrText>
        </w:r>
        <w:r w:rsidRPr="00473311">
          <w:rPr>
            <w:webHidden/>
          </w:rPr>
        </w:r>
        <w:r w:rsidRPr="00473311">
          <w:rPr>
            <w:webHidden/>
          </w:rPr>
          <w:fldChar w:fldCharType="separate"/>
        </w:r>
        <w:r w:rsidR="00F44BFC">
          <w:rPr>
            <w:webHidden/>
          </w:rPr>
          <w:t>155</w:t>
        </w:r>
        <w:r w:rsidRPr="00473311">
          <w:rPr>
            <w:webHidden/>
          </w:rPr>
          <w:fldChar w:fldCharType="end"/>
        </w:r>
      </w:hyperlink>
    </w:p>
    <w:p w14:paraId="421B92D8" w14:textId="236E1EC2"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09" w:history="1">
        <w:r w:rsidRPr="00473311">
          <w:rPr>
            <w:rStyle w:val="Hyperlink"/>
            <w:rFonts w:ascii="Public Sans" w:hAnsi="Public Sans"/>
          </w:rPr>
          <w:t>Disability discrimination exception</w:t>
        </w:r>
        <w:r w:rsidRPr="00473311">
          <w:rPr>
            <w:webHidden/>
          </w:rPr>
          <w:tab/>
        </w:r>
        <w:r w:rsidRPr="00473311">
          <w:rPr>
            <w:webHidden/>
          </w:rPr>
          <w:fldChar w:fldCharType="begin"/>
        </w:r>
        <w:r w:rsidRPr="00473311">
          <w:rPr>
            <w:webHidden/>
          </w:rPr>
          <w:instrText xml:space="preserve"> PAGEREF _Toc196826909 \h </w:instrText>
        </w:r>
        <w:r w:rsidRPr="00473311">
          <w:rPr>
            <w:webHidden/>
          </w:rPr>
        </w:r>
        <w:r w:rsidRPr="00473311">
          <w:rPr>
            <w:webHidden/>
          </w:rPr>
          <w:fldChar w:fldCharType="separate"/>
        </w:r>
        <w:r w:rsidR="00F44BFC">
          <w:rPr>
            <w:webHidden/>
          </w:rPr>
          <w:t>156</w:t>
        </w:r>
        <w:r w:rsidRPr="00473311">
          <w:rPr>
            <w:webHidden/>
          </w:rPr>
          <w:fldChar w:fldCharType="end"/>
        </w:r>
      </w:hyperlink>
    </w:p>
    <w:p w14:paraId="36DD3220" w14:textId="2FE09727"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10" w:history="1">
        <w:r w:rsidRPr="00473311">
          <w:rPr>
            <w:rStyle w:val="Hyperlink"/>
            <w:rFonts w:ascii="Public Sans" w:hAnsi="Public Sans"/>
          </w:rPr>
          <w:t>Age discrimination exception</w:t>
        </w:r>
        <w:r w:rsidRPr="00473311">
          <w:rPr>
            <w:webHidden/>
          </w:rPr>
          <w:tab/>
        </w:r>
        <w:r w:rsidRPr="00473311">
          <w:rPr>
            <w:webHidden/>
          </w:rPr>
          <w:fldChar w:fldCharType="begin"/>
        </w:r>
        <w:r w:rsidRPr="00473311">
          <w:rPr>
            <w:webHidden/>
          </w:rPr>
          <w:instrText xml:space="preserve"> PAGEREF _Toc196826910 \h </w:instrText>
        </w:r>
        <w:r w:rsidRPr="00473311">
          <w:rPr>
            <w:webHidden/>
          </w:rPr>
        </w:r>
        <w:r w:rsidRPr="00473311">
          <w:rPr>
            <w:webHidden/>
          </w:rPr>
          <w:fldChar w:fldCharType="separate"/>
        </w:r>
        <w:r w:rsidR="00F44BFC">
          <w:rPr>
            <w:webHidden/>
          </w:rPr>
          <w:t>157</w:t>
        </w:r>
        <w:r w:rsidRPr="00473311">
          <w:rPr>
            <w:webHidden/>
          </w:rPr>
          <w:fldChar w:fldCharType="end"/>
        </w:r>
      </w:hyperlink>
    </w:p>
    <w:p w14:paraId="5ED8BE4E" w14:textId="46E75978"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11" w:history="1">
        <w:r w:rsidRPr="00473311">
          <w:rPr>
            <w:rStyle w:val="Hyperlink"/>
            <w:rFonts w:ascii="Public Sans" w:hAnsi="Public Sans"/>
          </w:rPr>
          <w:t>Racial discrimination and vilification exception</w:t>
        </w:r>
        <w:r w:rsidRPr="00473311">
          <w:rPr>
            <w:webHidden/>
          </w:rPr>
          <w:tab/>
        </w:r>
        <w:r w:rsidRPr="00473311">
          <w:rPr>
            <w:webHidden/>
          </w:rPr>
          <w:fldChar w:fldCharType="begin"/>
        </w:r>
        <w:r w:rsidRPr="00473311">
          <w:rPr>
            <w:webHidden/>
          </w:rPr>
          <w:instrText xml:space="preserve"> PAGEREF _Toc196826911 \h </w:instrText>
        </w:r>
        <w:r w:rsidRPr="00473311">
          <w:rPr>
            <w:webHidden/>
          </w:rPr>
        </w:r>
        <w:r w:rsidRPr="00473311">
          <w:rPr>
            <w:webHidden/>
          </w:rPr>
          <w:fldChar w:fldCharType="separate"/>
        </w:r>
        <w:r w:rsidR="00F44BFC">
          <w:rPr>
            <w:webHidden/>
          </w:rPr>
          <w:t>158</w:t>
        </w:r>
        <w:r w:rsidRPr="00473311">
          <w:rPr>
            <w:webHidden/>
          </w:rPr>
          <w:fldChar w:fldCharType="end"/>
        </w:r>
      </w:hyperlink>
    </w:p>
    <w:p w14:paraId="3C099785" w14:textId="66998965"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12" w:history="1">
        <w:r w:rsidRPr="00473311">
          <w:rPr>
            <w:rStyle w:val="Hyperlink"/>
            <w:rFonts w:ascii="Public Sans" w:hAnsi="Public Sans"/>
          </w:rPr>
          <w:t>Charitable benefits</w:t>
        </w:r>
        <w:r w:rsidRPr="00473311">
          <w:rPr>
            <w:webHidden/>
          </w:rPr>
          <w:tab/>
        </w:r>
        <w:r w:rsidRPr="00473311">
          <w:rPr>
            <w:webHidden/>
          </w:rPr>
          <w:fldChar w:fldCharType="begin"/>
        </w:r>
        <w:r w:rsidRPr="00473311">
          <w:rPr>
            <w:webHidden/>
          </w:rPr>
          <w:instrText xml:space="preserve"> PAGEREF _Toc196826912 \h </w:instrText>
        </w:r>
        <w:r w:rsidRPr="00473311">
          <w:rPr>
            <w:webHidden/>
          </w:rPr>
        </w:r>
        <w:r w:rsidRPr="00473311">
          <w:rPr>
            <w:webHidden/>
          </w:rPr>
          <w:fldChar w:fldCharType="separate"/>
        </w:r>
        <w:r w:rsidR="00F44BFC">
          <w:rPr>
            <w:webHidden/>
          </w:rPr>
          <w:t>159</w:t>
        </w:r>
        <w:r w:rsidRPr="00473311">
          <w:rPr>
            <w:webHidden/>
          </w:rPr>
          <w:fldChar w:fldCharType="end"/>
        </w:r>
      </w:hyperlink>
    </w:p>
    <w:p w14:paraId="57069358" w14:textId="3BFAC95B"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13" w:history="1">
        <w:r w:rsidRPr="00473311">
          <w:rPr>
            <w:rStyle w:val="Hyperlink"/>
            <w:rFonts w:ascii="Public Sans" w:hAnsi="Public Sans"/>
          </w:rPr>
          <w:t>Voluntary bodies</w:t>
        </w:r>
        <w:r w:rsidRPr="00473311">
          <w:rPr>
            <w:webHidden/>
          </w:rPr>
          <w:tab/>
        </w:r>
        <w:r w:rsidRPr="00473311">
          <w:rPr>
            <w:webHidden/>
          </w:rPr>
          <w:fldChar w:fldCharType="begin"/>
        </w:r>
        <w:r w:rsidRPr="00473311">
          <w:rPr>
            <w:webHidden/>
          </w:rPr>
          <w:instrText xml:space="preserve"> PAGEREF _Toc196826913 \h </w:instrText>
        </w:r>
        <w:r w:rsidRPr="00473311">
          <w:rPr>
            <w:webHidden/>
          </w:rPr>
        </w:r>
        <w:r w:rsidRPr="00473311">
          <w:rPr>
            <w:webHidden/>
          </w:rPr>
          <w:fldChar w:fldCharType="separate"/>
        </w:r>
        <w:r w:rsidR="00F44BFC">
          <w:rPr>
            <w:webHidden/>
          </w:rPr>
          <w:t>160</w:t>
        </w:r>
        <w:r w:rsidRPr="00473311">
          <w:rPr>
            <w:webHidden/>
          </w:rPr>
          <w:fldChar w:fldCharType="end"/>
        </w:r>
      </w:hyperlink>
    </w:p>
    <w:p w14:paraId="324F827E" w14:textId="14138DCE"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14" w:history="1">
        <w:r w:rsidRPr="00473311">
          <w:rPr>
            <w:rStyle w:val="Hyperlink"/>
            <w:rFonts w:ascii="Public Sans" w:hAnsi="Public Sans"/>
          </w:rPr>
          <w:t>Aged care accommodation providers</w:t>
        </w:r>
        <w:r w:rsidRPr="00473311">
          <w:rPr>
            <w:webHidden/>
          </w:rPr>
          <w:tab/>
        </w:r>
        <w:r w:rsidRPr="00473311">
          <w:rPr>
            <w:webHidden/>
          </w:rPr>
          <w:fldChar w:fldCharType="begin"/>
        </w:r>
        <w:r w:rsidRPr="00473311">
          <w:rPr>
            <w:webHidden/>
          </w:rPr>
          <w:instrText xml:space="preserve"> PAGEREF _Toc196826914 \h </w:instrText>
        </w:r>
        <w:r w:rsidRPr="00473311">
          <w:rPr>
            <w:webHidden/>
          </w:rPr>
        </w:r>
        <w:r w:rsidRPr="00473311">
          <w:rPr>
            <w:webHidden/>
          </w:rPr>
          <w:fldChar w:fldCharType="separate"/>
        </w:r>
        <w:r w:rsidR="00F44BFC">
          <w:rPr>
            <w:webHidden/>
          </w:rPr>
          <w:t>161</w:t>
        </w:r>
        <w:r w:rsidRPr="00473311">
          <w:rPr>
            <w:webHidden/>
          </w:rPr>
          <w:fldChar w:fldCharType="end"/>
        </w:r>
      </w:hyperlink>
    </w:p>
    <w:p w14:paraId="2F4DE85A" w14:textId="563C970B"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15" w:history="1">
        <w:r w:rsidRPr="00473311">
          <w:rPr>
            <w:rStyle w:val="Hyperlink"/>
            <w:rFonts w:ascii="Public Sans" w:hAnsi="Public Sans"/>
          </w:rPr>
          <w:t>Acts done under statutory authority</w:t>
        </w:r>
        <w:r w:rsidRPr="00473311">
          <w:rPr>
            <w:webHidden/>
          </w:rPr>
          <w:tab/>
        </w:r>
        <w:r w:rsidRPr="00473311">
          <w:rPr>
            <w:webHidden/>
          </w:rPr>
          <w:fldChar w:fldCharType="begin"/>
        </w:r>
        <w:r w:rsidRPr="00473311">
          <w:rPr>
            <w:webHidden/>
          </w:rPr>
          <w:instrText xml:space="preserve"> PAGEREF _Toc196826915 \h </w:instrText>
        </w:r>
        <w:r w:rsidRPr="00473311">
          <w:rPr>
            <w:webHidden/>
          </w:rPr>
        </w:r>
        <w:r w:rsidRPr="00473311">
          <w:rPr>
            <w:webHidden/>
          </w:rPr>
          <w:fldChar w:fldCharType="separate"/>
        </w:r>
        <w:r w:rsidR="00F44BFC">
          <w:rPr>
            <w:webHidden/>
          </w:rPr>
          <w:t>162</w:t>
        </w:r>
        <w:r w:rsidRPr="00473311">
          <w:rPr>
            <w:webHidden/>
          </w:rPr>
          <w:fldChar w:fldCharType="end"/>
        </w:r>
      </w:hyperlink>
    </w:p>
    <w:p w14:paraId="5AD79099" w14:textId="34802591" w:rsidR="005D6C72" w:rsidRPr="00473311" w:rsidRDefault="005D6C72">
      <w:pPr>
        <w:pStyle w:val="TOC1"/>
        <w:rPr>
          <w:rFonts w:eastAsiaTheme="minorEastAsia" w:cstheme="minorBidi"/>
          <w:b w:val="0"/>
          <w:color w:val="auto"/>
          <w:kern w:val="2"/>
          <w:sz w:val="24"/>
          <w:u w:val="none"/>
          <w:lang w:eastAsia="en-AU"/>
          <w14:ligatures w14:val="standardContextual"/>
        </w:rPr>
      </w:pPr>
      <w:hyperlink w:anchor="_Toc196826916" w:history="1">
        <w:r w:rsidRPr="00473311">
          <w:rPr>
            <w:rStyle w:val="Hyperlink"/>
            <w:rFonts w:ascii="Public Sans" w:hAnsi="Public Sans"/>
          </w:rPr>
          <w:t>8.</w:t>
        </w:r>
        <w:r w:rsidRPr="00473311">
          <w:rPr>
            <w:rFonts w:eastAsiaTheme="minorEastAsia" w:cstheme="minorBidi"/>
            <w:b w:val="0"/>
            <w:color w:val="auto"/>
            <w:kern w:val="2"/>
            <w:sz w:val="24"/>
            <w:u w:val="none"/>
            <w:lang w:eastAsia="en-AU"/>
            <w14:ligatures w14:val="standardContextual"/>
          </w:rPr>
          <w:tab/>
        </w:r>
        <w:r w:rsidRPr="00473311">
          <w:rPr>
            <w:rStyle w:val="Hyperlink"/>
            <w:rFonts w:ascii="Public Sans" w:hAnsi="Public Sans"/>
          </w:rPr>
          <w:t>Civil protections against vilification</w:t>
        </w:r>
        <w:r w:rsidRPr="00473311">
          <w:rPr>
            <w:webHidden/>
          </w:rPr>
          <w:tab/>
        </w:r>
        <w:r w:rsidRPr="00473311">
          <w:rPr>
            <w:webHidden/>
          </w:rPr>
          <w:fldChar w:fldCharType="begin"/>
        </w:r>
        <w:r w:rsidRPr="00473311">
          <w:rPr>
            <w:webHidden/>
          </w:rPr>
          <w:instrText xml:space="preserve"> PAGEREF _Toc196826916 \h </w:instrText>
        </w:r>
        <w:r w:rsidRPr="00473311">
          <w:rPr>
            <w:webHidden/>
          </w:rPr>
        </w:r>
        <w:r w:rsidRPr="00473311">
          <w:rPr>
            <w:webHidden/>
          </w:rPr>
          <w:fldChar w:fldCharType="separate"/>
        </w:r>
        <w:r w:rsidR="00F44BFC">
          <w:rPr>
            <w:webHidden/>
          </w:rPr>
          <w:t>165</w:t>
        </w:r>
        <w:r w:rsidRPr="00473311">
          <w:rPr>
            <w:webHidden/>
          </w:rPr>
          <w:fldChar w:fldCharType="end"/>
        </w:r>
      </w:hyperlink>
    </w:p>
    <w:p w14:paraId="1AD31780" w14:textId="033B1CCF"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17" w:history="1">
        <w:r w:rsidRPr="00473311">
          <w:rPr>
            <w:rStyle w:val="Hyperlink"/>
            <w:rFonts w:ascii="Public Sans" w:hAnsi="Public Sans"/>
          </w:rPr>
          <w:t>Protections against vilification: an overview</w:t>
        </w:r>
        <w:r w:rsidRPr="00473311">
          <w:rPr>
            <w:webHidden/>
          </w:rPr>
          <w:tab/>
        </w:r>
        <w:r w:rsidRPr="00473311">
          <w:rPr>
            <w:webHidden/>
          </w:rPr>
          <w:fldChar w:fldCharType="begin"/>
        </w:r>
        <w:r w:rsidRPr="00473311">
          <w:rPr>
            <w:webHidden/>
          </w:rPr>
          <w:instrText xml:space="preserve"> PAGEREF _Toc196826917 \h </w:instrText>
        </w:r>
        <w:r w:rsidRPr="00473311">
          <w:rPr>
            <w:webHidden/>
          </w:rPr>
        </w:r>
        <w:r w:rsidRPr="00473311">
          <w:rPr>
            <w:webHidden/>
          </w:rPr>
          <w:fldChar w:fldCharType="separate"/>
        </w:r>
        <w:r w:rsidR="00F44BFC">
          <w:rPr>
            <w:webHidden/>
          </w:rPr>
          <w:t>167</w:t>
        </w:r>
        <w:r w:rsidRPr="00473311">
          <w:rPr>
            <w:webHidden/>
          </w:rPr>
          <w:fldChar w:fldCharType="end"/>
        </w:r>
      </w:hyperlink>
    </w:p>
    <w:p w14:paraId="2F393BC7" w14:textId="0684E883"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18" w:history="1">
        <w:r w:rsidRPr="00473311">
          <w:rPr>
            <w:rStyle w:val="Hyperlink"/>
            <w:rFonts w:ascii="Public Sans" w:hAnsi="Public Sans"/>
          </w:rPr>
          <w:t>NSW protections against vilification</w:t>
        </w:r>
        <w:r w:rsidRPr="00473311">
          <w:rPr>
            <w:webHidden/>
          </w:rPr>
          <w:tab/>
        </w:r>
        <w:r w:rsidRPr="00473311">
          <w:rPr>
            <w:webHidden/>
          </w:rPr>
          <w:fldChar w:fldCharType="begin"/>
        </w:r>
        <w:r w:rsidRPr="00473311">
          <w:rPr>
            <w:webHidden/>
          </w:rPr>
          <w:instrText xml:space="preserve"> PAGEREF _Toc196826918 \h </w:instrText>
        </w:r>
        <w:r w:rsidRPr="00473311">
          <w:rPr>
            <w:webHidden/>
          </w:rPr>
        </w:r>
        <w:r w:rsidRPr="00473311">
          <w:rPr>
            <w:webHidden/>
          </w:rPr>
          <w:fldChar w:fldCharType="separate"/>
        </w:r>
        <w:r w:rsidR="00F44BFC">
          <w:rPr>
            <w:webHidden/>
          </w:rPr>
          <w:t>167</w:t>
        </w:r>
        <w:r w:rsidRPr="00473311">
          <w:rPr>
            <w:webHidden/>
          </w:rPr>
          <w:fldChar w:fldCharType="end"/>
        </w:r>
      </w:hyperlink>
    </w:p>
    <w:p w14:paraId="41B71690" w14:textId="173110CF"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19" w:history="1">
        <w:r w:rsidRPr="00473311">
          <w:rPr>
            <w:rStyle w:val="Hyperlink"/>
            <w:rFonts w:ascii="Public Sans" w:hAnsi="Public Sans"/>
          </w:rPr>
          <w:t>Federal protections</w:t>
        </w:r>
        <w:r w:rsidRPr="00473311">
          <w:rPr>
            <w:webHidden/>
          </w:rPr>
          <w:tab/>
        </w:r>
        <w:r w:rsidRPr="00473311">
          <w:rPr>
            <w:webHidden/>
          </w:rPr>
          <w:fldChar w:fldCharType="begin"/>
        </w:r>
        <w:r w:rsidRPr="00473311">
          <w:rPr>
            <w:webHidden/>
          </w:rPr>
          <w:instrText xml:space="preserve"> PAGEREF _Toc196826919 \h </w:instrText>
        </w:r>
        <w:r w:rsidRPr="00473311">
          <w:rPr>
            <w:webHidden/>
          </w:rPr>
        </w:r>
        <w:r w:rsidRPr="00473311">
          <w:rPr>
            <w:webHidden/>
          </w:rPr>
          <w:fldChar w:fldCharType="separate"/>
        </w:r>
        <w:r w:rsidR="00F44BFC">
          <w:rPr>
            <w:webHidden/>
          </w:rPr>
          <w:t>168</w:t>
        </w:r>
        <w:r w:rsidRPr="00473311">
          <w:rPr>
            <w:webHidden/>
          </w:rPr>
          <w:fldChar w:fldCharType="end"/>
        </w:r>
      </w:hyperlink>
    </w:p>
    <w:p w14:paraId="27E960EA" w14:textId="572C7551"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20" w:history="1">
        <w:r w:rsidRPr="00473311">
          <w:rPr>
            <w:rStyle w:val="Hyperlink"/>
            <w:rFonts w:ascii="Public Sans" w:hAnsi="Public Sans"/>
          </w:rPr>
          <w:t>The protected attributes: civil vilification</w:t>
        </w:r>
        <w:r w:rsidRPr="00473311">
          <w:rPr>
            <w:webHidden/>
          </w:rPr>
          <w:tab/>
        </w:r>
        <w:r w:rsidRPr="00473311">
          <w:rPr>
            <w:webHidden/>
          </w:rPr>
          <w:fldChar w:fldCharType="begin"/>
        </w:r>
        <w:r w:rsidRPr="00473311">
          <w:rPr>
            <w:webHidden/>
          </w:rPr>
          <w:instrText xml:space="preserve"> PAGEREF _Toc196826920 \h </w:instrText>
        </w:r>
        <w:r w:rsidRPr="00473311">
          <w:rPr>
            <w:webHidden/>
          </w:rPr>
        </w:r>
        <w:r w:rsidRPr="00473311">
          <w:rPr>
            <w:webHidden/>
          </w:rPr>
          <w:fldChar w:fldCharType="separate"/>
        </w:r>
        <w:r w:rsidR="00F44BFC">
          <w:rPr>
            <w:webHidden/>
          </w:rPr>
          <w:t>169</w:t>
        </w:r>
        <w:r w:rsidRPr="00473311">
          <w:rPr>
            <w:webHidden/>
          </w:rPr>
          <w:fldChar w:fldCharType="end"/>
        </w:r>
      </w:hyperlink>
    </w:p>
    <w:p w14:paraId="3F37B93D" w14:textId="3C09B9F3"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21" w:history="1">
        <w:r w:rsidRPr="00473311">
          <w:rPr>
            <w:rStyle w:val="Hyperlink"/>
            <w:rFonts w:ascii="Public Sans" w:hAnsi="Public Sans"/>
          </w:rPr>
          <w:t>How the protected attributes are expressed and defined</w:t>
        </w:r>
        <w:r w:rsidRPr="00473311">
          <w:rPr>
            <w:webHidden/>
          </w:rPr>
          <w:tab/>
        </w:r>
        <w:r w:rsidRPr="00473311">
          <w:rPr>
            <w:webHidden/>
          </w:rPr>
          <w:fldChar w:fldCharType="begin"/>
        </w:r>
        <w:r w:rsidRPr="00473311">
          <w:rPr>
            <w:webHidden/>
          </w:rPr>
          <w:instrText xml:space="preserve"> PAGEREF _Toc196826921 \h </w:instrText>
        </w:r>
        <w:r w:rsidRPr="00473311">
          <w:rPr>
            <w:webHidden/>
          </w:rPr>
        </w:r>
        <w:r w:rsidRPr="00473311">
          <w:rPr>
            <w:webHidden/>
          </w:rPr>
          <w:fldChar w:fldCharType="separate"/>
        </w:r>
        <w:r w:rsidR="00F44BFC">
          <w:rPr>
            <w:webHidden/>
          </w:rPr>
          <w:t>170</w:t>
        </w:r>
        <w:r w:rsidRPr="00473311">
          <w:rPr>
            <w:webHidden/>
          </w:rPr>
          <w:fldChar w:fldCharType="end"/>
        </w:r>
      </w:hyperlink>
    </w:p>
    <w:p w14:paraId="57CA36E5" w14:textId="20F64BB9"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22" w:history="1">
        <w:r w:rsidRPr="00473311">
          <w:rPr>
            <w:rStyle w:val="Hyperlink"/>
            <w:rFonts w:ascii="Public Sans" w:hAnsi="Public Sans"/>
          </w:rPr>
          <w:t>Other potential protected attributes</w:t>
        </w:r>
        <w:r w:rsidRPr="00473311">
          <w:rPr>
            <w:webHidden/>
          </w:rPr>
          <w:tab/>
        </w:r>
        <w:r w:rsidRPr="00473311">
          <w:rPr>
            <w:webHidden/>
          </w:rPr>
          <w:fldChar w:fldCharType="begin"/>
        </w:r>
        <w:r w:rsidRPr="00473311">
          <w:rPr>
            <w:webHidden/>
          </w:rPr>
          <w:instrText xml:space="preserve"> PAGEREF _Toc196826922 \h </w:instrText>
        </w:r>
        <w:r w:rsidRPr="00473311">
          <w:rPr>
            <w:webHidden/>
          </w:rPr>
        </w:r>
        <w:r w:rsidRPr="00473311">
          <w:rPr>
            <w:webHidden/>
          </w:rPr>
          <w:fldChar w:fldCharType="separate"/>
        </w:r>
        <w:r w:rsidR="00F44BFC">
          <w:rPr>
            <w:webHidden/>
          </w:rPr>
          <w:t>172</w:t>
        </w:r>
        <w:r w:rsidRPr="00473311">
          <w:rPr>
            <w:webHidden/>
          </w:rPr>
          <w:fldChar w:fldCharType="end"/>
        </w:r>
      </w:hyperlink>
    </w:p>
    <w:p w14:paraId="03A8D1F3" w14:textId="28839D5F"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23" w:history="1">
        <w:r w:rsidRPr="00473311">
          <w:rPr>
            <w:rStyle w:val="Hyperlink"/>
            <w:rFonts w:ascii="Public Sans" w:hAnsi="Public Sans"/>
          </w:rPr>
          <w:t>The test for vilification</w:t>
        </w:r>
        <w:r w:rsidRPr="00473311">
          <w:rPr>
            <w:webHidden/>
          </w:rPr>
          <w:tab/>
        </w:r>
        <w:r w:rsidRPr="00473311">
          <w:rPr>
            <w:webHidden/>
          </w:rPr>
          <w:fldChar w:fldCharType="begin"/>
        </w:r>
        <w:r w:rsidRPr="00473311">
          <w:rPr>
            <w:webHidden/>
          </w:rPr>
          <w:instrText xml:space="preserve"> PAGEREF _Toc196826923 \h </w:instrText>
        </w:r>
        <w:r w:rsidRPr="00473311">
          <w:rPr>
            <w:webHidden/>
          </w:rPr>
        </w:r>
        <w:r w:rsidRPr="00473311">
          <w:rPr>
            <w:webHidden/>
          </w:rPr>
          <w:fldChar w:fldCharType="separate"/>
        </w:r>
        <w:r w:rsidR="00F44BFC">
          <w:rPr>
            <w:webHidden/>
          </w:rPr>
          <w:t>179</w:t>
        </w:r>
        <w:r w:rsidRPr="00473311">
          <w:rPr>
            <w:webHidden/>
          </w:rPr>
          <w:fldChar w:fldCharType="end"/>
        </w:r>
      </w:hyperlink>
    </w:p>
    <w:p w14:paraId="7E8B1A2F" w14:textId="14CE0462"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24" w:history="1">
        <w:r w:rsidRPr="00473311">
          <w:rPr>
            <w:rStyle w:val="Hyperlink"/>
            <w:rFonts w:ascii="Public Sans" w:hAnsi="Public Sans"/>
          </w:rPr>
          <w:t>An overview of the ADA’s incitement-based test</w:t>
        </w:r>
        <w:r w:rsidRPr="00473311">
          <w:rPr>
            <w:webHidden/>
          </w:rPr>
          <w:tab/>
        </w:r>
        <w:r w:rsidRPr="00473311">
          <w:rPr>
            <w:webHidden/>
          </w:rPr>
          <w:fldChar w:fldCharType="begin"/>
        </w:r>
        <w:r w:rsidRPr="00473311">
          <w:rPr>
            <w:webHidden/>
          </w:rPr>
          <w:instrText xml:space="preserve"> PAGEREF _Toc196826924 \h </w:instrText>
        </w:r>
        <w:r w:rsidRPr="00473311">
          <w:rPr>
            <w:webHidden/>
          </w:rPr>
        </w:r>
        <w:r w:rsidRPr="00473311">
          <w:rPr>
            <w:webHidden/>
          </w:rPr>
          <w:fldChar w:fldCharType="separate"/>
        </w:r>
        <w:r w:rsidR="00F44BFC">
          <w:rPr>
            <w:webHidden/>
          </w:rPr>
          <w:t>179</w:t>
        </w:r>
        <w:r w:rsidRPr="00473311">
          <w:rPr>
            <w:webHidden/>
          </w:rPr>
          <w:fldChar w:fldCharType="end"/>
        </w:r>
      </w:hyperlink>
    </w:p>
    <w:p w14:paraId="39788525" w14:textId="6E251A8C"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25" w:history="1">
        <w:r w:rsidRPr="00473311">
          <w:rPr>
            <w:rStyle w:val="Hyperlink"/>
            <w:rFonts w:ascii="Public Sans" w:hAnsi="Public Sans"/>
          </w:rPr>
          <w:t>A harm-based test</w:t>
        </w:r>
        <w:r w:rsidRPr="00473311">
          <w:rPr>
            <w:webHidden/>
          </w:rPr>
          <w:tab/>
        </w:r>
        <w:r w:rsidRPr="00473311">
          <w:rPr>
            <w:webHidden/>
          </w:rPr>
          <w:fldChar w:fldCharType="begin"/>
        </w:r>
        <w:r w:rsidRPr="00473311">
          <w:rPr>
            <w:webHidden/>
          </w:rPr>
          <w:instrText xml:space="preserve"> PAGEREF _Toc196826925 \h </w:instrText>
        </w:r>
        <w:r w:rsidRPr="00473311">
          <w:rPr>
            <w:webHidden/>
          </w:rPr>
        </w:r>
        <w:r w:rsidRPr="00473311">
          <w:rPr>
            <w:webHidden/>
          </w:rPr>
          <w:fldChar w:fldCharType="separate"/>
        </w:r>
        <w:r w:rsidR="00F44BFC">
          <w:rPr>
            <w:webHidden/>
          </w:rPr>
          <w:t>180</w:t>
        </w:r>
        <w:r w:rsidRPr="00473311">
          <w:rPr>
            <w:webHidden/>
          </w:rPr>
          <w:fldChar w:fldCharType="end"/>
        </w:r>
      </w:hyperlink>
    </w:p>
    <w:p w14:paraId="5F98B0E2" w14:textId="47B7A814"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26" w:history="1">
        <w:r w:rsidRPr="00473311">
          <w:rPr>
            <w:rStyle w:val="Hyperlink"/>
            <w:rFonts w:ascii="Public Sans" w:hAnsi="Public Sans"/>
          </w:rPr>
          <w:t>Other options for reform</w:t>
        </w:r>
        <w:r w:rsidRPr="00473311">
          <w:rPr>
            <w:webHidden/>
          </w:rPr>
          <w:tab/>
        </w:r>
        <w:r w:rsidRPr="00473311">
          <w:rPr>
            <w:webHidden/>
          </w:rPr>
          <w:fldChar w:fldCharType="begin"/>
        </w:r>
        <w:r w:rsidRPr="00473311">
          <w:rPr>
            <w:webHidden/>
          </w:rPr>
          <w:instrText xml:space="preserve"> PAGEREF _Toc196826926 \h </w:instrText>
        </w:r>
        <w:r w:rsidRPr="00473311">
          <w:rPr>
            <w:webHidden/>
          </w:rPr>
        </w:r>
        <w:r w:rsidRPr="00473311">
          <w:rPr>
            <w:webHidden/>
          </w:rPr>
          <w:fldChar w:fldCharType="separate"/>
        </w:r>
        <w:r w:rsidR="00F44BFC">
          <w:rPr>
            <w:webHidden/>
          </w:rPr>
          <w:t>183</w:t>
        </w:r>
        <w:r w:rsidRPr="00473311">
          <w:rPr>
            <w:webHidden/>
          </w:rPr>
          <w:fldChar w:fldCharType="end"/>
        </w:r>
      </w:hyperlink>
    </w:p>
    <w:p w14:paraId="7FC6C323" w14:textId="084C3A19"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27" w:history="1">
        <w:r w:rsidRPr="00473311">
          <w:rPr>
            <w:rStyle w:val="Hyperlink"/>
            <w:rFonts w:ascii="Public Sans" w:hAnsi="Public Sans"/>
          </w:rPr>
          <w:t>The definition of public act</w:t>
        </w:r>
        <w:r w:rsidRPr="00473311">
          <w:rPr>
            <w:webHidden/>
          </w:rPr>
          <w:tab/>
        </w:r>
        <w:r w:rsidRPr="00473311">
          <w:rPr>
            <w:webHidden/>
          </w:rPr>
          <w:fldChar w:fldCharType="begin"/>
        </w:r>
        <w:r w:rsidRPr="00473311">
          <w:rPr>
            <w:webHidden/>
          </w:rPr>
          <w:instrText xml:space="preserve"> PAGEREF _Toc196826927 \h </w:instrText>
        </w:r>
        <w:r w:rsidRPr="00473311">
          <w:rPr>
            <w:webHidden/>
          </w:rPr>
        </w:r>
        <w:r w:rsidRPr="00473311">
          <w:rPr>
            <w:webHidden/>
          </w:rPr>
          <w:fldChar w:fldCharType="separate"/>
        </w:r>
        <w:r w:rsidR="00F44BFC">
          <w:rPr>
            <w:webHidden/>
          </w:rPr>
          <w:t>184</w:t>
        </w:r>
        <w:r w:rsidRPr="00473311">
          <w:rPr>
            <w:webHidden/>
          </w:rPr>
          <w:fldChar w:fldCharType="end"/>
        </w:r>
      </w:hyperlink>
    </w:p>
    <w:p w14:paraId="07390B48" w14:textId="6FCA899B"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28" w:history="1">
        <w:r w:rsidRPr="00473311">
          <w:rPr>
            <w:rStyle w:val="Hyperlink"/>
            <w:rFonts w:ascii="Public Sans" w:hAnsi="Public Sans"/>
          </w:rPr>
          <w:t>The ADA takes a broad approach to “public act”</w:t>
        </w:r>
        <w:r w:rsidRPr="00473311">
          <w:rPr>
            <w:webHidden/>
          </w:rPr>
          <w:tab/>
        </w:r>
        <w:r w:rsidRPr="00473311">
          <w:rPr>
            <w:webHidden/>
          </w:rPr>
          <w:fldChar w:fldCharType="begin"/>
        </w:r>
        <w:r w:rsidRPr="00473311">
          <w:rPr>
            <w:webHidden/>
          </w:rPr>
          <w:instrText xml:space="preserve"> PAGEREF _Toc196826928 \h </w:instrText>
        </w:r>
        <w:r w:rsidRPr="00473311">
          <w:rPr>
            <w:webHidden/>
          </w:rPr>
        </w:r>
        <w:r w:rsidRPr="00473311">
          <w:rPr>
            <w:webHidden/>
          </w:rPr>
          <w:fldChar w:fldCharType="separate"/>
        </w:r>
        <w:r w:rsidR="00F44BFC">
          <w:rPr>
            <w:webHidden/>
          </w:rPr>
          <w:t>184</w:t>
        </w:r>
        <w:r w:rsidRPr="00473311">
          <w:rPr>
            <w:webHidden/>
          </w:rPr>
          <w:fldChar w:fldCharType="end"/>
        </w:r>
      </w:hyperlink>
    </w:p>
    <w:p w14:paraId="32727C7C" w14:textId="57C047FF"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29" w:history="1">
        <w:r w:rsidRPr="00473311">
          <w:rPr>
            <w:rStyle w:val="Hyperlink"/>
            <w:rFonts w:ascii="Public Sans" w:hAnsi="Public Sans"/>
          </w:rPr>
          <w:t>Options for clarifying the definition</w:t>
        </w:r>
        <w:r w:rsidRPr="00473311">
          <w:rPr>
            <w:webHidden/>
          </w:rPr>
          <w:tab/>
        </w:r>
        <w:r w:rsidRPr="00473311">
          <w:rPr>
            <w:webHidden/>
          </w:rPr>
          <w:fldChar w:fldCharType="begin"/>
        </w:r>
        <w:r w:rsidRPr="00473311">
          <w:rPr>
            <w:webHidden/>
          </w:rPr>
          <w:instrText xml:space="preserve"> PAGEREF _Toc196826929 \h </w:instrText>
        </w:r>
        <w:r w:rsidRPr="00473311">
          <w:rPr>
            <w:webHidden/>
          </w:rPr>
        </w:r>
        <w:r w:rsidRPr="00473311">
          <w:rPr>
            <w:webHidden/>
          </w:rPr>
          <w:fldChar w:fldCharType="separate"/>
        </w:r>
        <w:r w:rsidR="00F44BFC">
          <w:rPr>
            <w:webHidden/>
          </w:rPr>
          <w:t>186</w:t>
        </w:r>
        <w:r w:rsidRPr="00473311">
          <w:rPr>
            <w:webHidden/>
          </w:rPr>
          <w:fldChar w:fldCharType="end"/>
        </w:r>
      </w:hyperlink>
    </w:p>
    <w:p w14:paraId="6D1E64C8" w14:textId="66D8AD2F"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30" w:history="1">
        <w:r w:rsidRPr="00473311">
          <w:rPr>
            <w:rStyle w:val="Hyperlink"/>
            <w:rFonts w:ascii="Public Sans" w:hAnsi="Public Sans"/>
          </w:rPr>
          <w:t>Exceptions</w:t>
        </w:r>
        <w:r w:rsidRPr="00473311">
          <w:rPr>
            <w:webHidden/>
          </w:rPr>
          <w:tab/>
        </w:r>
        <w:r w:rsidRPr="00473311">
          <w:rPr>
            <w:webHidden/>
          </w:rPr>
          <w:fldChar w:fldCharType="begin"/>
        </w:r>
        <w:r w:rsidRPr="00473311">
          <w:rPr>
            <w:webHidden/>
          </w:rPr>
          <w:instrText xml:space="preserve"> PAGEREF _Toc196826930 \h </w:instrText>
        </w:r>
        <w:r w:rsidRPr="00473311">
          <w:rPr>
            <w:webHidden/>
          </w:rPr>
        </w:r>
        <w:r w:rsidRPr="00473311">
          <w:rPr>
            <w:webHidden/>
          </w:rPr>
          <w:fldChar w:fldCharType="separate"/>
        </w:r>
        <w:r w:rsidR="00F44BFC">
          <w:rPr>
            <w:webHidden/>
          </w:rPr>
          <w:t>188</w:t>
        </w:r>
        <w:r w:rsidRPr="00473311">
          <w:rPr>
            <w:webHidden/>
          </w:rPr>
          <w:fldChar w:fldCharType="end"/>
        </w:r>
      </w:hyperlink>
    </w:p>
    <w:p w14:paraId="420D2E4A" w14:textId="353C3094"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31" w:history="1">
        <w:r w:rsidRPr="00473311">
          <w:rPr>
            <w:rStyle w:val="Hyperlink"/>
            <w:rFonts w:ascii="Public Sans" w:hAnsi="Public Sans"/>
          </w:rPr>
          <w:t>“Fair report” and “absolute privilege for defamation” exceptions</w:t>
        </w:r>
        <w:r w:rsidRPr="00473311">
          <w:rPr>
            <w:webHidden/>
          </w:rPr>
          <w:tab/>
        </w:r>
        <w:r w:rsidRPr="00473311">
          <w:rPr>
            <w:webHidden/>
          </w:rPr>
          <w:fldChar w:fldCharType="begin"/>
        </w:r>
        <w:r w:rsidRPr="00473311">
          <w:rPr>
            <w:webHidden/>
          </w:rPr>
          <w:instrText xml:space="preserve"> PAGEREF _Toc196826931 \h </w:instrText>
        </w:r>
        <w:r w:rsidRPr="00473311">
          <w:rPr>
            <w:webHidden/>
          </w:rPr>
        </w:r>
        <w:r w:rsidRPr="00473311">
          <w:rPr>
            <w:webHidden/>
          </w:rPr>
          <w:fldChar w:fldCharType="separate"/>
        </w:r>
        <w:r w:rsidR="00F44BFC">
          <w:rPr>
            <w:webHidden/>
          </w:rPr>
          <w:t>188</w:t>
        </w:r>
        <w:r w:rsidRPr="00473311">
          <w:rPr>
            <w:webHidden/>
          </w:rPr>
          <w:fldChar w:fldCharType="end"/>
        </w:r>
      </w:hyperlink>
    </w:p>
    <w:p w14:paraId="0EB59A70" w14:textId="3500EDD6"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32" w:history="1">
        <w:r w:rsidRPr="00473311">
          <w:rPr>
            <w:rStyle w:val="Hyperlink"/>
            <w:rFonts w:ascii="Public Sans" w:hAnsi="Public Sans"/>
          </w:rPr>
          <w:t>The public interest exceptions</w:t>
        </w:r>
        <w:r w:rsidRPr="00473311">
          <w:rPr>
            <w:webHidden/>
          </w:rPr>
          <w:tab/>
        </w:r>
        <w:r w:rsidRPr="00473311">
          <w:rPr>
            <w:webHidden/>
          </w:rPr>
          <w:fldChar w:fldCharType="begin"/>
        </w:r>
        <w:r w:rsidRPr="00473311">
          <w:rPr>
            <w:webHidden/>
          </w:rPr>
          <w:instrText xml:space="preserve"> PAGEREF _Toc196826932 \h </w:instrText>
        </w:r>
        <w:r w:rsidRPr="00473311">
          <w:rPr>
            <w:webHidden/>
          </w:rPr>
        </w:r>
        <w:r w:rsidRPr="00473311">
          <w:rPr>
            <w:webHidden/>
          </w:rPr>
          <w:fldChar w:fldCharType="separate"/>
        </w:r>
        <w:r w:rsidR="00F44BFC">
          <w:rPr>
            <w:webHidden/>
          </w:rPr>
          <w:t>189</w:t>
        </w:r>
        <w:r w:rsidRPr="00473311">
          <w:rPr>
            <w:webHidden/>
          </w:rPr>
          <w:fldChar w:fldCharType="end"/>
        </w:r>
      </w:hyperlink>
    </w:p>
    <w:p w14:paraId="67F26E16" w14:textId="43350EE2"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33" w:history="1">
        <w:r w:rsidRPr="00473311">
          <w:rPr>
            <w:rStyle w:val="Hyperlink"/>
            <w:rFonts w:ascii="Public Sans" w:hAnsi="Public Sans"/>
          </w:rPr>
          <w:t>Religious vilification protections</w:t>
        </w:r>
        <w:r w:rsidRPr="00473311">
          <w:rPr>
            <w:webHidden/>
          </w:rPr>
          <w:tab/>
        </w:r>
        <w:r w:rsidRPr="00473311">
          <w:rPr>
            <w:webHidden/>
          </w:rPr>
          <w:fldChar w:fldCharType="begin"/>
        </w:r>
        <w:r w:rsidRPr="00473311">
          <w:rPr>
            <w:webHidden/>
          </w:rPr>
          <w:instrText xml:space="preserve"> PAGEREF _Toc196826933 \h </w:instrText>
        </w:r>
        <w:r w:rsidRPr="00473311">
          <w:rPr>
            <w:webHidden/>
          </w:rPr>
        </w:r>
        <w:r w:rsidRPr="00473311">
          <w:rPr>
            <w:webHidden/>
          </w:rPr>
          <w:fldChar w:fldCharType="separate"/>
        </w:r>
        <w:r w:rsidR="00F44BFC">
          <w:rPr>
            <w:webHidden/>
          </w:rPr>
          <w:t>192</w:t>
        </w:r>
        <w:r w:rsidRPr="00473311">
          <w:rPr>
            <w:webHidden/>
          </w:rPr>
          <w:fldChar w:fldCharType="end"/>
        </w:r>
      </w:hyperlink>
    </w:p>
    <w:p w14:paraId="5A76330F" w14:textId="49718954"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34" w:history="1">
        <w:r w:rsidRPr="00473311">
          <w:rPr>
            <w:rStyle w:val="Hyperlink"/>
            <w:rFonts w:ascii="Public Sans" w:hAnsi="Public Sans"/>
          </w:rPr>
          <w:t>The definition of religious belief, affiliation and activity</w:t>
        </w:r>
        <w:r w:rsidRPr="00473311">
          <w:rPr>
            <w:webHidden/>
          </w:rPr>
          <w:tab/>
        </w:r>
        <w:r w:rsidRPr="00473311">
          <w:rPr>
            <w:webHidden/>
          </w:rPr>
          <w:fldChar w:fldCharType="begin"/>
        </w:r>
        <w:r w:rsidRPr="00473311">
          <w:rPr>
            <w:webHidden/>
          </w:rPr>
          <w:instrText xml:space="preserve"> PAGEREF _Toc196826934 \h </w:instrText>
        </w:r>
        <w:r w:rsidRPr="00473311">
          <w:rPr>
            <w:webHidden/>
          </w:rPr>
        </w:r>
        <w:r w:rsidRPr="00473311">
          <w:rPr>
            <w:webHidden/>
          </w:rPr>
          <w:fldChar w:fldCharType="separate"/>
        </w:r>
        <w:r w:rsidR="00F44BFC">
          <w:rPr>
            <w:webHidden/>
          </w:rPr>
          <w:t>193</w:t>
        </w:r>
        <w:r w:rsidRPr="00473311">
          <w:rPr>
            <w:webHidden/>
          </w:rPr>
          <w:fldChar w:fldCharType="end"/>
        </w:r>
      </w:hyperlink>
    </w:p>
    <w:p w14:paraId="0391A3F7" w14:textId="70105565"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35" w:history="1">
        <w:r w:rsidRPr="00473311">
          <w:rPr>
            <w:rStyle w:val="Hyperlink"/>
            <w:rFonts w:ascii="Public Sans" w:hAnsi="Public Sans"/>
          </w:rPr>
          <w:t>Other concerns about the religious vilification protections</w:t>
        </w:r>
        <w:r w:rsidRPr="00473311">
          <w:rPr>
            <w:webHidden/>
          </w:rPr>
          <w:tab/>
        </w:r>
        <w:r w:rsidRPr="00473311">
          <w:rPr>
            <w:webHidden/>
          </w:rPr>
          <w:fldChar w:fldCharType="begin"/>
        </w:r>
        <w:r w:rsidRPr="00473311">
          <w:rPr>
            <w:webHidden/>
          </w:rPr>
          <w:instrText xml:space="preserve"> PAGEREF _Toc196826935 \h </w:instrText>
        </w:r>
        <w:r w:rsidRPr="00473311">
          <w:rPr>
            <w:webHidden/>
          </w:rPr>
        </w:r>
        <w:r w:rsidRPr="00473311">
          <w:rPr>
            <w:webHidden/>
          </w:rPr>
          <w:fldChar w:fldCharType="separate"/>
        </w:r>
        <w:r w:rsidR="00F44BFC">
          <w:rPr>
            <w:webHidden/>
          </w:rPr>
          <w:t>193</w:t>
        </w:r>
        <w:r w:rsidRPr="00473311">
          <w:rPr>
            <w:webHidden/>
          </w:rPr>
          <w:fldChar w:fldCharType="end"/>
        </w:r>
      </w:hyperlink>
    </w:p>
    <w:p w14:paraId="054BE239" w14:textId="18CAB126" w:rsidR="005D6C72" w:rsidRPr="00473311" w:rsidRDefault="005D6C72">
      <w:pPr>
        <w:pStyle w:val="TOC1"/>
        <w:rPr>
          <w:rFonts w:eastAsiaTheme="minorEastAsia" w:cstheme="minorBidi"/>
          <w:b w:val="0"/>
          <w:color w:val="auto"/>
          <w:kern w:val="2"/>
          <w:sz w:val="24"/>
          <w:u w:val="none"/>
          <w:lang w:eastAsia="en-AU"/>
          <w14:ligatures w14:val="standardContextual"/>
        </w:rPr>
      </w:pPr>
      <w:hyperlink w:anchor="_Toc196826936" w:history="1">
        <w:r w:rsidRPr="00473311">
          <w:rPr>
            <w:rStyle w:val="Hyperlink"/>
            <w:rFonts w:ascii="Public Sans" w:hAnsi="Public Sans"/>
          </w:rPr>
          <w:t>9.</w:t>
        </w:r>
        <w:r w:rsidRPr="00473311">
          <w:rPr>
            <w:rFonts w:eastAsiaTheme="minorEastAsia" w:cstheme="minorBidi"/>
            <w:b w:val="0"/>
            <w:color w:val="auto"/>
            <w:kern w:val="2"/>
            <w:sz w:val="24"/>
            <w:u w:val="none"/>
            <w:lang w:eastAsia="en-AU"/>
            <w14:ligatures w14:val="standardContextual"/>
          </w:rPr>
          <w:tab/>
        </w:r>
        <w:r w:rsidRPr="00473311">
          <w:rPr>
            <w:rStyle w:val="Hyperlink"/>
            <w:rFonts w:ascii="Public Sans" w:hAnsi="Public Sans"/>
          </w:rPr>
          <w:t>Harassment</w:t>
        </w:r>
        <w:r w:rsidRPr="00473311">
          <w:rPr>
            <w:webHidden/>
          </w:rPr>
          <w:tab/>
        </w:r>
        <w:r w:rsidRPr="00473311">
          <w:rPr>
            <w:webHidden/>
          </w:rPr>
          <w:fldChar w:fldCharType="begin"/>
        </w:r>
        <w:r w:rsidRPr="00473311">
          <w:rPr>
            <w:webHidden/>
          </w:rPr>
          <w:instrText xml:space="preserve"> PAGEREF _Toc196826936 \h </w:instrText>
        </w:r>
        <w:r w:rsidRPr="00473311">
          <w:rPr>
            <w:webHidden/>
          </w:rPr>
        </w:r>
        <w:r w:rsidRPr="00473311">
          <w:rPr>
            <w:webHidden/>
          </w:rPr>
          <w:fldChar w:fldCharType="separate"/>
        </w:r>
        <w:r w:rsidR="00F44BFC">
          <w:rPr>
            <w:webHidden/>
          </w:rPr>
          <w:t>195</w:t>
        </w:r>
        <w:r w:rsidRPr="00473311">
          <w:rPr>
            <w:webHidden/>
          </w:rPr>
          <w:fldChar w:fldCharType="end"/>
        </w:r>
      </w:hyperlink>
    </w:p>
    <w:p w14:paraId="4B324D9E" w14:textId="55CFEEC0"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37" w:history="1">
        <w:r w:rsidRPr="00473311">
          <w:rPr>
            <w:rStyle w:val="Hyperlink"/>
            <w:rFonts w:ascii="Public Sans" w:hAnsi="Public Sans"/>
          </w:rPr>
          <w:t>The test for sexual harassment under the ADA</w:t>
        </w:r>
        <w:r w:rsidRPr="00473311">
          <w:rPr>
            <w:webHidden/>
          </w:rPr>
          <w:tab/>
        </w:r>
        <w:r w:rsidRPr="00473311">
          <w:rPr>
            <w:webHidden/>
          </w:rPr>
          <w:fldChar w:fldCharType="begin"/>
        </w:r>
        <w:r w:rsidRPr="00473311">
          <w:rPr>
            <w:webHidden/>
          </w:rPr>
          <w:instrText xml:space="preserve"> PAGEREF _Toc196826937 \h </w:instrText>
        </w:r>
        <w:r w:rsidRPr="00473311">
          <w:rPr>
            <w:webHidden/>
          </w:rPr>
        </w:r>
        <w:r w:rsidRPr="00473311">
          <w:rPr>
            <w:webHidden/>
          </w:rPr>
          <w:fldChar w:fldCharType="separate"/>
        </w:r>
        <w:r w:rsidR="00F44BFC">
          <w:rPr>
            <w:webHidden/>
          </w:rPr>
          <w:t>196</w:t>
        </w:r>
        <w:r w:rsidRPr="00473311">
          <w:rPr>
            <w:webHidden/>
          </w:rPr>
          <w:fldChar w:fldCharType="end"/>
        </w:r>
      </w:hyperlink>
    </w:p>
    <w:p w14:paraId="63D886FB" w14:textId="1E215905"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38" w:history="1">
        <w:r w:rsidRPr="00473311">
          <w:rPr>
            <w:rStyle w:val="Hyperlink"/>
            <w:rFonts w:ascii="Public Sans" w:hAnsi="Public Sans"/>
          </w:rPr>
          <w:t>The ADA’s four-step test for sexual harassment</w:t>
        </w:r>
        <w:r w:rsidRPr="00473311">
          <w:rPr>
            <w:webHidden/>
          </w:rPr>
          <w:tab/>
        </w:r>
        <w:r w:rsidRPr="00473311">
          <w:rPr>
            <w:webHidden/>
          </w:rPr>
          <w:fldChar w:fldCharType="begin"/>
        </w:r>
        <w:r w:rsidRPr="00473311">
          <w:rPr>
            <w:webHidden/>
          </w:rPr>
          <w:instrText xml:space="preserve"> PAGEREF _Toc196826938 \h </w:instrText>
        </w:r>
        <w:r w:rsidRPr="00473311">
          <w:rPr>
            <w:webHidden/>
          </w:rPr>
        </w:r>
        <w:r w:rsidRPr="00473311">
          <w:rPr>
            <w:webHidden/>
          </w:rPr>
          <w:fldChar w:fldCharType="separate"/>
        </w:r>
        <w:r w:rsidR="00F44BFC">
          <w:rPr>
            <w:webHidden/>
          </w:rPr>
          <w:t>197</w:t>
        </w:r>
        <w:r w:rsidRPr="00473311">
          <w:rPr>
            <w:webHidden/>
          </w:rPr>
          <w:fldChar w:fldCharType="end"/>
        </w:r>
      </w:hyperlink>
    </w:p>
    <w:p w14:paraId="04BF2A32" w14:textId="1BBFD91E"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39" w:history="1">
        <w:r w:rsidRPr="00473311">
          <w:rPr>
            <w:rStyle w:val="Hyperlink"/>
            <w:rFonts w:ascii="Public Sans" w:hAnsi="Public Sans"/>
          </w:rPr>
          <w:t xml:space="preserve">Differences to the </w:t>
        </w:r>
        <w:r w:rsidRPr="00473311">
          <w:rPr>
            <w:rStyle w:val="Hyperlink"/>
            <w:rFonts w:ascii="Public Sans" w:hAnsi="Public Sans"/>
            <w:i/>
          </w:rPr>
          <w:t>Sex Discrimination Act</w:t>
        </w:r>
        <w:r w:rsidRPr="00473311">
          <w:rPr>
            <w:webHidden/>
          </w:rPr>
          <w:tab/>
        </w:r>
        <w:r w:rsidRPr="00473311">
          <w:rPr>
            <w:webHidden/>
          </w:rPr>
          <w:fldChar w:fldCharType="begin"/>
        </w:r>
        <w:r w:rsidRPr="00473311">
          <w:rPr>
            <w:webHidden/>
          </w:rPr>
          <w:instrText xml:space="preserve"> PAGEREF _Toc196826939 \h </w:instrText>
        </w:r>
        <w:r w:rsidRPr="00473311">
          <w:rPr>
            <w:webHidden/>
          </w:rPr>
        </w:r>
        <w:r w:rsidRPr="00473311">
          <w:rPr>
            <w:webHidden/>
          </w:rPr>
          <w:fldChar w:fldCharType="separate"/>
        </w:r>
        <w:r w:rsidR="00F44BFC">
          <w:rPr>
            <w:webHidden/>
          </w:rPr>
          <w:t>198</w:t>
        </w:r>
        <w:r w:rsidRPr="00473311">
          <w:rPr>
            <w:webHidden/>
          </w:rPr>
          <w:fldChar w:fldCharType="end"/>
        </w:r>
      </w:hyperlink>
    </w:p>
    <w:p w14:paraId="34C27FEE" w14:textId="564B7801"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40" w:history="1">
        <w:r w:rsidRPr="00473311">
          <w:rPr>
            <w:rStyle w:val="Hyperlink"/>
            <w:rFonts w:ascii="Public Sans" w:hAnsi="Public Sans"/>
          </w:rPr>
          <w:t>Other sex-based conduct</w:t>
        </w:r>
        <w:r w:rsidRPr="00473311">
          <w:rPr>
            <w:webHidden/>
          </w:rPr>
          <w:tab/>
        </w:r>
        <w:r w:rsidRPr="00473311">
          <w:rPr>
            <w:webHidden/>
          </w:rPr>
          <w:fldChar w:fldCharType="begin"/>
        </w:r>
        <w:r w:rsidRPr="00473311">
          <w:rPr>
            <w:webHidden/>
          </w:rPr>
          <w:instrText xml:space="preserve"> PAGEREF _Toc196826940 \h </w:instrText>
        </w:r>
        <w:r w:rsidRPr="00473311">
          <w:rPr>
            <w:webHidden/>
          </w:rPr>
        </w:r>
        <w:r w:rsidRPr="00473311">
          <w:rPr>
            <w:webHidden/>
          </w:rPr>
          <w:fldChar w:fldCharType="separate"/>
        </w:r>
        <w:r w:rsidR="00F44BFC">
          <w:rPr>
            <w:webHidden/>
          </w:rPr>
          <w:t>200</w:t>
        </w:r>
        <w:r w:rsidRPr="00473311">
          <w:rPr>
            <w:webHidden/>
          </w:rPr>
          <w:fldChar w:fldCharType="end"/>
        </w:r>
      </w:hyperlink>
    </w:p>
    <w:p w14:paraId="24B2970B" w14:textId="5E0B7009"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41" w:history="1">
        <w:r w:rsidRPr="00473311">
          <w:rPr>
            <w:rStyle w:val="Hyperlink"/>
            <w:rFonts w:ascii="Public Sans" w:hAnsi="Public Sans"/>
          </w:rPr>
          <w:t>Tests for other sex-based conduct</w:t>
        </w:r>
        <w:r w:rsidRPr="00473311">
          <w:rPr>
            <w:webHidden/>
          </w:rPr>
          <w:tab/>
        </w:r>
        <w:r w:rsidRPr="00473311">
          <w:rPr>
            <w:webHidden/>
          </w:rPr>
          <w:fldChar w:fldCharType="begin"/>
        </w:r>
        <w:r w:rsidRPr="00473311">
          <w:rPr>
            <w:webHidden/>
          </w:rPr>
          <w:instrText xml:space="preserve"> PAGEREF _Toc196826941 \h </w:instrText>
        </w:r>
        <w:r w:rsidRPr="00473311">
          <w:rPr>
            <w:webHidden/>
          </w:rPr>
        </w:r>
        <w:r w:rsidRPr="00473311">
          <w:rPr>
            <w:webHidden/>
          </w:rPr>
          <w:fldChar w:fldCharType="separate"/>
        </w:r>
        <w:r w:rsidR="00F44BFC">
          <w:rPr>
            <w:webHidden/>
          </w:rPr>
          <w:t>200</w:t>
        </w:r>
        <w:r w:rsidRPr="00473311">
          <w:rPr>
            <w:webHidden/>
          </w:rPr>
          <w:fldChar w:fldCharType="end"/>
        </w:r>
      </w:hyperlink>
    </w:p>
    <w:p w14:paraId="725942B5" w14:textId="64C6CBB6"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42" w:history="1">
        <w:r w:rsidRPr="00473311">
          <w:rPr>
            <w:rStyle w:val="Hyperlink"/>
            <w:rFonts w:ascii="Public Sans" w:hAnsi="Public Sans"/>
          </w:rPr>
          <w:t>Benefits of prohibiting sex-based conduct</w:t>
        </w:r>
        <w:r w:rsidRPr="00473311">
          <w:rPr>
            <w:webHidden/>
          </w:rPr>
          <w:tab/>
        </w:r>
        <w:r w:rsidRPr="00473311">
          <w:rPr>
            <w:webHidden/>
          </w:rPr>
          <w:fldChar w:fldCharType="begin"/>
        </w:r>
        <w:r w:rsidRPr="00473311">
          <w:rPr>
            <w:webHidden/>
          </w:rPr>
          <w:instrText xml:space="preserve"> PAGEREF _Toc196826942 \h </w:instrText>
        </w:r>
        <w:r w:rsidRPr="00473311">
          <w:rPr>
            <w:webHidden/>
          </w:rPr>
        </w:r>
        <w:r w:rsidRPr="00473311">
          <w:rPr>
            <w:webHidden/>
          </w:rPr>
          <w:fldChar w:fldCharType="separate"/>
        </w:r>
        <w:r w:rsidR="00F44BFC">
          <w:rPr>
            <w:webHidden/>
          </w:rPr>
          <w:t>201</w:t>
        </w:r>
        <w:r w:rsidRPr="00473311">
          <w:rPr>
            <w:webHidden/>
          </w:rPr>
          <w:fldChar w:fldCharType="end"/>
        </w:r>
      </w:hyperlink>
    </w:p>
    <w:p w14:paraId="6560FF0E" w14:textId="48C012BE"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43" w:history="1">
        <w:r w:rsidRPr="00473311">
          <w:rPr>
            <w:rStyle w:val="Hyperlink"/>
            <w:rFonts w:ascii="Public Sans" w:hAnsi="Public Sans"/>
          </w:rPr>
          <w:t>Concerns about prohibiting sex-based conduct</w:t>
        </w:r>
        <w:r w:rsidRPr="00473311">
          <w:rPr>
            <w:webHidden/>
          </w:rPr>
          <w:tab/>
        </w:r>
        <w:r w:rsidRPr="00473311">
          <w:rPr>
            <w:webHidden/>
          </w:rPr>
          <w:fldChar w:fldCharType="begin"/>
        </w:r>
        <w:r w:rsidRPr="00473311">
          <w:rPr>
            <w:webHidden/>
          </w:rPr>
          <w:instrText xml:space="preserve"> PAGEREF _Toc196826943 \h </w:instrText>
        </w:r>
        <w:r w:rsidRPr="00473311">
          <w:rPr>
            <w:webHidden/>
          </w:rPr>
        </w:r>
        <w:r w:rsidRPr="00473311">
          <w:rPr>
            <w:webHidden/>
          </w:rPr>
          <w:fldChar w:fldCharType="separate"/>
        </w:r>
        <w:r w:rsidR="00F44BFC">
          <w:rPr>
            <w:webHidden/>
          </w:rPr>
          <w:t>201</w:t>
        </w:r>
        <w:r w:rsidRPr="00473311">
          <w:rPr>
            <w:webHidden/>
          </w:rPr>
          <w:fldChar w:fldCharType="end"/>
        </w:r>
      </w:hyperlink>
    </w:p>
    <w:p w14:paraId="5525AC1A" w14:textId="7438AA2E"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44" w:history="1">
        <w:r w:rsidRPr="00473311">
          <w:rPr>
            <w:rStyle w:val="Hyperlink"/>
            <w:rFonts w:ascii="Public Sans" w:hAnsi="Public Sans"/>
          </w:rPr>
          <w:t>Areas in which sexual harassment is unlawful</w:t>
        </w:r>
        <w:r w:rsidRPr="00473311">
          <w:rPr>
            <w:webHidden/>
          </w:rPr>
          <w:tab/>
        </w:r>
        <w:r w:rsidRPr="00473311">
          <w:rPr>
            <w:webHidden/>
          </w:rPr>
          <w:fldChar w:fldCharType="begin"/>
        </w:r>
        <w:r w:rsidRPr="00473311">
          <w:rPr>
            <w:webHidden/>
          </w:rPr>
          <w:instrText xml:space="preserve"> PAGEREF _Toc196826944 \h </w:instrText>
        </w:r>
        <w:r w:rsidRPr="00473311">
          <w:rPr>
            <w:webHidden/>
          </w:rPr>
        </w:r>
        <w:r w:rsidRPr="00473311">
          <w:rPr>
            <w:webHidden/>
          </w:rPr>
          <w:fldChar w:fldCharType="separate"/>
        </w:r>
        <w:r w:rsidR="00F44BFC">
          <w:rPr>
            <w:webHidden/>
          </w:rPr>
          <w:t>203</w:t>
        </w:r>
        <w:r w:rsidRPr="00473311">
          <w:rPr>
            <w:webHidden/>
          </w:rPr>
          <w:fldChar w:fldCharType="end"/>
        </w:r>
      </w:hyperlink>
    </w:p>
    <w:p w14:paraId="2148507E" w14:textId="5021BDB0"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45" w:history="1">
        <w:r w:rsidRPr="00473311">
          <w:rPr>
            <w:rStyle w:val="Hyperlink"/>
            <w:rFonts w:ascii="Public Sans" w:hAnsi="Public Sans"/>
          </w:rPr>
          <w:t>Overview of the ADA’s approach</w:t>
        </w:r>
        <w:r w:rsidRPr="00473311">
          <w:rPr>
            <w:webHidden/>
          </w:rPr>
          <w:tab/>
        </w:r>
        <w:r w:rsidRPr="00473311">
          <w:rPr>
            <w:webHidden/>
          </w:rPr>
          <w:fldChar w:fldCharType="begin"/>
        </w:r>
        <w:r w:rsidRPr="00473311">
          <w:rPr>
            <w:webHidden/>
          </w:rPr>
          <w:instrText xml:space="preserve"> PAGEREF _Toc196826945 \h </w:instrText>
        </w:r>
        <w:r w:rsidRPr="00473311">
          <w:rPr>
            <w:webHidden/>
          </w:rPr>
        </w:r>
        <w:r w:rsidRPr="00473311">
          <w:rPr>
            <w:webHidden/>
          </w:rPr>
          <w:fldChar w:fldCharType="separate"/>
        </w:r>
        <w:r w:rsidR="00F44BFC">
          <w:rPr>
            <w:webHidden/>
          </w:rPr>
          <w:t>204</w:t>
        </w:r>
        <w:r w:rsidRPr="00473311">
          <w:rPr>
            <w:webHidden/>
          </w:rPr>
          <w:fldChar w:fldCharType="end"/>
        </w:r>
      </w:hyperlink>
    </w:p>
    <w:p w14:paraId="6E44AC97" w14:textId="206563C9"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46" w:history="1">
        <w:r w:rsidRPr="00473311">
          <w:rPr>
            <w:rStyle w:val="Hyperlink"/>
            <w:rFonts w:ascii="Public Sans" w:hAnsi="Public Sans"/>
          </w:rPr>
          <w:t xml:space="preserve">Comparisons with the </w:t>
        </w:r>
        <w:r w:rsidRPr="00473311">
          <w:rPr>
            <w:rStyle w:val="Hyperlink"/>
            <w:rFonts w:ascii="Public Sans" w:hAnsi="Public Sans"/>
            <w:i/>
          </w:rPr>
          <w:t>Sex Discrimination Act</w:t>
        </w:r>
        <w:r w:rsidRPr="00473311">
          <w:rPr>
            <w:webHidden/>
          </w:rPr>
          <w:tab/>
        </w:r>
        <w:r w:rsidRPr="00473311">
          <w:rPr>
            <w:webHidden/>
          </w:rPr>
          <w:fldChar w:fldCharType="begin"/>
        </w:r>
        <w:r w:rsidRPr="00473311">
          <w:rPr>
            <w:webHidden/>
          </w:rPr>
          <w:instrText xml:space="preserve"> PAGEREF _Toc196826946 \h </w:instrText>
        </w:r>
        <w:r w:rsidRPr="00473311">
          <w:rPr>
            <w:webHidden/>
          </w:rPr>
        </w:r>
        <w:r w:rsidRPr="00473311">
          <w:rPr>
            <w:webHidden/>
          </w:rPr>
          <w:fldChar w:fldCharType="separate"/>
        </w:r>
        <w:r w:rsidR="00F44BFC">
          <w:rPr>
            <w:webHidden/>
          </w:rPr>
          <w:t>204</w:t>
        </w:r>
        <w:r w:rsidRPr="00473311">
          <w:rPr>
            <w:webHidden/>
          </w:rPr>
          <w:fldChar w:fldCharType="end"/>
        </w:r>
      </w:hyperlink>
    </w:p>
    <w:p w14:paraId="5B9E0D3F" w14:textId="0046085E"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47" w:history="1">
        <w:r w:rsidRPr="00473311">
          <w:rPr>
            <w:rStyle w:val="Hyperlink"/>
            <w:rFonts w:ascii="Public Sans" w:hAnsi="Public Sans"/>
          </w:rPr>
          <w:t>Workplace-related laws also regulate sexual harassment</w:t>
        </w:r>
        <w:r w:rsidRPr="00473311">
          <w:rPr>
            <w:webHidden/>
          </w:rPr>
          <w:tab/>
        </w:r>
        <w:r w:rsidRPr="00473311">
          <w:rPr>
            <w:webHidden/>
          </w:rPr>
          <w:fldChar w:fldCharType="begin"/>
        </w:r>
        <w:r w:rsidRPr="00473311">
          <w:rPr>
            <w:webHidden/>
          </w:rPr>
          <w:instrText xml:space="preserve"> PAGEREF _Toc196826947 \h </w:instrText>
        </w:r>
        <w:r w:rsidRPr="00473311">
          <w:rPr>
            <w:webHidden/>
          </w:rPr>
        </w:r>
        <w:r w:rsidRPr="00473311">
          <w:rPr>
            <w:webHidden/>
          </w:rPr>
          <w:fldChar w:fldCharType="separate"/>
        </w:r>
        <w:r w:rsidR="00F44BFC">
          <w:rPr>
            <w:webHidden/>
          </w:rPr>
          <w:t>207</w:t>
        </w:r>
        <w:r w:rsidRPr="00473311">
          <w:rPr>
            <w:webHidden/>
          </w:rPr>
          <w:fldChar w:fldCharType="end"/>
        </w:r>
      </w:hyperlink>
    </w:p>
    <w:p w14:paraId="596F1568" w14:textId="4F412851"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48" w:history="1">
        <w:r w:rsidRPr="00473311">
          <w:rPr>
            <w:rStyle w:val="Hyperlink"/>
            <w:rFonts w:ascii="Public Sans" w:hAnsi="Public Sans"/>
          </w:rPr>
          <w:t>Prohibiting sexual harassment in other areas of life</w:t>
        </w:r>
        <w:r w:rsidRPr="00473311">
          <w:rPr>
            <w:webHidden/>
          </w:rPr>
          <w:tab/>
        </w:r>
        <w:r w:rsidRPr="00473311">
          <w:rPr>
            <w:webHidden/>
          </w:rPr>
          <w:fldChar w:fldCharType="begin"/>
        </w:r>
        <w:r w:rsidRPr="00473311">
          <w:rPr>
            <w:webHidden/>
          </w:rPr>
          <w:instrText xml:space="preserve"> PAGEREF _Toc196826948 \h </w:instrText>
        </w:r>
        <w:r w:rsidRPr="00473311">
          <w:rPr>
            <w:webHidden/>
          </w:rPr>
        </w:r>
        <w:r w:rsidRPr="00473311">
          <w:rPr>
            <w:webHidden/>
          </w:rPr>
          <w:fldChar w:fldCharType="separate"/>
        </w:r>
        <w:r w:rsidR="00F44BFC">
          <w:rPr>
            <w:webHidden/>
          </w:rPr>
          <w:t>208</w:t>
        </w:r>
        <w:r w:rsidRPr="00473311">
          <w:rPr>
            <w:webHidden/>
          </w:rPr>
          <w:fldChar w:fldCharType="end"/>
        </w:r>
      </w:hyperlink>
    </w:p>
    <w:p w14:paraId="159529B9" w14:textId="56DE4A9D"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49" w:history="1">
        <w:r w:rsidRPr="00473311">
          <w:rPr>
            <w:rStyle w:val="Hyperlink"/>
            <w:rFonts w:ascii="Public Sans" w:hAnsi="Public Sans"/>
          </w:rPr>
          <w:t>The private accommodation exception</w:t>
        </w:r>
        <w:r w:rsidRPr="00473311">
          <w:rPr>
            <w:webHidden/>
          </w:rPr>
          <w:tab/>
        </w:r>
        <w:r w:rsidRPr="00473311">
          <w:rPr>
            <w:webHidden/>
          </w:rPr>
          <w:fldChar w:fldCharType="begin"/>
        </w:r>
        <w:r w:rsidRPr="00473311">
          <w:rPr>
            <w:webHidden/>
          </w:rPr>
          <w:instrText xml:space="preserve"> PAGEREF _Toc196826949 \h </w:instrText>
        </w:r>
        <w:r w:rsidRPr="00473311">
          <w:rPr>
            <w:webHidden/>
          </w:rPr>
        </w:r>
        <w:r w:rsidRPr="00473311">
          <w:rPr>
            <w:webHidden/>
          </w:rPr>
          <w:fldChar w:fldCharType="separate"/>
        </w:r>
        <w:r w:rsidR="00F44BFC">
          <w:rPr>
            <w:webHidden/>
          </w:rPr>
          <w:t>210</w:t>
        </w:r>
        <w:r w:rsidRPr="00473311">
          <w:rPr>
            <w:webHidden/>
          </w:rPr>
          <w:fldChar w:fldCharType="end"/>
        </w:r>
      </w:hyperlink>
    </w:p>
    <w:p w14:paraId="166E6A1D" w14:textId="655C36B5"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50" w:history="1">
        <w:r w:rsidRPr="00473311">
          <w:rPr>
            <w:rStyle w:val="Hyperlink"/>
            <w:rFonts w:ascii="Public Sans" w:hAnsi="Public Sans"/>
          </w:rPr>
          <w:t>Harassment based on protected attributes</w:t>
        </w:r>
        <w:r w:rsidRPr="00473311">
          <w:rPr>
            <w:webHidden/>
          </w:rPr>
          <w:tab/>
        </w:r>
        <w:r w:rsidRPr="00473311">
          <w:rPr>
            <w:webHidden/>
          </w:rPr>
          <w:fldChar w:fldCharType="begin"/>
        </w:r>
        <w:r w:rsidRPr="00473311">
          <w:rPr>
            <w:webHidden/>
          </w:rPr>
          <w:instrText xml:space="preserve"> PAGEREF _Toc196826950 \h </w:instrText>
        </w:r>
        <w:r w:rsidRPr="00473311">
          <w:rPr>
            <w:webHidden/>
          </w:rPr>
        </w:r>
        <w:r w:rsidRPr="00473311">
          <w:rPr>
            <w:webHidden/>
          </w:rPr>
          <w:fldChar w:fldCharType="separate"/>
        </w:r>
        <w:r w:rsidR="00F44BFC">
          <w:rPr>
            <w:webHidden/>
          </w:rPr>
          <w:t>211</w:t>
        </w:r>
        <w:r w:rsidRPr="00473311">
          <w:rPr>
            <w:webHidden/>
          </w:rPr>
          <w:fldChar w:fldCharType="end"/>
        </w:r>
      </w:hyperlink>
    </w:p>
    <w:p w14:paraId="24E98E16" w14:textId="5F0DE3E9"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51" w:history="1">
        <w:r w:rsidRPr="00473311">
          <w:rPr>
            <w:rStyle w:val="Hyperlink"/>
            <w:rFonts w:ascii="Public Sans" w:hAnsi="Public Sans"/>
          </w:rPr>
          <w:t>Arguments for and against new prohibitions</w:t>
        </w:r>
        <w:r w:rsidRPr="00473311">
          <w:rPr>
            <w:webHidden/>
          </w:rPr>
          <w:tab/>
        </w:r>
        <w:r w:rsidRPr="00473311">
          <w:rPr>
            <w:webHidden/>
          </w:rPr>
          <w:fldChar w:fldCharType="begin"/>
        </w:r>
        <w:r w:rsidRPr="00473311">
          <w:rPr>
            <w:webHidden/>
          </w:rPr>
          <w:instrText xml:space="preserve"> PAGEREF _Toc196826951 \h </w:instrText>
        </w:r>
        <w:r w:rsidRPr="00473311">
          <w:rPr>
            <w:webHidden/>
          </w:rPr>
        </w:r>
        <w:r w:rsidRPr="00473311">
          <w:rPr>
            <w:webHidden/>
          </w:rPr>
          <w:fldChar w:fldCharType="separate"/>
        </w:r>
        <w:r w:rsidR="00F44BFC">
          <w:rPr>
            <w:webHidden/>
          </w:rPr>
          <w:t>211</w:t>
        </w:r>
        <w:r w:rsidRPr="00473311">
          <w:rPr>
            <w:webHidden/>
          </w:rPr>
          <w:fldChar w:fldCharType="end"/>
        </w:r>
      </w:hyperlink>
    </w:p>
    <w:p w14:paraId="2EFCBAA2" w14:textId="52D62CCB"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52" w:history="1">
        <w:r w:rsidRPr="00473311">
          <w:rPr>
            <w:rStyle w:val="Hyperlink"/>
            <w:rFonts w:ascii="Public Sans" w:hAnsi="Public Sans"/>
          </w:rPr>
          <w:t>Conduct that could be considered attribute-based harassment</w:t>
        </w:r>
        <w:r w:rsidRPr="00473311">
          <w:rPr>
            <w:webHidden/>
          </w:rPr>
          <w:tab/>
        </w:r>
        <w:r w:rsidRPr="00473311">
          <w:rPr>
            <w:webHidden/>
          </w:rPr>
          <w:fldChar w:fldCharType="begin"/>
        </w:r>
        <w:r w:rsidRPr="00473311">
          <w:rPr>
            <w:webHidden/>
          </w:rPr>
          <w:instrText xml:space="preserve"> PAGEREF _Toc196826952 \h </w:instrText>
        </w:r>
        <w:r w:rsidRPr="00473311">
          <w:rPr>
            <w:webHidden/>
          </w:rPr>
        </w:r>
        <w:r w:rsidRPr="00473311">
          <w:rPr>
            <w:webHidden/>
          </w:rPr>
          <w:fldChar w:fldCharType="separate"/>
        </w:r>
        <w:r w:rsidR="00F44BFC">
          <w:rPr>
            <w:webHidden/>
          </w:rPr>
          <w:t>212</w:t>
        </w:r>
        <w:r w:rsidRPr="00473311">
          <w:rPr>
            <w:webHidden/>
          </w:rPr>
          <w:fldChar w:fldCharType="end"/>
        </w:r>
      </w:hyperlink>
    </w:p>
    <w:p w14:paraId="3090AE1F" w14:textId="660DE303"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53" w:history="1">
        <w:r w:rsidRPr="00473311">
          <w:rPr>
            <w:rStyle w:val="Hyperlink"/>
            <w:rFonts w:ascii="Public Sans" w:hAnsi="Public Sans"/>
          </w:rPr>
          <w:t>Harassment on the ground of other attributes and areas of life</w:t>
        </w:r>
        <w:r w:rsidRPr="00473311">
          <w:rPr>
            <w:webHidden/>
          </w:rPr>
          <w:tab/>
        </w:r>
        <w:r w:rsidRPr="00473311">
          <w:rPr>
            <w:webHidden/>
          </w:rPr>
          <w:fldChar w:fldCharType="begin"/>
        </w:r>
        <w:r w:rsidRPr="00473311">
          <w:rPr>
            <w:webHidden/>
          </w:rPr>
          <w:instrText xml:space="preserve"> PAGEREF _Toc196826953 \h </w:instrText>
        </w:r>
        <w:r w:rsidRPr="00473311">
          <w:rPr>
            <w:webHidden/>
          </w:rPr>
        </w:r>
        <w:r w:rsidRPr="00473311">
          <w:rPr>
            <w:webHidden/>
          </w:rPr>
          <w:fldChar w:fldCharType="separate"/>
        </w:r>
        <w:r w:rsidR="00F44BFC">
          <w:rPr>
            <w:webHidden/>
          </w:rPr>
          <w:t>213</w:t>
        </w:r>
        <w:r w:rsidRPr="00473311">
          <w:rPr>
            <w:webHidden/>
          </w:rPr>
          <w:fldChar w:fldCharType="end"/>
        </w:r>
      </w:hyperlink>
    </w:p>
    <w:p w14:paraId="3974A9DD" w14:textId="2885FF38" w:rsidR="005D6C72" w:rsidRPr="00473311" w:rsidRDefault="005D6C72">
      <w:pPr>
        <w:pStyle w:val="TOC1"/>
        <w:rPr>
          <w:rFonts w:eastAsiaTheme="minorEastAsia" w:cstheme="minorBidi"/>
          <w:b w:val="0"/>
          <w:color w:val="auto"/>
          <w:kern w:val="2"/>
          <w:sz w:val="24"/>
          <w:u w:val="none"/>
          <w:lang w:eastAsia="en-AU"/>
          <w14:ligatures w14:val="standardContextual"/>
        </w:rPr>
      </w:pPr>
      <w:hyperlink w:anchor="_Toc196826954" w:history="1">
        <w:r w:rsidRPr="00473311">
          <w:rPr>
            <w:rStyle w:val="Hyperlink"/>
            <w:rFonts w:ascii="Public Sans" w:hAnsi="Public Sans"/>
          </w:rPr>
          <w:t>10.</w:t>
        </w:r>
        <w:r w:rsidRPr="00473311">
          <w:rPr>
            <w:rFonts w:eastAsiaTheme="minorEastAsia" w:cstheme="minorBidi"/>
            <w:b w:val="0"/>
            <w:color w:val="auto"/>
            <w:kern w:val="2"/>
            <w:sz w:val="24"/>
            <w:u w:val="none"/>
            <w:lang w:eastAsia="en-AU"/>
            <w14:ligatures w14:val="standardContextual"/>
          </w:rPr>
          <w:tab/>
        </w:r>
        <w:r w:rsidRPr="00473311">
          <w:rPr>
            <w:rStyle w:val="Hyperlink"/>
            <w:rFonts w:ascii="Public Sans" w:hAnsi="Public Sans"/>
          </w:rPr>
          <w:t>Other unlawful acts and liability</w:t>
        </w:r>
        <w:r w:rsidRPr="00473311">
          <w:rPr>
            <w:webHidden/>
          </w:rPr>
          <w:tab/>
        </w:r>
        <w:r w:rsidRPr="00473311">
          <w:rPr>
            <w:webHidden/>
          </w:rPr>
          <w:fldChar w:fldCharType="begin"/>
        </w:r>
        <w:r w:rsidRPr="00473311">
          <w:rPr>
            <w:webHidden/>
          </w:rPr>
          <w:instrText xml:space="preserve"> PAGEREF _Toc196826954 \h </w:instrText>
        </w:r>
        <w:r w:rsidRPr="00473311">
          <w:rPr>
            <w:webHidden/>
          </w:rPr>
        </w:r>
        <w:r w:rsidRPr="00473311">
          <w:rPr>
            <w:webHidden/>
          </w:rPr>
          <w:fldChar w:fldCharType="separate"/>
        </w:r>
        <w:r w:rsidR="00F44BFC">
          <w:rPr>
            <w:webHidden/>
          </w:rPr>
          <w:t>215</w:t>
        </w:r>
        <w:r w:rsidRPr="00473311">
          <w:rPr>
            <w:webHidden/>
          </w:rPr>
          <w:fldChar w:fldCharType="end"/>
        </w:r>
      </w:hyperlink>
    </w:p>
    <w:p w14:paraId="4BA54B84" w14:textId="15473E7A"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55" w:history="1">
        <w:r w:rsidRPr="00473311">
          <w:rPr>
            <w:rStyle w:val="Hyperlink"/>
            <w:rFonts w:ascii="Public Sans" w:hAnsi="Public Sans"/>
          </w:rPr>
          <w:t>Victimisation</w:t>
        </w:r>
        <w:r w:rsidRPr="00473311">
          <w:rPr>
            <w:webHidden/>
          </w:rPr>
          <w:tab/>
        </w:r>
        <w:r w:rsidRPr="00473311">
          <w:rPr>
            <w:webHidden/>
          </w:rPr>
          <w:fldChar w:fldCharType="begin"/>
        </w:r>
        <w:r w:rsidRPr="00473311">
          <w:rPr>
            <w:webHidden/>
          </w:rPr>
          <w:instrText xml:space="preserve"> PAGEREF _Toc196826955 \h </w:instrText>
        </w:r>
        <w:r w:rsidRPr="00473311">
          <w:rPr>
            <w:webHidden/>
          </w:rPr>
        </w:r>
        <w:r w:rsidRPr="00473311">
          <w:rPr>
            <w:webHidden/>
          </w:rPr>
          <w:fldChar w:fldCharType="separate"/>
        </w:r>
        <w:r w:rsidR="00F44BFC">
          <w:rPr>
            <w:webHidden/>
          </w:rPr>
          <w:t>215</w:t>
        </w:r>
        <w:r w:rsidRPr="00473311">
          <w:rPr>
            <w:webHidden/>
          </w:rPr>
          <w:fldChar w:fldCharType="end"/>
        </w:r>
      </w:hyperlink>
    </w:p>
    <w:p w14:paraId="1F4EE4B1" w14:textId="213E5FEF"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56" w:history="1">
        <w:r w:rsidRPr="00473311">
          <w:rPr>
            <w:rStyle w:val="Hyperlink"/>
            <w:rFonts w:ascii="Public Sans" w:hAnsi="Public Sans"/>
          </w:rPr>
          <w:t>When victimisation occurs</w:t>
        </w:r>
        <w:r w:rsidRPr="00473311">
          <w:rPr>
            <w:webHidden/>
          </w:rPr>
          <w:tab/>
        </w:r>
        <w:r w:rsidRPr="00473311">
          <w:rPr>
            <w:webHidden/>
          </w:rPr>
          <w:fldChar w:fldCharType="begin"/>
        </w:r>
        <w:r w:rsidRPr="00473311">
          <w:rPr>
            <w:webHidden/>
          </w:rPr>
          <w:instrText xml:space="preserve"> PAGEREF _Toc196826956 \h </w:instrText>
        </w:r>
        <w:r w:rsidRPr="00473311">
          <w:rPr>
            <w:webHidden/>
          </w:rPr>
        </w:r>
        <w:r w:rsidRPr="00473311">
          <w:rPr>
            <w:webHidden/>
          </w:rPr>
          <w:fldChar w:fldCharType="separate"/>
        </w:r>
        <w:r w:rsidR="00F44BFC">
          <w:rPr>
            <w:webHidden/>
          </w:rPr>
          <w:t>216</w:t>
        </w:r>
        <w:r w:rsidRPr="00473311">
          <w:rPr>
            <w:webHidden/>
          </w:rPr>
          <w:fldChar w:fldCharType="end"/>
        </w:r>
      </w:hyperlink>
    </w:p>
    <w:p w14:paraId="30A816B2" w14:textId="3A76B816"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57" w:history="1">
        <w:r w:rsidRPr="00473311">
          <w:rPr>
            <w:rStyle w:val="Hyperlink"/>
            <w:rFonts w:ascii="Public Sans" w:hAnsi="Public Sans"/>
          </w:rPr>
          <w:t>Options to expand or clarify the coverage of this prohibition</w:t>
        </w:r>
        <w:r w:rsidRPr="00473311">
          <w:rPr>
            <w:webHidden/>
          </w:rPr>
          <w:tab/>
        </w:r>
        <w:r w:rsidRPr="00473311">
          <w:rPr>
            <w:webHidden/>
          </w:rPr>
          <w:fldChar w:fldCharType="begin"/>
        </w:r>
        <w:r w:rsidRPr="00473311">
          <w:rPr>
            <w:webHidden/>
          </w:rPr>
          <w:instrText xml:space="preserve"> PAGEREF _Toc196826957 \h </w:instrText>
        </w:r>
        <w:r w:rsidRPr="00473311">
          <w:rPr>
            <w:webHidden/>
          </w:rPr>
        </w:r>
        <w:r w:rsidRPr="00473311">
          <w:rPr>
            <w:webHidden/>
          </w:rPr>
          <w:fldChar w:fldCharType="separate"/>
        </w:r>
        <w:r w:rsidR="00F44BFC">
          <w:rPr>
            <w:webHidden/>
          </w:rPr>
          <w:t>216</w:t>
        </w:r>
        <w:r w:rsidRPr="00473311">
          <w:rPr>
            <w:webHidden/>
          </w:rPr>
          <w:fldChar w:fldCharType="end"/>
        </w:r>
      </w:hyperlink>
    </w:p>
    <w:p w14:paraId="3B7B6D93" w14:textId="2C6E10D8"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58" w:history="1">
        <w:r w:rsidRPr="00473311">
          <w:rPr>
            <w:rStyle w:val="Hyperlink"/>
            <w:rFonts w:ascii="Public Sans" w:hAnsi="Public Sans"/>
          </w:rPr>
          <w:t>Unlawful advertisements</w:t>
        </w:r>
        <w:r w:rsidRPr="00473311">
          <w:rPr>
            <w:webHidden/>
          </w:rPr>
          <w:tab/>
        </w:r>
        <w:r w:rsidRPr="00473311">
          <w:rPr>
            <w:webHidden/>
          </w:rPr>
          <w:fldChar w:fldCharType="begin"/>
        </w:r>
        <w:r w:rsidRPr="00473311">
          <w:rPr>
            <w:webHidden/>
          </w:rPr>
          <w:instrText xml:space="preserve"> PAGEREF _Toc196826958 \h </w:instrText>
        </w:r>
        <w:r w:rsidRPr="00473311">
          <w:rPr>
            <w:webHidden/>
          </w:rPr>
        </w:r>
        <w:r w:rsidRPr="00473311">
          <w:rPr>
            <w:webHidden/>
          </w:rPr>
          <w:fldChar w:fldCharType="separate"/>
        </w:r>
        <w:r w:rsidR="00F44BFC">
          <w:rPr>
            <w:webHidden/>
          </w:rPr>
          <w:t>218</w:t>
        </w:r>
        <w:r w:rsidRPr="00473311">
          <w:rPr>
            <w:webHidden/>
          </w:rPr>
          <w:fldChar w:fldCharType="end"/>
        </w:r>
      </w:hyperlink>
    </w:p>
    <w:p w14:paraId="0927821D" w14:textId="4178B9C1"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59" w:history="1">
        <w:r w:rsidRPr="00473311">
          <w:rPr>
            <w:rStyle w:val="Hyperlink"/>
            <w:rFonts w:ascii="Public Sans" w:hAnsi="Public Sans"/>
          </w:rPr>
          <w:t>Liability for unlawful behaviour</w:t>
        </w:r>
        <w:r w:rsidRPr="00473311">
          <w:rPr>
            <w:webHidden/>
          </w:rPr>
          <w:tab/>
        </w:r>
        <w:r w:rsidRPr="00473311">
          <w:rPr>
            <w:webHidden/>
          </w:rPr>
          <w:fldChar w:fldCharType="begin"/>
        </w:r>
        <w:r w:rsidRPr="00473311">
          <w:rPr>
            <w:webHidden/>
          </w:rPr>
          <w:instrText xml:space="preserve"> PAGEREF _Toc196826959 \h </w:instrText>
        </w:r>
        <w:r w:rsidRPr="00473311">
          <w:rPr>
            <w:webHidden/>
          </w:rPr>
        </w:r>
        <w:r w:rsidRPr="00473311">
          <w:rPr>
            <w:webHidden/>
          </w:rPr>
          <w:fldChar w:fldCharType="separate"/>
        </w:r>
        <w:r w:rsidR="00F44BFC">
          <w:rPr>
            <w:webHidden/>
          </w:rPr>
          <w:t>218</w:t>
        </w:r>
        <w:r w:rsidRPr="00473311">
          <w:rPr>
            <w:webHidden/>
          </w:rPr>
          <w:fldChar w:fldCharType="end"/>
        </w:r>
      </w:hyperlink>
    </w:p>
    <w:p w14:paraId="4BB7409E" w14:textId="3E10DC42"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60" w:history="1">
        <w:r w:rsidRPr="00473311">
          <w:rPr>
            <w:rStyle w:val="Hyperlink"/>
            <w:rFonts w:ascii="Public Sans" w:hAnsi="Public Sans"/>
          </w:rPr>
          <w:t>Forms of liability</w:t>
        </w:r>
        <w:r w:rsidRPr="00473311">
          <w:rPr>
            <w:webHidden/>
          </w:rPr>
          <w:tab/>
        </w:r>
        <w:r w:rsidRPr="00473311">
          <w:rPr>
            <w:webHidden/>
          </w:rPr>
          <w:fldChar w:fldCharType="begin"/>
        </w:r>
        <w:r w:rsidRPr="00473311">
          <w:rPr>
            <w:webHidden/>
          </w:rPr>
          <w:instrText xml:space="preserve"> PAGEREF _Toc196826960 \h </w:instrText>
        </w:r>
        <w:r w:rsidRPr="00473311">
          <w:rPr>
            <w:webHidden/>
          </w:rPr>
        </w:r>
        <w:r w:rsidRPr="00473311">
          <w:rPr>
            <w:webHidden/>
          </w:rPr>
          <w:fldChar w:fldCharType="separate"/>
        </w:r>
        <w:r w:rsidR="00F44BFC">
          <w:rPr>
            <w:webHidden/>
          </w:rPr>
          <w:t>219</w:t>
        </w:r>
        <w:r w:rsidRPr="00473311">
          <w:rPr>
            <w:webHidden/>
          </w:rPr>
          <w:fldChar w:fldCharType="end"/>
        </w:r>
      </w:hyperlink>
    </w:p>
    <w:p w14:paraId="5036BC13" w14:textId="24310815"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61" w:history="1">
        <w:r w:rsidRPr="00473311">
          <w:rPr>
            <w:rStyle w:val="Hyperlink"/>
            <w:rFonts w:ascii="Public Sans" w:hAnsi="Public Sans"/>
          </w:rPr>
          <w:t>Exceptions for employers or agents</w:t>
        </w:r>
        <w:r w:rsidRPr="00473311">
          <w:rPr>
            <w:webHidden/>
          </w:rPr>
          <w:tab/>
        </w:r>
        <w:r w:rsidRPr="00473311">
          <w:rPr>
            <w:webHidden/>
          </w:rPr>
          <w:fldChar w:fldCharType="begin"/>
        </w:r>
        <w:r w:rsidRPr="00473311">
          <w:rPr>
            <w:webHidden/>
          </w:rPr>
          <w:instrText xml:space="preserve"> PAGEREF _Toc196826961 \h </w:instrText>
        </w:r>
        <w:r w:rsidRPr="00473311">
          <w:rPr>
            <w:webHidden/>
          </w:rPr>
        </w:r>
        <w:r w:rsidRPr="00473311">
          <w:rPr>
            <w:webHidden/>
          </w:rPr>
          <w:fldChar w:fldCharType="separate"/>
        </w:r>
        <w:r w:rsidR="00F44BFC">
          <w:rPr>
            <w:webHidden/>
          </w:rPr>
          <w:t>220</w:t>
        </w:r>
        <w:r w:rsidRPr="00473311">
          <w:rPr>
            <w:webHidden/>
          </w:rPr>
          <w:fldChar w:fldCharType="end"/>
        </w:r>
      </w:hyperlink>
    </w:p>
    <w:p w14:paraId="5ED9F41A" w14:textId="62A6157E"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62" w:history="1">
        <w:r w:rsidRPr="00473311">
          <w:rPr>
            <w:rStyle w:val="Hyperlink"/>
            <w:rFonts w:ascii="Public Sans" w:hAnsi="Public Sans"/>
          </w:rPr>
          <w:t>Liability and artificial intelligence</w:t>
        </w:r>
        <w:r w:rsidRPr="00473311">
          <w:rPr>
            <w:webHidden/>
          </w:rPr>
          <w:tab/>
        </w:r>
        <w:r w:rsidRPr="00473311">
          <w:rPr>
            <w:webHidden/>
          </w:rPr>
          <w:fldChar w:fldCharType="begin"/>
        </w:r>
        <w:r w:rsidRPr="00473311">
          <w:rPr>
            <w:webHidden/>
          </w:rPr>
          <w:instrText xml:space="preserve"> PAGEREF _Toc196826962 \h </w:instrText>
        </w:r>
        <w:r w:rsidRPr="00473311">
          <w:rPr>
            <w:webHidden/>
          </w:rPr>
        </w:r>
        <w:r w:rsidRPr="00473311">
          <w:rPr>
            <w:webHidden/>
          </w:rPr>
          <w:fldChar w:fldCharType="separate"/>
        </w:r>
        <w:r w:rsidR="00F44BFC">
          <w:rPr>
            <w:webHidden/>
          </w:rPr>
          <w:t>222</w:t>
        </w:r>
        <w:r w:rsidRPr="00473311">
          <w:rPr>
            <w:webHidden/>
          </w:rPr>
          <w:fldChar w:fldCharType="end"/>
        </w:r>
      </w:hyperlink>
    </w:p>
    <w:p w14:paraId="6A76630F" w14:textId="69DBB31E" w:rsidR="005D6C72" w:rsidRPr="00473311" w:rsidRDefault="005D6C72">
      <w:pPr>
        <w:pStyle w:val="TOC1"/>
        <w:rPr>
          <w:rFonts w:eastAsiaTheme="minorEastAsia" w:cstheme="minorBidi"/>
          <w:b w:val="0"/>
          <w:color w:val="auto"/>
          <w:kern w:val="2"/>
          <w:sz w:val="24"/>
          <w:u w:val="none"/>
          <w:lang w:eastAsia="en-AU"/>
          <w14:ligatures w14:val="standardContextual"/>
        </w:rPr>
      </w:pPr>
      <w:hyperlink w:anchor="_Toc196826963" w:history="1">
        <w:r w:rsidRPr="00473311">
          <w:rPr>
            <w:rStyle w:val="Hyperlink"/>
            <w:rFonts w:ascii="Public Sans" w:hAnsi="Public Sans"/>
          </w:rPr>
          <w:t>11.</w:t>
        </w:r>
        <w:r w:rsidRPr="00473311">
          <w:rPr>
            <w:rFonts w:eastAsiaTheme="minorEastAsia" w:cstheme="minorBidi"/>
            <w:b w:val="0"/>
            <w:color w:val="auto"/>
            <w:kern w:val="2"/>
            <w:sz w:val="24"/>
            <w:u w:val="none"/>
            <w:lang w:eastAsia="en-AU"/>
            <w14:ligatures w14:val="standardContextual"/>
          </w:rPr>
          <w:tab/>
        </w:r>
        <w:r w:rsidRPr="00473311">
          <w:rPr>
            <w:rStyle w:val="Hyperlink"/>
            <w:rFonts w:ascii="Public Sans" w:hAnsi="Public Sans"/>
          </w:rPr>
          <w:t>Promoting substantive equality</w:t>
        </w:r>
        <w:r w:rsidRPr="00473311">
          <w:rPr>
            <w:webHidden/>
          </w:rPr>
          <w:tab/>
        </w:r>
        <w:r w:rsidRPr="00473311">
          <w:rPr>
            <w:webHidden/>
          </w:rPr>
          <w:fldChar w:fldCharType="begin"/>
        </w:r>
        <w:r w:rsidRPr="00473311">
          <w:rPr>
            <w:webHidden/>
          </w:rPr>
          <w:instrText xml:space="preserve"> PAGEREF _Toc196826963 \h </w:instrText>
        </w:r>
        <w:r w:rsidRPr="00473311">
          <w:rPr>
            <w:webHidden/>
          </w:rPr>
        </w:r>
        <w:r w:rsidRPr="00473311">
          <w:rPr>
            <w:webHidden/>
          </w:rPr>
          <w:fldChar w:fldCharType="separate"/>
        </w:r>
        <w:r w:rsidR="00F44BFC">
          <w:rPr>
            <w:webHidden/>
          </w:rPr>
          <w:t>223</w:t>
        </w:r>
        <w:r w:rsidRPr="00473311">
          <w:rPr>
            <w:webHidden/>
          </w:rPr>
          <w:fldChar w:fldCharType="end"/>
        </w:r>
      </w:hyperlink>
    </w:p>
    <w:p w14:paraId="5AC31994" w14:textId="635A4E3E"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64" w:history="1">
        <w:r w:rsidRPr="00473311">
          <w:rPr>
            <w:rStyle w:val="Hyperlink"/>
            <w:rFonts w:ascii="Public Sans" w:hAnsi="Public Sans"/>
          </w:rPr>
          <w:t>Adjustments</w:t>
        </w:r>
        <w:r w:rsidRPr="00473311">
          <w:rPr>
            <w:webHidden/>
          </w:rPr>
          <w:tab/>
        </w:r>
        <w:r w:rsidRPr="00473311">
          <w:rPr>
            <w:webHidden/>
          </w:rPr>
          <w:fldChar w:fldCharType="begin"/>
        </w:r>
        <w:r w:rsidRPr="00473311">
          <w:rPr>
            <w:webHidden/>
          </w:rPr>
          <w:instrText xml:space="preserve"> PAGEREF _Toc196826964 \h </w:instrText>
        </w:r>
        <w:r w:rsidRPr="00473311">
          <w:rPr>
            <w:webHidden/>
          </w:rPr>
        </w:r>
        <w:r w:rsidRPr="00473311">
          <w:rPr>
            <w:webHidden/>
          </w:rPr>
          <w:fldChar w:fldCharType="separate"/>
        </w:r>
        <w:r w:rsidR="00F44BFC">
          <w:rPr>
            <w:webHidden/>
          </w:rPr>
          <w:t>224</w:t>
        </w:r>
        <w:r w:rsidRPr="00473311">
          <w:rPr>
            <w:webHidden/>
          </w:rPr>
          <w:fldChar w:fldCharType="end"/>
        </w:r>
      </w:hyperlink>
    </w:p>
    <w:p w14:paraId="09B92886" w14:textId="1BD589A1"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65" w:history="1">
        <w:r w:rsidRPr="00473311">
          <w:rPr>
            <w:rStyle w:val="Hyperlink"/>
            <w:rFonts w:ascii="Public Sans" w:hAnsi="Public Sans"/>
          </w:rPr>
          <w:t>The current model in the ADA</w:t>
        </w:r>
        <w:r w:rsidRPr="00473311">
          <w:rPr>
            <w:webHidden/>
          </w:rPr>
          <w:tab/>
        </w:r>
        <w:r w:rsidRPr="00473311">
          <w:rPr>
            <w:webHidden/>
          </w:rPr>
          <w:fldChar w:fldCharType="begin"/>
        </w:r>
        <w:r w:rsidRPr="00473311">
          <w:rPr>
            <w:webHidden/>
          </w:rPr>
          <w:instrText xml:space="preserve"> PAGEREF _Toc196826965 \h </w:instrText>
        </w:r>
        <w:r w:rsidRPr="00473311">
          <w:rPr>
            <w:webHidden/>
          </w:rPr>
        </w:r>
        <w:r w:rsidRPr="00473311">
          <w:rPr>
            <w:webHidden/>
          </w:rPr>
          <w:fldChar w:fldCharType="separate"/>
        </w:r>
        <w:r w:rsidR="00F44BFC">
          <w:rPr>
            <w:webHidden/>
          </w:rPr>
          <w:t>224</w:t>
        </w:r>
        <w:r w:rsidRPr="00473311">
          <w:rPr>
            <w:webHidden/>
          </w:rPr>
          <w:fldChar w:fldCharType="end"/>
        </w:r>
      </w:hyperlink>
    </w:p>
    <w:p w14:paraId="1F54436C" w14:textId="2B6F16D4"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66" w:history="1">
        <w:r w:rsidRPr="00473311">
          <w:rPr>
            <w:rStyle w:val="Hyperlink"/>
            <w:rFonts w:ascii="Public Sans" w:hAnsi="Public Sans"/>
          </w:rPr>
          <w:t>Models for a new requirement to provide adjustments</w:t>
        </w:r>
        <w:r w:rsidRPr="00473311">
          <w:rPr>
            <w:webHidden/>
          </w:rPr>
          <w:tab/>
        </w:r>
        <w:r w:rsidRPr="00473311">
          <w:rPr>
            <w:webHidden/>
          </w:rPr>
          <w:fldChar w:fldCharType="begin"/>
        </w:r>
        <w:r w:rsidRPr="00473311">
          <w:rPr>
            <w:webHidden/>
          </w:rPr>
          <w:instrText xml:space="preserve"> PAGEREF _Toc196826966 \h </w:instrText>
        </w:r>
        <w:r w:rsidRPr="00473311">
          <w:rPr>
            <w:webHidden/>
          </w:rPr>
        </w:r>
        <w:r w:rsidRPr="00473311">
          <w:rPr>
            <w:webHidden/>
          </w:rPr>
          <w:fldChar w:fldCharType="separate"/>
        </w:r>
        <w:r w:rsidR="00F44BFC">
          <w:rPr>
            <w:webHidden/>
          </w:rPr>
          <w:t>225</w:t>
        </w:r>
        <w:r w:rsidRPr="00473311">
          <w:rPr>
            <w:webHidden/>
          </w:rPr>
          <w:fldChar w:fldCharType="end"/>
        </w:r>
      </w:hyperlink>
    </w:p>
    <w:p w14:paraId="7EAB362F" w14:textId="1F5365FE"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67" w:history="1">
        <w:r w:rsidRPr="00473311">
          <w:rPr>
            <w:rStyle w:val="Hyperlink"/>
            <w:rFonts w:ascii="Public Sans" w:hAnsi="Public Sans"/>
          </w:rPr>
          <w:t>Attributes that could be covered</w:t>
        </w:r>
        <w:r w:rsidRPr="00473311">
          <w:rPr>
            <w:webHidden/>
          </w:rPr>
          <w:tab/>
        </w:r>
        <w:r w:rsidRPr="00473311">
          <w:rPr>
            <w:webHidden/>
          </w:rPr>
          <w:fldChar w:fldCharType="begin"/>
        </w:r>
        <w:r w:rsidRPr="00473311">
          <w:rPr>
            <w:webHidden/>
          </w:rPr>
          <w:instrText xml:space="preserve"> PAGEREF _Toc196826967 \h </w:instrText>
        </w:r>
        <w:r w:rsidRPr="00473311">
          <w:rPr>
            <w:webHidden/>
          </w:rPr>
        </w:r>
        <w:r w:rsidRPr="00473311">
          <w:rPr>
            <w:webHidden/>
          </w:rPr>
          <w:fldChar w:fldCharType="separate"/>
        </w:r>
        <w:r w:rsidR="00F44BFC">
          <w:rPr>
            <w:webHidden/>
          </w:rPr>
          <w:t>227</w:t>
        </w:r>
        <w:r w:rsidRPr="00473311">
          <w:rPr>
            <w:webHidden/>
          </w:rPr>
          <w:fldChar w:fldCharType="end"/>
        </w:r>
      </w:hyperlink>
    </w:p>
    <w:p w14:paraId="094AB2DF" w14:textId="0FBC4032"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68" w:history="1">
        <w:r w:rsidRPr="00473311">
          <w:rPr>
            <w:rStyle w:val="Hyperlink"/>
            <w:rFonts w:ascii="Public Sans" w:hAnsi="Public Sans"/>
          </w:rPr>
          <w:t>Special measures</w:t>
        </w:r>
        <w:r w:rsidRPr="00473311">
          <w:rPr>
            <w:webHidden/>
          </w:rPr>
          <w:tab/>
        </w:r>
        <w:r w:rsidRPr="00473311">
          <w:rPr>
            <w:webHidden/>
          </w:rPr>
          <w:fldChar w:fldCharType="begin"/>
        </w:r>
        <w:r w:rsidRPr="00473311">
          <w:rPr>
            <w:webHidden/>
          </w:rPr>
          <w:instrText xml:space="preserve"> PAGEREF _Toc196826968 \h </w:instrText>
        </w:r>
        <w:r w:rsidRPr="00473311">
          <w:rPr>
            <w:webHidden/>
          </w:rPr>
        </w:r>
        <w:r w:rsidRPr="00473311">
          <w:rPr>
            <w:webHidden/>
          </w:rPr>
          <w:fldChar w:fldCharType="separate"/>
        </w:r>
        <w:r w:rsidR="00F44BFC">
          <w:rPr>
            <w:webHidden/>
          </w:rPr>
          <w:t>229</w:t>
        </w:r>
        <w:r w:rsidRPr="00473311">
          <w:rPr>
            <w:webHidden/>
          </w:rPr>
          <w:fldChar w:fldCharType="end"/>
        </w:r>
      </w:hyperlink>
    </w:p>
    <w:p w14:paraId="11BCC9FD" w14:textId="05990039"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69" w:history="1">
        <w:r w:rsidRPr="00473311">
          <w:rPr>
            <w:rStyle w:val="Hyperlink"/>
            <w:rFonts w:ascii="Public Sans" w:hAnsi="Public Sans"/>
          </w:rPr>
          <w:t>The ADA’s approach</w:t>
        </w:r>
        <w:r w:rsidRPr="00473311">
          <w:rPr>
            <w:webHidden/>
          </w:rPr>
          <w:tab/>
        </w:r>
        <w:r w:rsidRPr="00473311">
          <w:rPr>
            <w:webHidden/>
          </w:rPr>
          <w:fldChar w:fldCharType="begin"/>
        </w:r>
        <w:r w:rsidRPr="00473311">
          <w:rPr>
            <w:webHidden/>
          </w:rPr>
          <w:instrText xml:space="preserve"> PAGEREF _Toc196826969 \h </w:instrText>
        </w:r>
        <w:r w:rsidRPr="00473311">
          <w:rPr>
            <w:webHidden/>
          </w:rPr>
        </w:r>
        <w:r w:rsidRPr="00473311">
          <w:rPr>
            <w:webHidden/>
          </w:rPr>
          <w:fldChar w:fldCharType="separate"/>
        </w:r>
        <w:r w:rsidR="00F44BFC">
          <w:rPr>
            <w:webHidden/>
          </w:rPr>
          <w:t>229</w:t>
        </w:r>
        <w:r w:rsidRPr="00473311">
          <w:rPr>
            <w:webHidden/>
          </w:rPr>
          <w:fldChar w:fldCharType="end"/>
        </w:r>
      </w:hyperlink>
    </w:p>
    <w:p w14:paraId="129DB280" w14:textId="70C4BDE7"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70" w:history="1">
        <w:r w:rsidRPr="00473311">
          <w:rPr>
            <w:rStyle w:val="Hyperlink"/>
            <w:rFonts w:ascii="Public Sans" w:hAnsi="Public Sans"/>
          </w:rPr>
          <w:t>Options for a potential new “special measures” section</w:t>
        </w:r>
        <w:r w:rsidRPr="00473311">
          <w:rPr>
            <w:webHidden/>
          </w:rPr>
          <w:tab/>
        </w:r>
        <w:r w:rsidRPr="00473311">
          <w:rPr>
            <w:webHidden/>
          </w:rPr>
          <w:fldChar w:fldCharType="begin"/>
        </w:r>
        <w:r w:rsidRPr="00473311">
          <w:rPr>
            <w:webHidden/>
          </w:rPr>
          <w:instrText xml:space="preserve"> PAGEREF _Toc196826970 \h </w:instrText>
        </w:r>
        <w:r w:rsidRPr="00473311">
          <w:rPr>
            <w:webHidden/>
          </w:rPr>
        </w:r>
        <w:r w:rsidRPr="00473311">
          <w:rPr>
            <w:webHidden/>
          </w:rPr>
          <w:fldChar w:fldCharType="separate"/>
        </w:r>
        <w:r w:rsidR="00F44BFC">
          <w:rPr>
            <w:webHidden/>
          </w:rPr>
          <w:t>232</w:t>
        </w:r>
        <w:r w:rsidRPr="00473311">
          <w:rPr>
            <w:webHidden/>
          </w:rPr>
          <w:fldChar w:fldCharType="end"/>
        </w:r>
      </w:hyperlink>
    </w:p>
    <w:p w14:paraId="46D585D5" w14:textId="57386003"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71" w:history="1">
        <w:r w:rsidRPr="00473311">
          <w:rPr>
            <w:rStyle w:val="Hyperlink"/>
            <w:rFonts w:ascii="Public Sans" w:hAnsi="Public Sans"/>
          </w:rPr>
          <w:t>The relationship with exemptions and certifications</w:t>
        </w:r>
        <w:r w:rsidRPr="00473311">
          <w:rPr>
            <w:webHidden/>
          </w:rPr>
          <w:tab/>
        </w:r>
        <w:r w:rsidRPr="00473311">
          <w:rPr>
            <w:webHidden/>
          </w:rPr>
          <w:fldChar w:fldCharType="begin"/>
        </w:r>
        <w:r w:rsidRPr="00473311">
          <w:rPr>
            <w:webHidden/>
          </w:rPr>
          <w:instrText xml:space="preserve"> PAGEREF _Toc196826971 \h </w:instrText>
        </w:r>
        <w:r w:rsidRPr="00473311">
          <w:rPr>
            <w:webHidden/>
          </w:rPr>
        </w:r>
        <w:r w:rsidRPr="00473311">
          <w:rPr>
            <w:webHidden/>
          </w:rPr>
          <w:fldChar w:fldCharType="separate"/>
        </w:r>
        <w:r w:rsidR="00F44BFC">
          <w:rPr>
            <w:webHidden/>
          </w:rPr>
          <w:t>234</w:t>
        </w:r>
        <w:r w:rsidRPr="00473311">
          <w:rPr>
            <w:webHidden/>
          </w:rPr>
          <w:fldChar w:fldCharType="end"/>
        </w:r>
      </w:hyperlink>
    </w:p>
    <w:p w14:paraId="087C121A" w14:textId="22F7920E" w:rsidR="005D6C72" w:rsidRPr="00473311" w:rsidRDefault="005D6C72">
      <w:pPr>
        <w:pStyle w:val="TOC2"/>
        <w:rPr>
          <w:rFonts w:eastAsiaTheme="minorEastAsia" w:cstheme="minorBidi"/>
          <w:b w:val="0"/>
          <w:color w:val="auto"/>
          <w:kern w:val="2"/>
          <w:sz w:val="24"/>
          <w:u w:val="none"/>
          <w:lang w:eastAsia="en-AU"/>
          <w14:ligatures w14:val="standardContextual"/>
        </w:rPr>
      </w:pPr>
      <w:hyperlink w:anchor="_Toc196826972" w:history="1">
        <w:r w:rsidRPr="00473311">
          <w:rPr>
            <w:rStyle w:val="Hyperlink"/>
            <w:rFonts w:ascii="Public Sans" w:hAnsi="Public Sans"/>
          </w:rPr>
          <w:t>A duty to prevent or eliminate unlawful conduct</w:t>
        </w:r>
        <w:r w:rsidRPr="00473311">
          <w:rPr>
            <w:webHidden/>
          </w:rPr>
          <w:tab/>
        </w:r>
        <w:r w:rsidRPr="00473311">
          <w:rPr>
            <w:webHidden/>
          </w:rPr>
          <w:fldChar w:fldCharType="begin"/>
        </w:r>
        <w:r w:rsidRPr="00473311">
          <w:rPr>
            <w:webHidden/>
          </w:rPr>
          <w:instrText xml:space="preserve"> PAGEREF _Toc196826972 \h </w:instrText>
        </w:r>
        <w:r w:rsidRPr="00473311">
          <w:rPr>
            <w:webHidden/>
          </w:rPr>
        </w:r>
        <w:r w:rsidRPr="00473311">
          <w:rPr>
            <w:webHidden/>
          </w:rPr>
          <w:fldChar w:fldCharType="separate"/>
        </w:r>
        <w:r w:rsidR="00F44BFC">
          <w:rPr>
            <w:webHidden/>
          </w:rPr>
          <w:t>235</w:t>
        </w:r>
        <w:r w:rsidRPr="00473311">
          <w:rPr>
            <w:webHidden/>
          </w:rPr>
          <w:fldChar w:fldCharType="end"/>
        </w:r>
      </w:hyperlink>
    </w:p>
    <w:p w14:paraId="1ACF1B22" w14:textId="505CC5C7"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73" w:history="1">
        <w:r w:rsidRPr="00473311">
          <w:rPr>
            <w:rStyle w:val="Hyperlink"/>
            <w:rFonts w:ascii="Public Sans" w:hAnsi="Public Sans"/>
          </w:rPr>
          <w:t>Arguments for and against a positive duty</w:t>
        </w:r>
        <w:r w:rsidRPr="00473311">
          <w:rPr>
            <w:webHidden/>
          </w:rPr>
          <w:tab/>
        </w:r>
        <w:r w:rsidRPr="00473311">
          <w:rPr>
            <w:webHidden/>
          </w:rPr>
          <w:fldChar w:fldCharType="begin"/>
        </w:r>
        <w:r w:rsidRPr="00473311">
          <w:rPr>
            <w:webHidden/>
          </w:rPr>
          <w:instrText xml:space="preserve"> PAGEREF _Toc196826973 \h </w:instrText>
        </w:r>
        <w:r w:rsidRPr="00473311">
          <w:rPr>
            <w:webHidden/>
          </w:rPr>
        </w:r>
        <w:r w:rsidRPr="00473311">
          <w:rPr>
            <w:webHidden/>
          </w:rPr>
          <w:fldChar w:fldCharType="separate"/>
        </w:r>
        <w:r w:rsidR="00F44BFC">
          <w:rPr>
            <w:webHidden/>
          </w:rPr>
          <w:t>235</w:t>
        </w:r>
        <w:r w:rsidRPr="00473311">
          <w:rPr>
            <w:webHidden/>
          </w:rPr>
          <w:fldChar w:fldCharType="end"/>
        </w:r>
      </w:hyperlink>
    </w:p>
    <w:p w14:paraId="165096DC" w14:textId="62369DF1"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74" w:history="1">
        <w:r w:rsidRPr="00473311">
          <w:rPr>
            <w:rStyle w:val="Hyperlink"/>
            <w:rFonts w:ascii="Public Sans" w:hAnsi="Public Sans"/>
          </w:rPr>
          <w:t>Options for a positive duty</w:t>
        </w:r>
        <w:r w:rsidRPr="00473311">
          <w:rPr>
            <w:webHidden/>
          </w:rPr>
          <w:tab/>
        </w:r>
        <w:r w:rsidRPr="00473311">
          <w:rPr>
            <w:webHidden/>
          </w:rPr>
          <w:fldChar w:fldCharType="begin"/>
        </w:r>
        <w:r w:rsidRPr="00473311">
          <w:rPr>
            <w:webHidden/>
          </w:rPr>
          <w:instrText xml:space="preserve"> PAGEREF _Toc196826974 \h </w:instrText>
        </w:r>
        <w:r w:rsidRPr="00473311">
          <w:rPr>
            <w:webHidden/>
          </w:rPr>
        </w:r>
        <w:r w:rsidRPr="00473311">
          <w:rPr>
            <w:webHidden/>
          </w:rPr>
          <w:fldChar w:fldCharType="separate"/>
        </w:r>
        <w:r w:rsidR="00F44BFC">
          <w:rPr>
            <w:webHidden/>
          </w:rPr>
          <w:t>237</w:t>
        </w:r>
        <w:r w:rsidRPr="00473311">
          <w:rPr>
            <w:webHidden/>
          </w:rPr>
          <w:fldChar w:fldCharType="end"/>
        </w:r>
      </w:hyperlink>
    </w:p>
    <w:p w14:paraId="2CB82F8B" w14:textId="551A0E50" w:rsidR="005D6C72" w:rsidRPr="00473311" w:rsidRDefault="005D6C72">
      <w:pPr>
        <w:pStyle w:val="TOC3"/>
        <w:rPr>
          <w:rFonts w:eastAsiaTheme="minorEastAsia" w:cstheme="minorBidi"/>
          <w:color w:val="auto"/>
          <w:kern w:val="2"/>
          <w:sz w:val="24"/>
          <w:u w:val="none"/>
          <w:lang w:eastAsia="en-AU"/>
          <w14:ligatures w14:val="standardContextual"/>
        </w:rPr>
      </w:pPr>
      <w:hyperlink w:anchor="_Toc196826975" w:history="1">
        <w:r w:rsidRPr="00473311">
          <w:rPr>
            <w:rStyle w:val="Hyperlink"/>
            <w:rFonts w:ascii="Public Sans" w:hAnsi="Public Sans"/>
          </w:rPr>
          <w:t>A duty to promote equality</w:t>
        </w:r>
        <w:r w:rsidRPr="00473311">
          <w:rPr>
            <w:webHidden/>
          </w:rPr>
          <w:tab/>
        </w:r>
        <w:r w:rsidRPr="00473311">
          <w:rPr>
            <w:webHidden/>
          </w:rPr>
          <w:fldChar w:fldCharType="begin"/>
        </w:r>
        <w:r w:rsidRPr="00473311">
          <w:rPr>
            <w:webHidden/>
          </w:rPr>
          <w:instrText xml:space="preserve"> PAGEREF _Toc196826975 \h </w:instrText>
        </w:r>
        <w:r w:rsidRPr="00473311">
          <w:rPr>
            <w:webHidden/>
          </w:rPr>
        </w:r>
        <w:r w:rsidRPr="00473311">
          <w:rPr>
            <w:webHidden/>
          </w:rPr>
          <w:fldChar w:fldCharType="separate"/>
        </w:r>
        <w:r w:rsidR="00F44BFC">
          <w:rPr>
            <w:webHidden/>
          </w:rPr>
          <w:t>240</w:t>
        </w:r>
        <w:r w:rsidRPr="00473311">
          <w:rPr>
            <w:webHidden/>
          </w:rPr>
          <w:fldChar w:fldCharType="end"/>
        </w:r>
      </w:hyperlink>
    </w:p>
    <w:p w14:paraId="3104B51F" w14:textId="269E1F3C" w:rsidR="005D6C72" w:rsidRPr="00473311" w:rsidRDefault="005D6C72">
      <w:pPr>
        <w:pStyle w:val="TOC1"/>
        <w:rPr>
          <w:rFonts w:eastAsiaTheme="minorEastAsia" w:cstheme="minorBidi"/>
          <w:b w:val="0"/>
          <w:color w:val="auto"/>
          <w:kern w:val="2"/>
          <w:sz w:val="24"/>
          <w:u w:val="none"/>
          <w:lang w:eastAsia="en-AU"/>
          <w14:ligatures w14:val="standardContextual"/>
        </w:rPr>
      </w:pPr>
      <w:hyperlink w:anchor="_Toc196826976" w:history="1">
        <w:r w:rsidRPr="00473311">
          <w:rPr>
            <w:rStyle w:val="Hyperlink"/>
            <w:rFonts w:ascii="Public Sans" w:hAnsi="Public Sans"/>
          </w:rPr>
          <w:t xml:space="preserve"> Appendix A: Preliminary submissions</w:t>
        </w:r>
        <w:r w:rsidRPr="00473311">
          <w:rPr>
            <w:webHidden/>
          </w:rPr>
          <w:tab/>
        </w:r>
        <w:r w:rsidRPr="00473311">
          <w:rPr>
            <w:webHidden/>
          </w:rPr>
          <w:fldChar w:fldCharType="begin"/>
        </w:r>
        <w:r w:rsidRPr="00473311">
          <w:rPr>
            <w:webHidden/>
          </w:rPr>
          <w:instrText xml:space="preserve"> PAGEREF _Toc196826976 \h </w:instrText>
        </w:r>
        <w:r w:rsidRPr="00473311">
          <w:rPr>
            <w:webHidden/>
          </w:rPr>
        </w:r>
        <w:r w:rsidRPr="00473311">
          <w:rPr>
            <w:webHidden/>
          </w:rPr>
          <w:fldChar w:fldCharType="separate"/>
        </w:r>
        <w:r w:rsidR="00F44BFC">
          <w:rPr>
            <w:webHidden/>
          </w:rPr>
          <w:t>243</w:t>
        </w:r>
        <w:r w:rsidRPr="00473311">
          <w:rPr>
            <w:webHidden/>
          </w:rPr>
          <w:fldChar w:fldCharType="end"/>
        </w:r>
      </w:hyperlink>
    </w:p>
    <w:p w14:paraId="1CA546FF" w14:textId="5B19C9A9" w:rsidR="005D6C72" w:rsidRPr="00473311" w:rsidRDefault="005D6C72">
      <w:pPr>
        <w:pStyle w:val="TOC1"/>
        <w:rPr>
          <w:rFonts w:eastAsiaTheme="minorEastAsia" w:cstheme="minorBidi"/>
          <w:b w:val="0"/>
          <w:color w:val="auto"/>
          <w:kern w:val="2"/>
          <w:sz w:val="24"/>
          <w:u w:val="none"/>
          <w:lang w:eastAsia="en-AU"/>
          <w14:ligatures w14:val="standardContextual"/>
        </w:rPr>
      </w:pPr>
      <w:hyperlink w:anchor="_Toc196826977" w:history="1">
        <w:r w:rsidRPr="00473311">
          <w:rPr>
            <w:rStyle w:val="Hyperlink"/>
            <w:rFonts w:ascii="Public Sans" w:hAnsi="Public Sans"/>
          </w:rPr>
          <w:t xml:space="preserve"> Appendix B: Preliminary consultations</w:t>
        </w:r>
        <w:r w:rsidRPr="00473311">
          <w:rPr>
            <w:webHidden/>
          </w:rPr>
          <w:tab/>
        </w:r>
        <w:r w:rsidRPr="00473311">
          <w:rPr>
            <w:webHidden/>
          </w:rPr>
          <w:fldChar w:fldCharType="begin"/>
        </w:r>
        <w:r w:rsidRPr="00473311">
          <w:rPr>
            <w:webHidden/>
          </w:rPr>
          <w:instrText xml:space="preserve"> PAGEREF _Toc196826977 \h </w:instrText>
        </w:r>
        <w:r w:rsidRPr="00473311">
          <w:rPr>
            <w:webHidden/>
          </w:rPr>
        </w:r>
        <w:r w:rsidRPr="00473311">
          <w:rPr>
            <w:webHidden/>
          </w:rPr>
          <w:fldChar w:fldCharType="separate"/>
        </w:r>
        <w:r w:rsidR="00F44BFC">
          <w:rPr>
            <w:webHidden/>
          </w:rPr>
          <w:t>247</w:t>
        </w:r>
        <w:r w:rsidRPr="00473311">
          <w:rPr>
            <w:webHidden/>
          </w:rPr>
          <w:fldChar w:fldCharType="end"/>
        </w:r>
      </w:hyperlink>
    </w:p>
    <w:p w14:paraId="0F995F13" w14:textId="7D0278FE" w:rsidR="00301362" w:rsidRDefault="00301362" w:rsidP="00301362">
      <w:pPr>
        <w:pStyle w:val="NormalText"/>
      </w:pPr>
      <w:r>
        <w:fldChar w:fldCharType="end"/>
      </w:r>
    </w:p>
    <w:p w14:paraId="72826078" w14:textId="77777777" w:rsidR="00F41119" w:rsidRDefault="00F41119" w:rsidP="00F41119">
      <w:pPr>
        <w:spacing w:after="0" w:line="240" w:lineRule="auto"/>
        <w:jc w:val="left"/>
        <w:rPr>
          <w:rFonts w:ascii="Public Sans" w:hAnsi="Public Sans"/>
        </w:rPr>
      </w:pPr>
      <w:r>
        <w:br w:type="page"/>
      </w:r>
    </w:p>
    <w:p w14:paraId="0EBBD2BC" w14:textId="77777777" w:rsidR="00F41119" w:rsidRDefault="00F41119" w:rsidP="00F41119">
      <w:pPr>
        <w:pStyle w:val="Heading1"/>
      </w:pPr>
      <w:bookmarkStart w:id="11" w:name="_Toc196826779"/>
      <w:r>
        <w:lastRenderedPageBreak/>
        <w:t>Participants</w:t>
      </w:r>
      <w:bookmarkEnd w:id="11"/>
    </w:p>
    <w:p w14:paraId="56902294" w14:textId="15A74F2B" w:rsidR="00F41119" w:rsidRDefault="00F41119" w:rsidP="00E10A20">
      <w:pPr>
        <w:pStyle w:val="Heading3"/>
        <w:spacing w:after="240"/>
      </w:pPr>
      <w:r>
        <w:t>Commissioners</w:t>
      </w:r>
      <w:r w:rsidR="00E10A20">
        <w:t xml:space="preserve"> </w:t>
      </w:r>
    </w:p>
    <w:p w14:paraId="728B6F04" w14:textId="77777777" w:rsidR="00F41119" w:rsidRDefault="00F41119" w:rsidP="00421718">
      <w:pPr>
        <w:pStyle w:val="Normalsinglelist"/>
      </w:pPr>
      <w:r>
        <w:t xml:space="preserve">The Hon Tom Bathurst AC KC (Chairperson) </w:t>
      </w:r>
    </w:p>
    <w:p w14:paraId="6A2ED1D4" w14:textId="2676B1F8" w:rsidR="00F41119" w:rsidRDefault="00F41119" w:rsidP="00421718">
      <w:pPr>
        <w:pStyle w:val="Normalsinglelist"/>
      </w:pPr>
      <w:r>
        <w:t>The Hon Justice Anna Mitchelmore</w:t>
      </w:r>
      <w:r w:rsidR="001821AE">
        <w:t xml:space="preserve"> (Deputy Chairperson)</w:t>
      </w:r>
    </w:p>
    <w:p w14:paraId="2134A914" w14:textId="28CADC16" w:rsidR="00F41119" w:rsidRDefault="00F41119" w:rsidP="00421718">
      <w:pPr>
        <w:pStyle w:val="Normalsinglelist"/>
      </w:pPr>
      <w:r>
        <w:t xml:space="preserve">Kate Eastman AM SC </w:t>
      </w:r>
    </w:p>
    <w:p w14:paraId="7C472FCA" w14:textId="6182E928" w:rsidR="00F41119" w:rsidRDefault="00F41119" w:rsidP="00E10A20">
      <w:pPr>
        <w:pStyle w:val="Heading3"/>
        <w:spacing w:after="240"/>
      </w:pPr>
      <w:r>
        <w:t>Law Reform Commission and Sentencing Council Secretariat</w:t>
      </w:r>
      <w:r w:rsidR="00E10A20">
        <w:t xml:space="preserve"> </w:t>
      </w:r>
    </w:p>
    <w:p w14:paraId="74144CC2" w14:textId="33453A01" w:rsidR="00554198" w:rsidRDefault="00554198" w:rsidP="00421718">
      <w:pPr>
        <w:pStyle w:val="Normalsinglelist"/>
      </w:pPr>
      <w:r>
        <w:t>Jamie Chees</w:t>
      </w:r>
      <w:r w:rsidR="00086D39">
        <w:t>e</w:t>
      </w:r>
      <w:r>
        <w:t>man, Intern</w:t>
      </w:r>
      <w:r w:rsidR="006F2FEE">
        <w:t xml:space="preserve"> </w:t>
      </w:r>
      <w:r w:rsidR="00086D39">
        <w:t>(</w:t>
      </w:r>
      <w:r w:rsidR="00884600">
        <w:t>June – July 2024)</w:t>
      </w:r>
    </w:p>
    <w:p w14:paraId="52015C2E" w14:textId="484E04A0" w:rsidR="00F41119" w:rsidRDefault="00F41119" w:rsidP="00421718">
      <w:pPr>
        <w:pStyle w:val="Normalsinglelist"/>
      </w:pPr>
      <w:r>
        <w:t xml:space="preserve">Dr Nikki Edwards, Senior Policy Officer </w:t>
      </w:r>
    </w:p>
    <w:p w14:paraId="193A3E09" w14:textId="69F4780B" w:rsidR="00F41119" w:rsidRDefault="00F41119" w:rsidP="00421718">
      <w:pPr>
        <w:pStyle w:val="Normalsinglelist"/>
      </w:pPr>
      <w:r>
        <w:t>Alexandra Hammond, Senior Policy Officer (from January 2024)</w:t>
      </w:r>
    </w:p>
    <w:p w14:paraId="6A6A9344" w14:textId="4D5FFD13" w:rsidR="00F41119" w:rsidRDefault="00F41119" w:rsidP="00421718">
      <w:pPr>
        <w:pStyle w:val="Normalsinglelist"/>
      </w:pPr>
      <w:r>
        <w:t>Dr Jackie Hartley, Policy Manager</w:t>
      </w:r>
    </w:p>
    <w:p w14:paraId="23611285" w14:textId="77777777" w:rsidR="007B07D2" w:rsidRDefault="007B07D2" w:rsidP="007B07D2">
      <w:pPr>
        <w:pStyle w:val="Normalsinglelist"/>
      </w:pPr>
      <w:r>
        <w:t>Carol Hoang, Policy Officer (from February 2025)</w:t>
      </w:r>
    </w:p>
    <w:p w14:paraId="7581C1F8" w14:textId="2A8CD80C" w:rsidR="003B0D05" w:rsidRDefault="003B0D05" w:rsidP="00421718">
      <w:pPr>
        <w:pStyle w:val="Normalsinglelist"/>
      </w:pPr>
      <w:r w:rsidRPr="003B0D05">
        <w:t>Sienna Mackey</w:t>
      </w:r>
      <w:r>
        <w:t xml:space="preserve">, Summer Clerk </w:t>
      </w:r>
      <w:r w:rsidR="00582F5B">
        <w:t>(</w:t>
      </w:r>
      <w:r w:rsidR="007E0C3D">
        <w:t>February 2025)</w:t>
      </w:r>
      <w:r w:rsidR="00582F5B">
        <w:t xml:space="preserve"> </w:t>
      </w:r>
    </w:p>
    <w:p w14:paraId="7E0D3915" w14:textId="1F21FA08" w:rsidR="00B0395B" w:rsidRDefault="00B0395B" w:rsidP="00421718">
      <w:pPr>
        <w:pStyle w:val="Normalsinglelist"/>
      </w:pPr>
      <w:r w:rsidRPr="00B0395B">
        <w:t>Vyvyan Nguyen</w:t>
      </w:r>
      <w:r>
        <w:t>, Project Officer (from February 2025)</w:t>
      </w:r>
    </w:p>
    <w:p w14:paraId="3026D937" w14:textId="654F07FC" w:rsidR="00F41119" w:rsidRDefault="00F41119" w:rsidP="00421718">
      <w:pPr>
        <w:pStyle w:val="Normalsinglelist"/>
      </w:pPr>
      <w:r>
        <w:t>Sophie Sauerman, Senior Policy Officer (to January 2025)</w:t>
      </w:r>
    </w:p>
    <w:p w14:paraId="5D67E82C" w14:textId="3700F2E3" w:rsidR="00F41119" w:rsidRDefault="00F41119" w:rsidP="00421718">
      <w:pPr>
        <w:pStyle w:val="Normalsinglelist"/>
      </w:pPr>
      <w:r>
        <w:t xml:space="preserve">Laura Schultz, Senior Policy Officer </w:t>
      </w:r>
    </w:p>
    <w:p w14:paraId="62B53DD3" w14:textId="77777777" w:rsidR="007B07D2" w:rsidRDefault="007B07D2" w:rsidP="007B07D2">
      <w:pPr>
        <w:pStyle w:val="Normalsinglelist"/>
      </w:pPr>
      <w:r>
        <w:t>Rajiv Sharndil, Intern (May – October 2024)</w:t>
      </w:r>
    </w:p>
    <w:p w14:paraId="629F1413" w14:textId="77D636B2" w:rsidR="00B0395B" w:rsidRDefault="00B0395B" w:rsidP="00421718">
      <w:pPr>
        <w:pStyle w:val="Normalsinglelist"/>
      </w:pPr>
      <w:r>
        <w:t>Al</w:t>
      </w:r>
      <w:r w:rsidR="00812DD4">
        <w:t>e</w:t>
      </w:r>
      <w:r>
        <w:t>x Sp</w:t>
      </w:r>
      <w:r w:rsidR="00311E5D">
        <w:t xml:space="preserve">rouster, Policy Manager (to </w:t>
      </w:r>
      <w:r w:rsidR="00DD10E3">
        <w:t>February 2024)</w:t>
      </w:r>
    </w:p>
    <w:p w14:paraId="23B739EC" w14:textId="77777777" w:rsidR="007B07D2" w:rsidRDefault="007B07D2" w:rsidP="007B07D2">
      <w:pPr>
        <w:pStyle w:val="Normalsinglelist"/>
      </w:pPr>
      <w:r w:rsidRPr="00D11430">
        <w:t xml:space="preserve">Juwariya </w:t>
      </w:r>
      <w:r>
        <w:t>Syed, Intern and Graduate Policy Officer (May 2024 – April 2025)</w:t>
      </w:r>
    </w:p>
    <w:p w14:paraId="7BE4E288" w14:textId="2E0DD52D" w:rsidR="00F41119" w:rsidRDefault="00F41119" w:rsidP="00421718">
      <w:pPr>
        <w:pStyle w:val="Normalsinglelist"/>
      </w:pPr>
      <w:r>
        <w:t>Madison Thompson, Policy Officer (to July 2024)</w:t>
      </w:r>
    </w:p>
    <w:p w14:paraId="751AFF20" w14:textId="5AE806FF" w:rsidR="00442663" w:rsidRDefault="00442663" w:rsidP="00421718">
      <w:pPr>
        <w:pStyle w:val="Normalsinglelist"/>
      </w:pPr>
      <w:r>
        <w:t>Rebecca Wahl, Intern and Graduate Policy Officer</w:t>
      </w:r>
      <w:r w:rsidR="0021598B">
        <w:t xml:space="preserve"> </w:t>
      </w:r>
      <w:r w:rsidR="004C714D">
        <w:br/>
      </w:r>
      <w:r w:rsidR="002532EA">
        <w:t>(</w:t>
      </w:r>
      <w:r w:rsidR="004C714D">
        <w:t>May – August 2024</w:t>
      </w:r>
      <w:r w:rsidR="002532EA">
        <w:t xml:space="preserve">, </w:t>
      </w:r>
      <w:r w:rsidR="004D7EC1">
        <w:t>December 2024 – January 2025)</w:t>
      </w:r>
    </w:p>
    <w:p w14:paraId="77DF7A07" w14:textId="77777777" w:rsidR="007B07D2" w:rsidRDefault="007B07D2" w:rsidP="007B07D2">
      <w:pPr>
        <w:pStyle w:val="Normalsinglelist"/>
      </w:pPr>
      <w:r>
        <w:t>Anna Williams, Research Support Librarian</w:t>
      </w:r>
    </w:p>
    <w:p w14:paraId="16D37F35" w14:textId="4A9FB3B0" w:rsidR="00F41119" w:rsidRDefault="00F41119" w:rsidP="00421718">
      <w:pPr>
        <w:pStyle w:val="Normalsinglelist"/>
      </w:pPr>
      <w:r>
        <w:t xml:space="preserve">Rebecca Winder, Policy Officer (from </w:t>
      </w:r>
      <w:r w:rsidR="005C7D15">
        <w:t>February</w:t>
      </w:r>
      <w:r>
        <w:t xml:space="preserve"> 202</w:t>
      </w:r>
      <w:r w:rsidR="005C7D15">
        <w:t>5</w:t>
      </w:r>
      <w:r>
        <w:t>)</w:t>
      </w:r>
    </w:p>
    <w:p w14:paraId="1F3F24E1" w14:textId="77777777" w:rsidR="00F41119" w:rsidRDefault="00F41119" w:rsidP="00F41119">
      <w:pPr>
        <w:spacing w:after="0" w:line="240" w:lineRule="auto"/>
        <w:jc w:val="left"/>
        <w:rPr>
          <w:rFonts w:ascii="Public Sans" w:hAnsi="Public Sans"/>
        </w:rPr>
      </w:pPr>
      <w:r>
        <w:br w:type="page"/>
      </w:r>
    </w:p>
    <w:p w14:paraId="54768189" w14:textId="77777777" w:rsidR="00F41119" w:rsidRDefault="00F41119" w:rsidP="00F41119">
      <w:pPr>
        <w:pStyle w:val="Heading1"/>
      </w:pPr>
      <w:bookmarkStart w:id="12" w:name="_Toc196826780"/>
      <w:r>
        <w:lastRenderedPageBreak/>
        <w:t>Terms of reference</w:t>
      </w:r>
      <w:bookmarkEnd w:id="12"/>
    </w:p>
    <w:p w14:paraId="61544EA4" w14:textId="77777777" w:rsidR="00F41119" w:rsidRDefault="00F41119" w:rsidP="00F41119">
      <w:pPr>
        <w:pStyle w:val="NormalText"/>
      </w:pPr>
      <w:r>
        <w:t xml:space="preserve">Pursuant to section 10 of the </w:t>
      </w:r>
      <w:r w:rsidRPr="009B694F">
        <w:rPr>
          <w:i/>
          <w:iCs/>
        </w:rPr>
        <w:t>Law Reform Commission Act 1967</w:t>
      </w:r>
      <w:r>
        <w:t xml:space="preserve"> (NSW), the NSW Law Reform Commission is asked to review and report on the </w:t>
      </w:r>
      <w:r w:rsidRPr="009B694F">
        <w:rPr>
          <w:i/>
          <w:iCs/>
        </w:rPr>
        <w:t>Anti-Discrimination Act 1977</w:t>
      </w:r>
      <w:r>
        <w:t xml:space="preserve"> (NSW) (ADA).</w:t>
      </w:r>
    </w:p>
    <w:p w14:paraId="7A59DCAA" w14:textId="77777777" w:rsidR="00F41119" w:rsidRDefault="00F41119" w:rsidP="00F41119">
      <w:pPr>
        <w:pStyle w:val="NormalText"/>
      </w:pPr>
      <w:r>
        <w:t>In undertaking this review, the Commission is to consider matters including, but not limited to:</w:t>
      </w:r>
    </w:p>
    <w:p w14:paraId="647365F5" w14:textId="06CEB9B9" w:rsidR="00F41119" w:rsidRPr="00F02D60" w:rsidRDefault="00F41119" w:rsidP="00F41119">
      <w:pPr>
        <w:pStyle w:val="Normalhanging1"/>
      </w:pPr>
      <w:r w:rsidRPr="009B694F">
        <w:rPr>
          <w:shd w:val="clear" w:color="auto" w:fill="FFFFFF"/>
        </w:rPr>
        <w:t>1.</w:t>
      </w:r>
      <w:r w:rsidR="00B87C05">
        <w:rPr>
          <w:shd w:val="clear" w:color="auto" w:fill="FFFFFF"/>
        </w:rPr>
        <w:tab/>
      </w:r>
      <w:r w:rsidRPr="009B694F">
        <w:rPr>
          <w:shd w:val="clear" w:color="auto" w:fill="FFFFFF"/>
        </w:rPr>
        <w:t>whether the Act could be modernised and simplified to better promote the equal enjoyment of rights and reflect contemporary community standards</w:t>
      </w:r>
    </w:p>
    <w:p w14:paraId="3A1B601D" w14:textId="778BBF31" w:rsidR="00F41119" w:rsidRPr="00F02D60" w:rsidRDefault="00F41119" w:rsidP="00F41119">
      <w:pPr>
        <w:pStyle w:val="Normalhanging1"/>
      </w:pPr>
      <w:r w:rsidRPr="009B694F">
        <w:rPr>
          <w:shd w:val="clear" w:color="auto" w:fill="FFFFFF"/>
        </w:rPr>
        <w:t>2.</w:t>
      </w:r>
      <w:r w:rsidR="00B87C05">
        <w:rPr>
          <w:shd w:val="clear" w:color="auto" w:fill="FFFFFF"/>
        </w:rPr>
        <w:tab/>
      </w:r>
      <w:r w:rsidRPr="009B694F">
        <w:rPr>
          <w:shd w:val="clear" w:color="auto" w:fill="FFFFFF"/>
        </w:rPr>
        <w:t>whether the range of attributes protected against discrimination requires reform</w:t>
      </w:r>
    </w:p>
    <w:p w14:paraId="474318E5" w14:textId="7D2F0A49" w:rsidR="00F41119" w:rsidRPr="00F02D60" w:rsidRDefault="00F41119" w:rsidP="00F41119">
      <w:pPr>
        <w:pStyle w:val="Normalhanging1"/>
      </w:pPr>
      <w:r w:rsidRPr="009B694F">
        <w:rPr>
          <w:shd w:val="clear" w:color="auto" w:fill="FFFFFF"/>
        </w:rPr>
        <w:t>3.</w:t>
      </w:r>
      <w:r w:rsidR="00B87C05">
        <w:rPr>
          <w:shd w:val="clear" w:color="auto" w:fill="FFFFFF"/>
        </w:rPr>
        <w:tab/>
      </w:r>
      <w:r w:rsidRPr="009B694F">
        <w:rPr>
          <w:shd w:val="clear" w:color="auto" w:fill="FFFFFF"/>
        </w:rPr>
        <w:t>whether the areas of public life in which discrimination is unlawful should be reformed</w:t>
      </w:r>
    </w:p>
    <w:p w14:paraId="741ED34B" w14:textId="7747DD81" w:rsidR="00F41119" w:rsidRPr="00F02D60" w:rsidRDefault="00F41119" w:rsidP="00F41119">
      <w:pPr>
        <w:pStyle w:val="Normalhanging1"/>
      </w:pPr>
      <w:r w:rsidRPr="009B694F">
        <w:rPr>
          <w:shd w:val="clear" w:color="auto" w:fill="FFFFFF"/>
        </w:rPr>
        <w:t>4.</w:t>
      </w:r>
      <w:r w:rsidR="00B87C05">
        <w:rPr>
          <w:shd w:val="clear" w:color="auto" w:fill="FFFFFF"/>
        </w:rPr>
        <w:tab/>
      </w:r>
      <w:r w:rsidRPr="009B694F">
        <w:rPr>
          <w:shd w:val="clear" w:color="auto" w:fill="FFFFFF"/>
        </w:rPr>
        <w:t>whether the existing tests for discrimination are clear, inclusive and reflect modern understandings of discrimination</w:t>
      </w:r>
    </w:p>
    <w:p w14:paraId="5D9CD6BC" w14:textId="5ADC65AD" w:rsidR="00F41119" w:rsidRPr="00F02D60" w:rsidRDefault="00F41119" w:rsidP="00F41119">
      <w:pPr>
        <w:pStyle w:val="Normalhanging1"/>
      </w:pPr>
      <w:r w:rsidRPr="009B694F">
        <w:rPr>
          <w:shd w:val="clear" w:color="auto" w:fill="FFFFFF"/>
        </w:rPr>
        <w:t>5.</w:t>
      </w:r>
      <w:r w:rsidR="00B87C05">
        <w:rPr>
          <w:shd w:val="clear" w:color="auto" w:fill="FFFFFF"/>
        </w:rPr>
        <w:tab/>
      </w:r>
      <w:r w:rsidRPr="009B694F">
        <w:rPr>
          <w:shd w:val="clear" w:color="auto" w:fill="FFFFFF"/>
        </w:rPr>
        <w:t>the adequacy of protections against vilification, including (but not limited to) whether these protections should be harmonised with the criminal law</w:t>
      </w:r>
    </w:p>
    <w:p w14:paraId="64E6D91D" w14:textId="268A5B14" w:rsidR="00F41119" w:rsidRPr="00F02D60" w:rsidRDefault="00F41119" w:rsidP="00F41119">
      <w:pPr>
        <w:pStyle w:val="Normalhanging1"/>
      </w:pPr>
      <w:r w:rsidRPr="009B694F">
        <w:rPr>
          <w:shd w:val="clear" w:color="auto" w:fill="FFFFFF"/>
        </w:rPr>
        <w:t>6.</w:t>
      </w:r>
      <w:r w:rsidR="00B87C05">
        <w:rPr>
          <w:shd w:val="clear" w:color="auto" w:fill="FFFFFF"/>
        </w:rPr>
        <w:tab/>
      </w:r>
      <w:r w:rsidRPr="009B694F">
        <w:rPr>
          <w:shd w:val="clear" w:color="auto" w:fill="FFFFFF"/>
        </w:rPr>
        <w:t>the adequacy of the protections against sexual harassment and whether the Act should cover harassment based on other protected attributes</w:t>
      </w:r>
    </w:p>
    <w:p w14:paraId="0724202E" w14:textId="15F60FB3" w:rsidR="00F41119" w:rsidRPr="00F02D60" w:rsidRDefault="00F41119" w:rsidP="00F41119">
      <w:pPr>
        <w:pStyle w:val="Normalhanging1"/>
      </w:pPr>
      <w:r w:rsidRPr="009B694F">
        <w:rPr>
          <w:shd w:val="clear" w:color="auto" w:fill="FFFFFF"/>
        </w:rPr>
        <w:t>7.</w:t>
      </w:r>
      <w:r w:rsidR="00B87C05">
        <w:rPr>
          <w:shd w:val="clear" w:color="auto" w:fill="FFFFFF"/>
        </w:rPr>
        <w:tab/>
      </w:r>
      <w:r w:rsidRPr="009B694F">
        <w:rPr>
          <w:shd w:val="clear" w:color="auto" w:fill="FFFFFF"/>
        </w:rPr>
        <w:t>whether the Act should include positive obligations to prevent harassment, discrimination and vilification, and to make reasonable adjustments to promote full and equal participation in public life</w:t>
      </w:r>
    </w:p>
    <w:p w14:paraId="0FF334BE" w14:textId="715F1C1B" w:rsidR="00F41119" w:rsidRPr="00F02D60" w:rsidRDefault="00F41119" w:rsidP="00F41119">
      <w:pPr>
        <w:pStyle w:val="Normalhanging1"/>
      </w:pPr>
      <w:r w:rsidRPr="009B694F">
        <w:rPr>
          <w:shd w:val="clear" w:color="auto" w:fill="FFFFFF"/>
        </w:rPr>
        <w:t>8.</w:t>
      </w:r>
      <w:r w:rsidR="00B87C05">
        <w:rPr>
          <w:shd w:val="clear" w:color="auto" w:fill="FFFFFF"/>
        </w:rPr>
        <w:tab/>
      </w:r>
      <w:r w:rsidRPr="009B694F">
        <w:rPr>
          <w:shd w:val="clear" w:color="auto" w:fill="FFFFFF"/>
        </w:rPr>
        <w:t>exceptions, special measures and exemption processes</w:t>
      </w:r>
    </w:p>
    <w:p w14:paraId="003B2110" w14:textId="16B60465" w:rsidR="00F41119" w:rsidRPr="00F02D60" w:rsidRDefault="00F41119" w:rsidP="00F41119">
      <w:pPr>
        <w:pStyle w:val="Normalhanging1"/>
      </w:pPr>
      <w:r w:rsidRPr="009B694F">
        <w:rPr>
          <w:shd w:val="clear" w:color="auto" w:fill="FFFFFF"/>
        </w:rPr>
        <w:t>9.</w:t>
      </w:r>
      <w:r w:rsidR="00B87C05">
        <w:rPr>
          <w:shd w:val="clear" w:color="auto" w:fill="FFFFFF"/>
        </w:rPr>
        <w:tab/>
      </w:r>
      <w:r w:rsidRPr="009B694F">
        <w:rPr>
          <w:shd w:val="clear" w:color="auto" w:fill="FFFFFF"/>
        </w:rPr>
        <w:t>the adequacy and accessibility of complaints procedures and remedies</w:t>
      </w:r>
    </w:p>
    <w:p w14:paraId="77701396" w14:textId="49B12FB2" w:rsidR="00F41119" w:rsidRPr="00F02D60" w:rsidRDefault="00F41119" w:rsidP="00F41119">
      <w:pPr>
        <w:pStyle w:val="Normalhanging1"/>
      </w:pPr>
      <w:r w:rsidRPr="009B694F">
        <w:rPr>
          <w:shd w:val="clear" w:color="auto" w:fill="FFFFFF"/>
        </w:rPr>
        <w:t>10.</w:t>
      </w:r>
      <w:r w:rsidR="00B87C05">
        <w:rPr>
          <w:shd w:val="clear" w:color="auto" w:fill="FFFFFF"/>
        </w:rPr>
        <w:tab/>
      </w:r>
      <w:r w:rsidRPr="009B694F">
        <w:rPr>
          <w:shd w:val="clear" w:color="auto" w:fill="FFFFFF"/>
        </w:rPr>
        <w:t>the powers and functions of the Anti-Discrimination Board of NSW and its President, including potential mechanisms to address systemic discrimination</w:t>
      </w:r>
    </w:p>
    <w:p w14:paraId="21AC6B37" w14:textId="1378984E" w:rsidR="00F41119" w:rsidRPr="00F02D60" w:rsidRDefault="00F41119" w:rsidP="00F41119">
      <w:pPr>
        <w:pStyle w:val="Normalhanging1"/>
      </w:pPr>
      <w:r w:rsidRPr="009B694F">
        <w:rPr>
          <w:shd w:val="clear" w:color="auto" w:fill="FFFFFF"/>
        </w:rPr>
        <w:t>11.</w:t>
      </w:r>
      <w:r w:rsidR="00B87C05">
        <w:rPr>
          <w:shd w:val="clear" w:color="auto" w:fill="FFFFFF"/>
        </w:rPr>
        <w:tab/>
      </w:r>
      <w:r w:rsidRPr="009B694F">
        <w:rPr>
          <w:shd w:val="clear" w:color="auto" w:fill="FFFFFF"/>
        </w:rPr>
        <w:t>the protections, processes and enforcement mechanisms that exist in other Australian and international anti-discrimination and human rights laws, and other NSW laws</w:t>
      </w:r>
    </w:p>
    <w:p w14:paraId="6E99D94C" w14:textId="4D5ED830" w:rsidR="00F41119" w:rsidRPr="00F02D60" w:rsidRDefault="00F41119" w:rsidP="00F41119">
      <w:pPr>
        <w:pStyle w:val="Normalhanging1"/>
      </w:pPr>
      <w:r w:rsidRPr="009B694F">
        <w:rPr>
          <w:shd w:val="clear" w:color="auto" w:fill="FFFFFF"/>
        </w:rPr>
        <w:t>12.</w:t>
      </w:r>
      <w:r w:rsidR="00B87C05">
        <w:rPr>
          <w:shd w:val="clear" w:color="auto" w:fill="FFFFFF"/>
        </w:rPr>
        <w:tab/>
      </w:r>
      <w:r w:rsidRPr="009B694F">
        <w:rPr>
          <w:shd w:val="clear" w:color="auto" w:fill="FFFFFF"/>
        </w:rPr>
        <w:t>the interaction between the Act and Commonwealth anti-discrimination laws</w:t>
      </w:r>
    </w:p>
    <w:p w14:paraId="1F321AEB" w14:textId="59E25617" w:rsidR="00F41119" w:rsidRPr="00F02D60" w:rsidRDefault="00F41119" w:rsidP="00F41119">
      <w:pPr>
        <w:pStyle w:val="Normalhanging1"/>
      </w:pPr>
      <w:r w:rsidRPr="009B694F">
        <w:rPr>
          <w:shd w:val="clear" w:color="auto" w:fill="FFFFFF"/>
        </w:rPr>
        <w:t>13.</w:t>
      </w:r>
      <w:r w:rsidR="00B87C05">
        <w:rPr>
          <w:shd w:val="clear" w:color="auto" w:fill="FFFFFF"/>
        </w:rPr>
        <w:tab/>
      </w:r>
      <w:r w:rsidRPr="009B694F">
        <w:rPr>
          <w:shd w:val="clear" w:color="auto" w:fill="FFFFFF"/>
        </w:rPr>
        <w:t>any other matters the Commission considers relevant to these Terms of Reference.</w:t>
      </w:r>
    </w:p>
    <w:p w14:paraId="603F68D5" w14:textId="77777777" w:rsidR="00F41119" w:rsidRDefault="00F41119" w:rsidP="00F41119">
      <w:pPr>
        <w:pStyle w:val="NormalText"/>
        <w:jc w:val="right"/>
      </w:pPr>
      <w:r>
        <w:t>[</w:t>
      </w:r>
      <w:r>
        <w:rPr>
          <w:i/>
          <w:iCs/>
        </w:rPr>
        <w:t>D</w:t>
      </w:r>
      <w:r w:rsidRPr="003545D9">
        <w:rPr>
          <w:i/>
          <w:iCs/>
        </w:rPr>
        <w:t>ated 19 June 2023</w:t>
      </w:r>
      <w:r>
        <w:t>]</w:t>
      </w:r>
    </w:p>
    <w:p w14:paraId="7BA5ADCF" w14:textId="77777777" w:rsidR="00F41119" w:rsidRDefault="00F41119" w:rsidP="00F41119">
      <w:pPr>
        <w:spacing w:after="0" w:line="240" w:lineRule="auto"/>
        <w:jc w:val="left"/>
        <w:rPr>
          <w:rFonts w:ascii="Public Sans" w:hAnsi="Public Sans"/>
        </w:rPr>
      </w:pPr>
      <w:r>
        <w:br w:type="page"/>
      </w:r>
    </w:p>
    <w:p w14:paraId="1E09D6C3" w14:textId="77777777" w:rsidR="00F41119" w:rsidRDefault="00F41119" w:rsidP="00F41119">
      <w:pPr>
        <w:pStyle w:val="Heading1"/>
      </w:pPr>
      <w:bookmarkStart w:id="13" w:name="_Toc196826781"/>
      <w:r>
        <w:lastRenderedPageBreak/>
        <w:t>Questions</w:t>
      </w:r>
      <w:bookmarkEnd w:id="13"/>
    </w:p>
    <w:p w14:paraId="7A80B45A" w14:textId="77777777" w:rsidR="00F41119" w:rsidRDefault="00F41119" w:rsidP="00F41119">
      <w:pPr>
        <w:pStyle w:val="Heading2"/>
      </w:pPr>
      <w:bookmarkStart w:id="14" w:name="_Toc196826782"/>
      <w:r>
        <w:t>3. Tests for discrimination</w:t>
      </w:r>
      <w:bookmarkEnd w:id="14"/>
    </w:p>
    <w:p w14:paraId="3693E5C5" w14:textId="77777777" w:rsidR="00F41119" w:rsidRDefault="00F41119" w:rsidP="00F41119">
      <w:pPr>
        <w:pStyle w:val="Heading3"/>
      </w:pPr>
      <w:r>
        <w:t>Question 3.1: Direct discrimination</w:t>
      </w:r>
    </w:p>
    <w:p w14:paraId="62E280D2" w14:textId="77777777" w:rsidR="00F41119" w:rsidRDefault="00F41119" w:rsidP="00F41119">
      <w:pPr>
        <w:pStyle w:val="NormalText"/>
      </w:pPr>
      <w:r w:rsidRPr="009A5067">
        <w:t>Could the test for direct discrimination be improved or simplified? If so, how?</w:t>
      </w:r>
    </w:p>
    <w:p w14:paraId="2674D25B" w14:textId="77777777" w:rsidR="00F41119" w:rsidRDefault="00F41119" w:rsidP="00F41119">
      <w:pPr>
        <w:pStyle w:val="Heading3"/>
      </w:pPr>
      <w:r>
        <w:t xml:space="preserve">Question 3.2: </w:t>
      </w:r>
      <w:r w:rsidRPr="006F1B11">
        <w:t>The comparative disproportionate impact test</w:t>
      </w:r>
    </w:p>
    <w:p w14:paraId="6AB6AD45" w14:textId="77777777" w:rsidR="00F41119" w:rsidRDefault="00F41119" w:rsidP="00F41119">
      <w:pPr>
        <w:pStyle w:val="NormalText"/>
      </w:pPr>
      <w:r w:rsidRPr="006F1B11">
        <w:t>Should the comparative disproportionate impact test for indirect discrimination be replaced? If so, what should replace it?</w:t>
      </w:r>
    </w:p>
    <w:p w14:paraId="7D222374" w14:textId="77777777" w:rsidR="00F41119" w:rsidRPr="006F1B11" w:rsidRDefault="00F41119" w:rsidP="00F41119">
      <w:pPr>
        <w:pStyle w:val="Heading3"/>
      </w:pPr>
      <w:r w:rsidRPr="006F1B11">
        <w:t>Question 3.3 Indirect discrimination and inability to comply</w:t>
      </w:r>
    </w:p>
    <w:p w14:paraId="21B70EDB" w14:textId="77777777" w:rsidR="00F41119" w:rsidRDefault="00F41119" w:rsidP="00F41119">
      <w:pPr>
        <w:pStyle w:val="NormalText"/>
      </w:pPr>
      <w:r w:rsidRPr="006F1B11">
        <w:t>What are your views on the “not able to comply” part of the indirect discrimination test? Should this part of the test be removed? Why or why not?</w:t>
      </w:r>
    </w:p>
    <w:p w14:paraId="06C1A8D3" w14:textId="77777777" w:rsidR="00F41119" w:rsidRDefault="00F41119" w:rsidP="00F41119">
      <w:pPr>
        <w:pStyle w:val="Heading3"/>
      </w:pPr>
      <w:r w:rsidRPr="00511DA4">
        <w:t>Question 3.4: Indirect discrimination and the reasonableness standard</w:t>
      </w:r>
    </w:p>
    <w:p w14:paraId="4E766225" w14:textId="77777777" w:rsidR="00F41119" w:rsidRDefault="00F41119" w:rsidP="00F41119">
      <w:pPr>
        <w:pStyle w:val="Normalhanging1"/>
        <w:spacing w:before="240"/>
      </w:pPr>
      <w:r>
        <w:t xml:space="preserve">(1) </w:t>
      </w:r>
      <w:r>
        <w:tab/>
        <w:t xml:space="preserve">Should the reasonableness standard be part of the test for indirect discrimination? If not, what should replace it?  </w:t>
      </w:r>
    </w:p>
    <w:p w14:paraId="2EA007D3" w14:textId="77777777" w:rsidR="00F41119" w:rsidRPr="000338C4" w:rsidRDefault="00F41119" w:rsidP="00F41119">
      <w:pPr>
        <w:pStyle w:val="Normalhanging1"/>
      </w:pPr>
      <w:r>
        <w:t>(2)</w:t>
      </w:r>
      <w:r>
        <w:tab/>
        <w:t>Should the ADA set out the factors to be considered in determining reasonableness? Why or why not? If so, what should they be?</w:t>
      </w:r>
    </w:p>
    <w:p w14:paraId="4C58F016" w14:textId="77777777" w:rsidR="00F41119" w:rsidRDefault="00F41119" w:rsidP="00F41119">
      <w:pPr>
        <w:pStyle w:val="Heading3"/>
      </w:pPr>
      <w:r>
        <w:t xml:space="preserve">Question 3.5: </w:t>
      </w:r>
      <w:r w:rsidRPr="006F1B11">
        <w:t>Indirect discrimination based on a characteristic</w:t>
      </w:r>
    </w:p>
    <w:p w14:paraId="0AFF4BF2" w14:textId="77777777" w:rsidR="00F41119" w:rsidRDefault="00F41119" w:rsidP="00F41119">
      <w:pPr>
        <w:pStyle w:val="NormalText"/>
      </w:pPr>
      <w:r w:rsidRPr="006F1B11">
        <w:t>Should the prohibition on indirect discrimination extend to characteristics that people with protected attributes either generally have or are assumed to have?</w:t>
      </w:r>
    </w:p>
    <w:p w14:paraId="7F112F1E" w14:textId="77777777" w:rsidR="00F41119" w:rsidRDefault="00F41119" w:rsidP="00F41119">
      <w:pPr>
        <w:pStyle w:val="Heading3"/>
      </w:pPr>
      <w:r w:rsidRPr="006F1B11">
        <w:t>Question 3.6: Proving indirect discrimination</w:t>
      </w:r>
    </w:p>
    <w:p w14:paraId="5149988B" w14:textId="77777777" w:rsidR="00F41119" w:rsidRDefault="00F41119" w:rsidP="00F41119">
      <w:pPr>
        <w:pStyle w:val="Normalhanging1"/>
        <w:spacing w:before="240"/>
      </w:pPr>
      <w:r>
        <w:t>(1)</w:t>
      </w:r>
      <w:r>
        <w:tab/>
        <w:t>Should the ADA require respondents to prove any aspects of the direct discrimination test? If so, which aspects?</w:t>
      </w:r>
    </w:p>
    <w:p w14:paraId="0F6DF613" w14:textId="77777777" w:rsidR="00F41119" w:rsidRDefault="00F41119" w:rsidP="00F41119">
      <w:pPr>
        <w:pStyle w:val="Normalhanging1"/>
      </w:pPr>
      <w:r>
        <w:t>(2)</w:t>
      </w:r>
      <w:r>
        <w:tab/>
        <w:t>Should the ADA require respondents to prove any aspects of the indirect discrimination test? If so, which aspects?</w:t>
      </w:r>
    </w:p>
    <w:p w14:paraId="0885E7C2" w14:textId="77777777" w:rsidR="00F41119" w:rsidRDefault="00F41119" w:rsidP="00F41119">
      <w:pPr>
        <w:pStyle w:val="Heading3"/>
      </w:pPr>
      <w:r>
        <w:t xml:space="preserve">Question 3.7: </w:t>
      </w:r>
      <w:r w:rsidRPr="006F1B11">
        <w:t>Direct and indirect discrimination</w:t>
      </w:r>
    </w:p>
    <w:p w14:paraId="1418C171" w14:textId="5B0D99B4" w:rsidR="00F41119" w:rsidRDefault="00F41119" w:rsidP="00F41119">
      <w:pPr>
        <w:pStyle w:val="Normalhanging1"/>
        <w:spacing w:before="240"/>
      </w:pPr>
      <w:r>
        <w:t>(1)</w:t>
      </w:r>
      <w:r>
        <w:tab/>
        <w:t xml:space="preserve">How should the relationship between different types of discrimination be recognised? </w:t>
      </w:r>
    </w:p>
    <w:p w14:paraId="14C1B5DD" w14:textId="77777777" w:rsidR="00F41119" w:rsidRDefault="00F41119" w:rsidP="00F41119">
      <w:pPr>
        <w:pStyle w:val="Normalhanging1"/>
      </w:pPr>
      <w:r>
        <w:t>(2)</w:t>
      </w:r>
      <w:r>
        <w:tab/>
        <w:t>Should the ADA retain the distinction between direct and indirect discrimination? Why or why not?</w:t>
      </w:r>
    </w:p>
    <w:p w14:paraId="666AA065" w14:textId="77777777" w:rsidR="00F41119" w:rsidRDefault="00F41119" w:rsidP="00F41119">
      <w:pPr>
        <w:pStyle w:val="Heading3"/>
      </w:pPr>
      <w:r w:rsidRPr="00F00B9C">
        <w:t>Question 3.8: Intersectional discrimination</w:t>
      </w:r>
    </w:p>
    <w:p w14:paraId="23983CFA" w14:textId="77777777" w:rsidR="00F41119" w:rsidRDefault="00F41119" w:rsidP="00F41119">
      <w:pPr>
        <w:pStyle w:val="Normalhanging1"/>
        <w:spacing w:before="240"/>
      </w:pPr>
      <w:r>
        <w:t>(1)</w:t>
      </w:r>
      <w:r>
        <w:tab/>
        <w:t>Should the ADA protect against intersectional discrimination? Why or why not?</w:t>
      </w:r>
    </w:p>
    <w:p w14:paraId="22680715" w14:textId="77777777" w:rsidR="00F41119" w:rsidRDefault="00F41119" w:rsidP="00F41119">
      <w:pPr>
        <w:pStyle w:val="Normalhanging1"/>
      </w:pPr>
      <w:r>
        <w:t>(2)</w:t>
      </w:r>
      <w:r>
        <w:tab/>
        <w:t>If so, how should this be achieved?</w:t>
      </w:r>
    </w:p>
    <w:p w14:paraId="0BE47651" w14:textId="77777777" w:rsidR="00F41119" w:rsidRDefault="00F41119" w:rsidP="00F41119">
      <w:pPr>
        <w:pStyle w:val="Heading3"/>
      </w:pPr>
      <w:r>
        <w:lastRenderedPageBreak/>
        <w:t>Q</w:t>
      </w:r>
      <w:r w:rsidRPr="004865BC">
        <w:t>uestion 3.9: Intended future discrimination</w:t>
      </w:r>
    </w:p>
    <w:p w14:paraId="569BB20E" w14:textId="77777777" w:rsidR="00F41119" w:rsidRDefault="00F41119" w:rsidP="00F41119">
      <w:pPr>
        <w:pStyle w:val="NormalText"/>
      </w:pPr>
      <w:r w:rsidRPr="004865BC">
        <w:t>Should the tests for discrimination capture intended future discrimination? Why or why not? If so, how could this be achieved?</w:t>
      </w:r>
    </w:p>
    <w:p w14:paraId="2E0A9881" w14:textId="77777777" w:rsidR="00F41119" w:rsidRDefault="00F41119" w:rsidP="00F41119">
      <w:pPr>
        <w:pStyle w:val="Heading2"/>
      </w:pPr>
      <w:bookmarkStart w:id="15" w:name="_Toc196826783"/>
      <w:r>
        <w:t>4. Discrimination: protected attributes</w:t>
      </w:r>
      <w:bookmarkEnd w:id="15"/>
    </w:p>
    <w:p w14:paraId="67896966" w14:textId="77777777" w:rsidR="00F41119" w:rsidRDefault="00F41119" w:rsidP="00F41119">
      <w:pPr>
        <w:pStyle w:val="Heading3"/>
      </w:pPr>
      <w:r>
        <w:t>Question 4.1: Age discrimination</w:t>
      </w:r>
    </w:p>
    <w:p w14:paraId="1D9D5469" w14:textId="0770A179" w:rsidR="00F41119" w:rsidRDefault="00F41119" w:rsidP="00F41119">
      <w:pPr>
        <w:pStyle w:val="Normalhanging1"/>
        <w:spacing w:before="240"/>
      </w:pPr>
      <w:r>
        <w:t>(1)</w:t>
      </w:r>
      <w:r>
        <w:tab/>
        <w:t>What</w:t>
      </w:r>
      <w:r w:rsidR="00F55080">
        <w:t xml:space="preserve"> changes, if any,</w:t>
      </w:r>
      <w:r>
        <w:t xml:space="preserve"> should be made to the way the ADA expresses and defines the protected attribute of “age”? </w:t>
      </w:r>
    </w:p>
    <w:p w14:paraId="37BBF844" w14:textId="26AD38D3" w:rsidR="00F41119" w:rsidRDefault="00F41119" w:rsidP="00F41119">
      <w:pPr>
        <w:pStyle w:val="Normalhanging1"/>
      </w:pPr>
      <w:r>
        <w:t>(2)</w:t>
      </w:r>
      <w:r>
        <w:tab/>
        <w:t>What</w:t>
      </w:r>
      <w:r w:rsidR="00F55080">
        <w:t xml:space="preserve"> changes, if any,</w:t>
      </w:r>
      <w:r>
        <w:t xml:space="preserve"> should be made to the age-related exceptions?</w:t>
      </w:r>
    </w:p>
    <w:p w14:paraId="4130246A" w14:textId="77777777" w:rsidR="00F41119" w:rsidRPr="00240068" w:rsidRDefault="00F41119" w:rsidP="00F41119">
      <w:pPr>
        <w:pStyle w:val="Heading3"/>
      </w:pPr>
      <w:r>
        <w:t xml:space="preserve">Question 4.2: </w:t>
      </w:r>
      <w:r w:rsidRPr="00256B99">
        <w:t>Discrimination based on carer’s responsibilities</w:t>
      </w:r>
    </w:p>
    <w:p w14:paraId="6EF1DCEF" w14:textId="77777777" w:rsidR="00F41119" w:rsidRDefault="00F41119" w:rsidP="00F41119">
      <w:pPr>
        <w:pStyle w:val="Normalhanging1"/>
        <w:spacing w:before="240"/>
      </w:pPr>
      <w:r>
        <w:t>(1)</w:t>
      </w:r>
      <w:r>
        <w:tab/>
        <w:t xml:space="preserve">What changes, if any, should be made to the way the ADA expresses and defines the protected attribute of “responsibilities as a carer”? </w:t>
      </w:r>
    </w:p>
    <w:p w14:paraId="4FB5A247" w14:textId="77777777" w:rsidR="00F41119" w:rsidRPr="00F02D60" w:rsidRDefault="00F41119" w:rsidP="00F41119">
      <w:pPr>
        <w:pStyle w:val="Normalhanging1"/>
      </w:pPr>
      <w:r>
        <w:t>(2)</w:t>
      </w:r>
      <w:r>
        <w:tab/>
        <w:t>Should the ADA separately protect against discrimination based on someone’s status of being, or not being, a parent?</w:t>
      </w:r>
    </w:p>
    <w:p w14:paraId="061F558A" w14:textId="77777777" w:rsidR="00F41119" w:rsidRDefault="00F41119" w:rsidP="00F41119">
      <w:pPr>
        <w:pStyle w:val="Heading3"/>
      </w:pPr>
      <w:r>
        <w:t>Question 4.3 Disability discrimination</w:t>
      </w:r>
    </w:p>
    <w:p w14:paraId="7B213724" w14:textId="1AAA17E2" w:rsidR="00F41119" w:rsidRDefault="00F41119" w:rsidP="00F41119">
      <w:pPr>
        <w:pStyle w:val="Normalhanging1"/>
        <w:spacing w:before="240"/>
      </w:pPr>
      <w:r>
        <w:t>(1)</w:t>
      </w:r>
      <w:r>
        <w:tab/>
        <w:t>What</w:t>
      </w:r>
      <w:r w:rsidR="00F55080">
        <w:t xml:space="preserve"> changes, if any,</w:t>
      </w:r>
      <w:r>
        <w:t xml:space="preserve"> should be made to the way the ADA expresses and defines the protected attribute of “disability”?</w:t>
      </w:r>
    </w:p>
    <w:p w14:paraId="444D6021" w14:textId="77777777" w:rsidR="00F41119" w:rsidRDefault="00F41119" w:rsidP="00F41119">
      <w:pPr>
        <w:pStyle w:val="Normalhanging1"/>
      </w:pPr>
      <w:r>
        <w:t>(2)</w:t>
      </w:r>
      <w:r>
        <w:tab/>
        <w:t xml:space="preserve">Should a new attribute be created to protect against genetic information discrimination? Or should this be added to the existing definition of disability? </w:t>
      </w:r>
    </w:p>
    <w:p w14:paraId="676DBC29" w14:textId="0FE13E07" w:rsidR="00F41119" w:rsidRDefault="00F41119" w:rsidP="00F41119">
      <w:pPr>
        <w:pStyle w:val="Normalhanging1"/>
      </w:pPr>
      <w:r>
        <w:t>(3)</w:t>
      </w:r>
      <w:r w:rsidR="00B87C05">
        <w:tab/>
      </w:r>
      <w:r>
        <w:t>What</w:t>
      </w:r>
      <w:r w:rsidR="00F55080">
        <w:t xml:space="preserve"> changes, if any,</w:t>
      </w:r>
      <w:r>
        <w:t xml:space="preserve"> should be made to the public health exception?</w:t>
      </w:r>
    </w:p>
    <w:p w14:paraId="77D8597E" w14:textId="77777777" w:rsidR="00F41119" w:rsidRDefault="00F41119" w:rsidP="00F41119">
      <w:pPr>
        <w:pStyle w:val="Heading3"/>
      </w:pPr>
      <w:r>
        <w:t xml:space="preserve">Question 4.4: </w:t>
      </w:r>
      <w:r w:rsidRPr="002A5C2F">
        <w:t>Discrimination based on homosexuality</w:t>
      </w:r>
    </w:p>
    <w:p w14:paraId="41EE267E" w14:textId="77777777" w:rsidR="00F41119" w:rsidRDefault="00F41119" w:rsidP="00F41119">
      <w:pPr>
        <w:pStyle w:val="NormalText"/>
      </w:pPr>
      <w:r w:rsidRPr="002A5C2F">
        <w:t>What changes, if any, should be made to the way the ADA expresses and defines the protected attribute of “homosexuality”?</w:t>
      </w:r>
    </w:p>
    <w:p w14:paraId="68478304" w14:textId="77777777" w:rsidR="00F41119" w:rsidRDefault="00F41119" w:rsidP="00F41119">
      <w:pPr>
        <w:pStyle w:val="Heading3"/>
      </w:pPr>
      <w:r w:rsidRPr="002A5C2F">
        <w:t>Question 4.5: Discrimination based on marital or domestic status</w:t>
      </w:r>
    </w:p>
    <w:p w14:paraId="1A7A2917" w14:textId="77777777" w:rsidR="00F41119" w:rsidRDefault="00F41119" w:rsidP="00F41119">
      <w:pPr>
        <w:pStyle w:val="NormalText"/>
      </w:pPr>
      <w:r w:rsidRPr="002A5C2F">
        <w:t>What changes, if any, should be made to the way the ADA expresses and defines the protected attribute of “marital or domestic status”?</w:t>
      </w:r>
    </w:p>
    <w:p w14:paraId="5B871BC3" w14:textId="77777777" w:rsidR="00F41119" w:rsidRDefault="00F41119" w:rsidP="00F41119">
      <w:pPr>
        <w:pStyle w:val="Heading3"/>
      </w:pPr>
      <w:r w:rsidRPr="002A5C2F">
        <w:t>Question 4.6: Racial discrimination</w:t>
      </w:r>
    </w:p>
    <w:p w14:paraId="694101D2" w14:textId="77777777" w:rsidR="00F41119" w:rsidRDefault="00F41119" w:rsidP="00F41119">
      <w:pPr>
        <w:pStyle w:val="Normalhanging1"/>
        <w:spacing w:before="240"/>
      </w:pPr>
      <w:r>
        <w:t>(1)</w:t>
      </w:r>
      <w:r>
        <w:tab/>
        <w:t>What changes, if any, should be made to the way the ADA expresses and defines the protected attribute of “race”?</w:t>
      </w:r>
    </w:p>
    <w:p w14:paraId="7DEFCA66" w14:textId="77777777" w:rsidR="00F41119" w:rsidRDefault="00F41119" w:rsidP="00F41119">
      <w:pPr>
        <w:pStyle w:val="Normalhanging1"/>
      </w:pPr>
      <w:r>
        <w:t>(2)</w:t>
      </w:r>
      <w:r>
        <w:tab/>
        <w:t>Are any new attributes required to address potential gaps in the ADA’s protections against racial discrimination?</w:t>
      </w:r>
    </w:p>
    <w:p w14:paraId="68EF35AF" w14:textId="77777777" w:rsidR="00A25619" w:rsidRDefault="00A25619" w:rsidP="00F41119">
      <w:pPr>
        <w:pStyle w:val="Heading3"/>
      </w:pPr>
      <w:r>
        <w:br w:type="page"/>
      </w:r>
    </w:p>
    <w:p w14:paraId="7334A795" w14:textId="5C2A96FC" w:rsidR="00F41119" w:rsidRDefault="00F41119" w:rsidP="00F41119">
      <w:pPr>
        <w:pStyle w:val="Heading3"/>
      </w:pPr>
      <w:r w:rsidRPr="002A5C2F">
        <w:lastRenderedPageBreak/>
        <w:t>Question 4.7: Sex discrimination</w:t>
      </w:r>
    </w:p>
    <w:p w14:paraId="460DFB23" w14:textId="77777777" w:rsidR="00F41119" w:rsidRDefault="00F41119" w:rsidP="00F41119">
      <w:pPr>
        <w:pStyle w:val="Normalhanging1"/>
        <w:spacing w:before="240"/>
      </w:pPr>
      <w:r>
        <w:t>(1)</w:t>
      </w:r>
      <w:r>
        <w:tab/>
        <w:t>What changes, if any, should be made to the way the ADA expresses and defines the protected attribute of “sex”?</w:t>
      </w:r>
    </w:p>
    <w:p w14:paraId="216838DF" w14:textId="77777777" w:rsidR="00F41119" w:rsidRDefault="00F41119" w:rsidP="00F41119">
      <w:pPr>
        <w:pStyle w:val="Normalhanging1"/>
      </w:pPr>
      <w:r>
        <w:t>(2)</w:t>
      </w:r>
      <w:r>
        <w:tab/>
        <w:t>Should the ADA prohibit discrimination based on pregnancy and breastfeeding separately from sex discrimination?</w:t>
      </w:r>
    </w:p>
    <w:p w14:paraId="365A7D9B" w14:textId="77777777" w:rsidR="00F41119" w:rsidRDefault="00F41119" w:rsidP="00F41119">
      <w:pPr>
        <w:pStyle w:val="Heading3"/>
      </w:pPr>
      <w:r w:rsidRPr="002A5C2F">
        <w:t>Question 4.8: Discrimination on transgender grounds</w:t>
      </w:r>
    </w:p>
    <w:p w14:paraId="48917ECC" w14:textId="77777777" w:rsidR="00F41119" w:rsidRDefault="00F41119" w:rsidP="00F41119">
      <w:pPr>
        <w:pStyle w:val="NormalText"/>
      </w:pPr>
      <w:r w:rsidRPr="002A5C2F">
        <w:t>What changes, if any, should be made to the way the ADA expresses and defines the protected attribute of “transgender grounds”?</w:t>
      </w:r>
    </w:p>
    <w:p w14:paraId="10BA29A2" w14:textId="77777777" w:rsidR="00F41119" w:rsidRDefault="00F41119" w:rsidP="00F41119">
      <w:pPr>
        <w:pStyle w:val="Heading3"/>
      </w:pPr>
      <w:r w:rsidRPr="002A5C2F">
        <w:t>Question 4.9: Extending existing protections</w:t>
      </w:r>
    </w:p>
    <w:p w14:paraId="50DBF74E" w14:textId="77777777" w:rsidR="00F41119" w:rsidRDefault="00F41119" w:rsidP="00F41119">
      <w:pPr>
        <w:pStyle w:val="Normalhanging1"/>
        <w:spacing w:before="240"/>
      </w:pPr>
      <w:r>
        <w:t>(1)</w:t>
      </w:r>
      <w:r>
        <w:tab/>
        <w:t xml:space="preserve">Should the ADA protect people against discrimination based on any protected attribute they have had in the past or may have in the future? </w:t>
      </w:r>
    </w:p>
    <w:p w14:paraId="21AB41CE" w14:textId="77777777" w:rsidR="00F41119" w:rsidRDefault="00F41119" w:rsidP="00F41119">
      <w:pPr>
        <w:pStyle w:val="Normalhanging1"/>
      </w:pPr>
      <w:r>
        <w:t>(2)</w:t>
      </w:r>
      <w:r>
        <w:tab/>
        <w:t>Should the ADA include an attribute which protects against discrimination based on being a relative or associate of someone with any other protected attribute?</w:t>
      </w:r>
    </w:p>
    <w:p w14:paraId="420846D7" w14:textId="77777777" w:rsidR="00F41119" w:rsidRDefault="00F41119" w:rsidP="00F41119">
      <w:pPr>
        <w:pStyle w:val="Heading2"/>
      </w:pPr>
      <w:bookmarkStart w:id="16" w:name="_Toc196826784"/>
      <w:r>
        <w:t xml:space="preserve">5. </w:t>
      </w:r>
      <w:r w:rsidRPr="00F927DD">
        <w:t>Discrimination: potential new protected attributes</w:t>
      </w:r>
      <w:bookmarkEnd w:id="16"/>
    </w:p>
    <w:p w14:paraId="52927920" w14:textId="77777777" w:rsidR="00F41119" w:rsidRDefault="00F41119" w:rsidP="00F41119">
      <w:pPr>
        <w:pStyle w:val="Heading3"/>
      </w:pPr>
      <w:r>
        <w:t xml:space="preserve">Question 5.1: Guiding principles </w:t>
      </w:r>
    </w:p>
    <w:p w14:paraId="583DA45A" w14:textId="77777777" w:rsidR="00F41119" w:rsidRDefault="00F41119" w:rsidP="00F41119">
      <w:pPr>
        <w:pStyle w:val="NormalText"/>
      </w:pPr>
      <w:r>
        <w:t>What principles should guide decisions about what, if any, new attributes should be added to the ADA?</w:t>
      </w:r>
    </w:p>
    <w:p w14:paraId="4FD707D5" w14:textId="77777777" w:rsidR="00F41119" w:rsidRDefault="00F41119" w:rsidP="00F41119">
      <w:pPr>
        <w:pStyle w:val="Heading3"/>
      </w:pPr>
      <w:r>
        <w:t xml:space="preserve">Question 5.2: Potential new attributes  </w:t>
      </w:r>
    </w:p>
    <w:p w14:paraId="075448E1" w14:textId="77777777" w:rsidR="00F41119" w:rsidRDefault="00F41119" w:rsidP="00F41119">
      <w:pPr>
        <w:pStyle w:val="Normalhanging1"/>
        <w:spacing w:before="240"/>
      </w:pPr>
      <w:r>
        <w:t>(1)</w:t>
      </w:r>
      <w:r>
        <w:tab/>
        <w:t xml:space="preserve">Should any protected attributes be added to the prohibition on discrimination in the ADA? If so, which what should be added and why? </w:t>
      </w:r>
    </w:p>
    <w:p w14:paraId="477C92B0" w14:textId="77777777" w:rsidR="00F41119" w:rsidRDefault="00F41119" w:rsidP="00F41119">
      <w:pPr>
        <w:pStyle w:val="Normalhanging1"/>
      </w:pPr>
      <w:r>
        <w:t>(2)</w:t>
      </w:r>
      <w:r>
        <w:tab/>
        <w:t xml:space="preserve">How should each of the new attributes that you have identified above be defined and expressed? </w:t>
      </w:r>
    </w:p>
    <w:p w14:paraId="11145790" w14:textId="6AA8AE05" w:rsidR="00F41119" w:rsidRDefault="00F41119" w:rsidP="00F41119">
      <w:pPr>
        <w:pStyle w:val="Normalhanging1"/>
      </w:pPr>
      <w:r>
        <w:t>(3)</w:t>
      </w:r>
      <w:r w:rsidR="00B87C05">
        <w:tab/>
      </w:r>
      <w:r>
        <w:t>If any of new attributes were to be added to the ADA, would any new attribute-specific exceptions be required?</w:t>
      </w:r>
    </w:p>
    <w:p w14:paraId="546FD8D2" w14:textId="77777777" w:rsidR="00F41119" w:rsidRDefault="00F41119" w:rsidP="00F41119">
      <w:pPr>
        <w:pStyle w:val="Heading3"/>
      </w:pPr>
      <w:r>
        <w:t xml:space="preserve">Question 5.3: An open-ended list  </w:t>
      </w:r>
    </w:p>
    <w:p w14:paraId="61DDE241" w14:textId="77777777" w:rsidR="00F41119" w:rsidRDefault="00F41119" w:rsidP="00F41119">
      <w:pPr>
        <w:pStyle w:val="NormalText"/>
      </w:pPr>
      <w:r>
        <w:t>Should the list of attributes in the ADA be open-ended to allow other attributes to be protected? Why or why not?</w:t>
      </w:r>
    </w:p>
    <w:p w14:paraId="183DBC05" w14:textId="484333E2" w:rsidR="00F41119" w:rsidRDefault="00F41119" w:rsidP="00F41119">
      <w:pPr>
        <w:pStyle w:val="Heading2"/>
      </w:pPr>
      <w:bookmarkStart w:id="17" w:name="_Toc196826785"/>
      <w:r w:rsidRPr="002A5C2F">
        <w:t>6.</w:t>
      </w:r>
      <w:r w:rsidR="00301362">
        <w:t xml:space="preserve"> </w:t>
      </w:r>
      <w:r w:rsidRPr="002A5C2F">
        <w:t>Discrimination: Areas of public life</w:t>
      </w:r>
      <w:bookmarkEnd w:id="17"/>
    </w:p>
    <w:p w14:paraId="1362CE95" w14:textId="77777777" w:rsidR="00F41119" w:rsidRDefault="00F41119" w:rsidP="00F41119">
      <w:pPr>
        <w:pStyle w:val="Heading3"/>
      </w:pPr>
      <w:r w:rsidRPr="0028053D">
        <w:t>Question 6.1: Discrimination at work — coverage</w:t>
      </w:r>
    </w:p>
    <w:p w14:paraId="509BD789" w14:textId="77777777" w:rsidR="00F41119" w:rsidRDefault="00F41119" w:rsidP="00F41119">
      <w:pPr>
        <w:pStyle w:val="Normalhanging1"/>
        <w:spacing w:before="240"/>
      </w:pPr>
      <w:r>
        <w:t>(1)</w:t>
      </w:r>
      <w:r>
        <w:tab/>
        <w:t>Should the definition of employment include voluntary workers? Why or why not?</w:t>
      </w:r>
    </w:p>
    <w:p w14:paraId="05A87F76" w14:textId="77777777" w:rsidR="00F41119" w:rsidRDefault="00F41119" w:rsidP="00F41119">
      <w:pPr>
        <w:pStyle w:val="Normalhanging1"/>
      </w:pPr>
      <w:r>
        <w:t>(2)</w:t>
      </w:r>
      <w:r>
        <w:tab/>
        <w:t xml:space="preserve">Should the ADA adopt a broader approach to discrimination in work, like the way the </w:t>
      </w:r>
      <w:r w:rsidRPr="00D01307">
        <w:rPr>
          <w:i/>
          <w:iCs/>
        </w:rPr>
        <w:t>Sex Discrimination Act 1984</w:t>
      </w:r>
      <w:r>
        <w:t xml:space="preserve"> (Cth) approaches harassment? Why or why not?</w:t>
      </w:r>
    </w:p>
    <w:p w14:paraId="2C2E796E" w14:textId="77777777" w:rsidR="00F41119" w:rsidRDefault="00F41119" w:rsidP="00F41119">
      <w:pPr>
        <w:pStyle w:val="Normalhanging1"/>
      </w:pPr>
      <w:r>
        <w:t>(3)</w:t>
      </w:r>
      <w:r>
        <w:tab/>
        <w:t>Should local government members be protected from age discrimination while performing work in their official capacity? Why or why not?</w:t>
      </w:r>
    </w:p>
    <w:p w14:paraId="0DF54735" w14:textId="77777777" w:rsidR="00F41119" w:rsidRDefault="00F41119" w:rsidP="00F41119">
      <w:pPr>
        <w:pStyle w:val="Heading3"/>
      </w:pPr>
      <w:r w:rsidRPr="00C4749C">
        <w:lastRenderedPageBreak/>
        <w:t>Question 6.2: Discrimination in work — exceptions</w:t>
      </w:r>
    </w:p>
    <w:p w14:paraId="15B9725B" w14:textId="7EF5366F" w:rsidR="00F41119" w:rsidRDefault="00F41119" w:rsidP="00F41119">
      <w:pPr>
        <w:pStyle w:val="NormalText"/>
      </w:pPr>
      <w:r w:rsidRPr="00C4749C">
        <w:t>What</w:t>
      </w:r>
      <w:r w:rsidR="00F55080">
        <w:t xml:space="preserve"> changes, if any,</w:t>
      </w:r>
      <w:r w:rsidRPr="00C4749C">
        <w:t xml:space="preserve"> should be made to the exceptions to discrimination in work?</w:t>
      </w:r>
    </w:p>
    <w:p w14:paraId="0664C615" w14:textId="77777777" w:rsidR="00F41119" w:rsidRDefault="00F41119" w:rsidP="00F41119">
      <w:pPr>
        <w:pStyle w:val="Heading3"/>
      </w:pPr>
      <w:r w:rsidRPr="00C4749C">
        <w:t>Question 6.3: Discrimination in education</w:t>
      </w:r>
    </w:p>
    <w:p w14:paraId="630FCFDF" w14:textId="59486FF7" w:rsidR="00F41119" w:rsidRDefault="00F41119" w:rsidP="00F41119">
      <w:pPr>
        <w:pStyle w:val="Normalhanging1"/>
        <w:spacing w:before="240"/>
      </w:pPr>
      <w:r>
        <w:t>(1)</w:t>
      </w:r>
      <w:r>
        <w:tab/>
        <w:t>What</w:t>
      </w:r>
      <w:r w:rsidR="00F55080">
        <w:t xml:space="preserve"> changes, if any,</w:t>
      </w:r>
      <w:r>
        <w:t xml:space="preserve"> should be made to the definition and coverage of the protected area of “education”?</w:t>
      </w:r>
    </w:p>
    <w:p w14:paraId="70A67959" w14:textId="4A1C28FA" w:rsidR="00F41119" w:rsidRDefault="00F41119" w:rsidP="00F41119">
      <w:pPr>
        <w:pStyle w:val="Normalhanging1"/>
      </w:pPr>
      <w:r>
        <w:t>(2)</w:t>
      </w:r>
      <w:r>
        <w:tab/>
        <w:t>What</w:t>
      </w:r>
      <w:r w:rsidR="00F55080">
        <w:t xml:space="preserve"> changes, if any,</w:t>
      </w:r>
      <w:r>
        <w:t xml:space="preserve"> should be made to the exceptions relating to:</w:t>
      </w:r>
    </w:p>
    <w:p w14:paraId="3D8A3548" w14:textId="77777777" w:rsidR="00F41119" w:rsidRDefault="00F41119" w:rsidP="00F41119">
      <w:pPr>
        <w:pStyle w:val="Normalhanginga"/>
      </w:pPr>
      <w:r>
        <w:tab/>
        <w:t>(a)</w:t>
      </w:r>
      <w:r>
        <w:tab/>
        <w:t>single-sex educational institutions, and</w:t>
      </w:r>
    </w:p>
    <w:p w14:paraId="7A2ADEFF" w14:textId="77777777" w:rsidR="00F41119" w:rsidRDefault="00F41119" w:rsidP="00F41119">
      <w:pPr>
        <w:pStyle w:val="Normalhanginga"/>
      </w:pPr>
      <w:r>
        <w:tab/>
        <w:t>(b)</w:t>
      </w:r>
      <w:r>
        <w:tab/>
        <w:t>disability and age discrimination in educational institutions?</w:t>
      </w:r>
    </w:p>
    <w:p w14:paraId="59B9E6A7" w14:textId="77777777" w:rsidR="00F41119" w:rsidRDefault="00F41119" w:rsidP="00F41119">
      <w:pPr>
        <w:pStyle w:val="Heading3"/>
      </w:pPr>
      <w:r>
        <w:t xml:space="preserve">Question 6.4: The provision of goods and services — coverage </w:t>
      </w:r>
    </w:p>
    <w:p w14:paraId="4BD284FC" w14:textId="43B496CD" w:rsidR="00F41119" w:rsidRDefault="00F41119" w:rsidP="00F41119">
      <w:pPr>
        <w:pStyle w:val="NormalText"/>
      </w:pPr>
      <w:r>
        <w:t>What</w:t>
      </w:r>
      <w:r w:rsidR="00F55080">
        <w:t xml:space="preserve"> changes, if any,</w:t>
      </w:r>
      <w:r>
        <w:t xml:space="preserve"> should be made to the definition and coverage of the protected area of “the provision of goods and services”?</w:t>
      </w:r>
    </w:p>
    <w:p w14:paraId="66449C19" w14:textId="77777777" w:rsidR="00F41119" w:rsidRDefault="00F41119" w:rsidP="00F41119">
      <w:pPr>
        <w:pStyle w:val="Heading3"/>
      </w:pPr>
      <w:r>
        <w:t xml:space="preserve">Question 6.5: Superannuation services and insurance exceptions </w:t>
      </w:r>
    </w:p>
    <w:p w14:paraId="71256224" w14:textId="593A268D" w:rsidR="00F41119" w:rsidRDefault="00F41119" w:rsidP="00F41119">
      <w:pPr>
        <w:pStyle w:val="NormalText"/>
      </w:pPr>
      <w:r>
        <w:t>What</w:t>
      </w:r>
      <w:r w:rsidR="00F55080">
        <w:t xml:space="preserve"> changes, if any,</w:t>
      </w:r>
      <w:r>
        <w:t xml:space="preserve"> should be made to the exceptions applying to insurance and superannuation?</w:t>
      </w:r>
    </w:p>
    <w:p w14:paraId="4232F0F8" w14:textId="77777777" w:rsidR="00F41119" w:rsidRDefault="00F41119" w:rsidP="00F41119">
      <w:pPr>
        <w:pStyle w:val="Heading3"/>
      </w:pPr>
      <w:r>
        <w:t xml:space="preserve">Question 6.6: The provision of goods and services — exceptions </w:t>
      </w:r>
    </w:p>
    <w:p w14:paraId="37533788" w14:textId="57CCBA15" w:rsidR="00F41119" w:rsidRDefault="00F41119" w:rsidP="00F41119">
      <w:pPr>
        <w:pStyle w:val="NormalText"/>
      </w:pPr>
      <w:r>
        <w:t>What</w:t>
      </w:r>
      <w:r w:rsidR="00F55080">
        <w:t xml:space="preserve"> changes, if any,</w:t>
      </w:r>
      <w:r>
        <w:t xml:space="preserve"> should be made to the exceptions to sex, age and disability discrimination in relation to the provision of goods and services?</w:t>
      </w:r>
    </w:p>
    <w:p w14:paraId="0E86234B" w14:textId="77777777" w:rsidR="00F41119" w:rsidRDefault="00F41119" w:rsidP="00F41119">
      <w:pPr>
        <w:pStyle w:val="Heading3"/>
      </w:pPr>
      <w:r>
        <w:t xml:space="preserve">Question 6.7: Discrimination in accommodation — coverage   </w:t>
      </w:r>
    </w:p>
    <w:p w14:paraId="4B04A147" w14:textId="2C2BAB02" w:rsidR="00F41119" w:rsidRDefault="00F41119" w:rsidP="00F41119">
      <w:pPr>
        <w:pStyle w:val="NormalText"/>
      </w:pPr>
      <w:r>
        <w:t>What</w:t>
      </w:r>
      <w:r w:rsidR="00F55080">
        <w:t xml:space="preserve"> changes, if any,</w:t>
      </w:r>
      <w:r>
        <w:t xml:space="preserve"> should be made to the definition and coverage of the protected area of “accommodation”?</w:t>
      </w:r>
    </w:p>
    <w:p w14:paraId="0BAC0101" w14:textId="77777777" w:rsidR="00F41119" w:rsidRDefault="00F41119" w:rsidP="00F41119">
      <w:pPr>
        <w:pStyle w:val="Heading3"/>
      </w:pPr>
      <w:r>
        <w:t xml:space="preserve">Question 6.8: Discrimination in accommodation — exceptions   </w:t>
      </w:r>
    </w:p>
    <w:p w14:paraId="60AF3F87" w14:textId="5F21CADE" w:rsidR="00F41119" w:rsidRDefault="00F41119" w:rsidP="00F41119">
      <w:pPr>
        <w:pStyle w:val="NormalText"/>
      </w:pPr>
      <w:r>
        <w:t>What</w:t>
      </w:r>
      <w:r w:rsidR="00F55080">
        <w:t xml:space="preserve"> changes, if any,</w:t>
      </w:r>
      <w:r>
        <w:t xml:space="preserve"> should be made to the exceptions for private households, age-based accommodation and charitable bodies in relation to discrimination in accommodation?</w:t>
      </w:r>
    </w:p>
    <w:p w14:paraId="3E2518C7" w14:textId="77777777" w:rsidR="00F41119" w:rsidRDefault="00F41119" w:rsidP="00F41119">
      <w:pPr>
        <w:pStyle w:val="Heading3"/>
      </w:pPr>
      <w:r>
        <w:t xml:space="preserve">Question 6.9: Discrimination by registered clubs — coverage   </w:t>
      </w:r>
    </w:p>
    <w:p w14:paraId="30345200" w14:textId="3198980F" w:rsidR="00F41119" w:rsidRDefault="00F41119" w:rsidP="00F41119">
      <w:pPr>
        <w:pStyle w:val="NormalText"/>
      </w:pPr>
      <w:r>
        <w:t>What</w:t>
      </w:r>
      <w:r w:rsidR="00F55080">
        <w:t xml:space="preserve"> changes, if any,</w:t>
      </w:r>
      <w:r>
        <w:t xml:space="preserve"> should be made to the definition and coverage of the protected area of “registered clubs”?</w:t>
      </w:r>
    </w:p>
    <w:p w14:paraId="623A9D52" w14:textId="77777777" w:rsidR="00F41119" w:rsidRDefault="00F41119" w:rsidP="00F41119">
      <w:pPr>
        <w:pStyle w:val="Heading3"/>
      </w:pPr>
      <w:r>
        <w:t xml:space="preserve">Question 6.10: Discrimination by registered clubs — exceptions  </w:t>
      </w:r>
    </w:p>
    <w:p w14:paraId="7DB22C06" w14:textId="2E00D92D" w:rsidR="00F41119" w:rsidRDefault="00F41119" w:rsidP="00F41119">
      <w:pPr>
        <w:pStyle w:val="NormalText"/>
      </w:pPr>
      <w:r>
        <w:t>What</w:t>
      </w:r>
      <w:r w:rsidR="00F55080">
        <w:t xml:space="preserve"> changes, if any,</w:t>
      </w:r>
      <w:r>
        <w:t xml:space="preserve"> should be made to the exceptions for registered clubs in relation to sex, race, age and disability discrimination?</w:t>
      </w:r>
    </w:p>
    <w:p w14:paraId="374FEF32" w14:textId="77777777" w:rsidR="00F41119" w:rsidRDefault="00F41119" w:rsidP="00F41119">
      <w:pPr>
        <w:pStyle w:val="Heading3"/>
      </w:pPr>
      <w:r>
        <w:lastRenderedPageBreak/>
        <w:t>Question 6.11: Discrimination based on carer’s responsibilities</w:t>
      </w:r>
    </w:p>
    <w:p w14:paraId="10982550" w14:textId="77777777" w:rsidR="00F41119" w:rsidRDefault="00F41119" w:rsidP="00F41119">
      <w:pPr>
        <w:pStyle w:val="Normalhanging1"/>
        <w:spacing w:before="240"/>
      </w:pPr>
      <w:r>
        <w:t>(1)</w:t>
      </w:r>
      <w:r>
        <w:tab/>
        <w:t xml:space="preserve">Should discrimination based on carer’s responsibilities be prohibited in all protected areas of public life? If not, what areas should apply and why? </w:t>
      </w:r>
    </w:p>
    <w:p w14:paraId="37DC20DD" w14:textId="77777777" w:rsidR="00F41119" w:rsidRDefault="00F41119" w:rsidP="00F41119">
      <w:pPr>
        <w:pStyle w:val="Normalhanging1"/>
      </w:pPr>
      <w:r>
        <w:t>(2)</w:t>
      </w:r>
      <w:r>
        <w:tab/>
        <w:t>In general, should discrimination be prohibited in all protected areas for all protected attributes? Why or why not?</w:t>
      </w:r>
    </w:p>
    <w:p w14:paraId="12E59DF9" w14:textId="77777777" w:rsidR="00F41119" w:rsidRDefault="00F41119" w:rsidP="00F41119">
      <w:pPr>
        <w:pStyle w:val="Heading3"/>
      </w:pPr>
      <w:r>
        <w:t>Question 6.12: Additional areas of public life</w:t>
      </w:r>
    </w:p>
    <w:p w14:paraId="0DEA0B36" w14:textId="77777777" w:rsidR="00F41119" w:rsidRDefault="00F41119" w:rsidP="00F41119">
      <w:pPr>
        <w:pStyle w:val="Normalhanging1"/>
        <w:spacing w:before="240"/>
      </w:pPr>
      <w:r>
        <w:t>(1)</w:t>
      </w:r>
      <w:r>
        <w:tab/>
        <w:t>Should the ADA apply generally “in any area of public life”? Why or why not?</w:t>
      </w:r>
    </w:p>
    <w:p w14:paraId="66BCE178" w14:textId="77777777" w:rsidR="00F41119" w:rsidRDefault="00F41119" w:rsidP="00F41119">
      <w:pPr>
        <w:pStyle w:val="Normalhanging1"/>
      </w:pPr>
      <w:r>
        <w:t>(2)</w:t>
      </w:r>
      <w:r>
        <w:tab/>
        <w:t>Should the ADA specifically cover any additional protected areas? Why or why not? If yes, what area(s) should be added and why?</w:t>
      </w:r>
    </w:p>
    <w:p w14:paraId="7722A40A" w14:textId="77777777" w:rsidR="00F41119" w:rsidRDefault="00F41119" w:rsidP="008F1E1A">
      <w:pPr>
        <w:pStyle w:val="Heading2"/>
      </w:pPr>
      <w:bookmarkStart w:id="18" w:name="_Toc196826786"/>
      <w:r>
        <w:t>7. Wider exceptions</w:t>
      </w:r>
      <w:bookmarkEnd w:id="18"/>
    </w:p>
    <w:p w14:paraId="06FBFF9C" w14:textId="77777777" w:rsidR="00F41119" w:rsidRDefault="00F41119" w:rsidP="00F41119">
      <w:pPr>
        <w:pStyle w:val="Heading3"/>
      </w:pPr>
      <w:r>
        <w:t>Question 7.1: Religious personnel exceptions</w:t>
      </w:r>
    </w:p>
    <w:p w14:paraId="0C89AD69" w14:textId="6428D57F" w:rsidR="00F41119" w:rsidRDefault="00F41119" w:rsidP="00F41119">
      <w:pPr>
        <w:pStyle w:val="Normalhanging1"/>
        <w:spacing w:before="240"/>
      </w:pPr>
      <w:r>
        <w:t>(1)</w:t>
      </w:r>
      <w:r>
        <w:tab/>
        <w:t xml:space="preserve">Should the ADA provide exceptions for: </w:t>
      </w:r>
    </w:p>
    <w:p w14:paraId="18CE4F4B" w14:textId="0D93679E" w:rsidR="00F41119" w:rsidRDefault="00F41119" w:rsidP="00F41119">
      <w:pPr>
        <w:pStyle w:val="Normalhanginga"/>
      </w:pPr>
      <w:r>
        <w:t>(a)</w:t>
      </w:r>
      <w:r>
        <w:tab/>
        <w:t xml:space="preserve">the training and appointment of members of religious orders? </w:t>
      </w:r>
    </w:p>
    <w:p w14:paraId="3DC4A1ED" w14:textId="6AFAE340" w:rsidR="00F41119" w:rsidRDefault="00F41119" w:rsidP="00F41119">
      <w:pPr>
        <w:pStyle w:val="Normalhanginga"/>
      </w:pPr>
      <w:r>
        <w:t>(b)</w:t>
      </w:r>
      <w:r>
        <w:tab/>
        <w:t>“the appointment of any other person in any capacity by a body established to propagate religion”?</w:t>
      </w:r>
    </w:p>
    <w:p w14:paraId="3B84C4FC" w14:textId="35ECF9B3" w:rsidR="00F41119" w:rsidRDefault="00F41119" w:rsidP="00F41119">
      <w:pPr>
        <w:pStyle w:val="Normalhanging1"/>
      </w:pPr>
      <w:r>
        <w:t>(2)</w:t>
      </w:r>
      <w:r>
        <w:tab/>
        <w:t>If so, what should these exceptions cover and when should they apply?</w:t>
      </w:r>
    </w:p>
    <w:p w14:paraId="6F85C0C0" w14:textId="77777777" w:rsidR="00F41119" w:rsidRDefault="00F41119" w:rsidP="00F41119">
      <w:pPr>
        <w:pStyle w:val="Heading3"/>
      </w:pPr>
      <w:r>
        <w:t>Question 7.2: Other acts and practices of religious bodies</w:t>
      </w:r>
    </w:p>
    <w:p w14:paraId="79407158" w14:textId="77777777" w:rsidR="00F41119" w:rsidRDefault="00F41119" w:rsidP="00F41119">
      <w:pPr>
        <w:pStyle w:val="NormalText"/>
      </w:pPr>
      <w:r>
        <w:t xml:space="preserve">Should the ADA provide an exception for other acts or practices of religious bodies? If so, what should it cover and when should it apply? </w:t>
      </w:r>
      <w:r>
        <w:tab/>
      </w:r>
    </w:p>
    <w:p w14:paraId="384936E1" w14:textId="77777777" w:rsidR="00F41119" w:rsidRDefault="00F41119" w:rsidP="00F41119">
      <w:pPr>
        <w:pStyle w:val="Heading3"/>
      </w:pPr>
      <w:r>
        <w:t>Question 7.3: Exceptions for other forms of unlawful conduct</w:t>
      </w:r>
    </w:p>
    <w:p w14:paraId="6BCB1D98" w14:textId="77777777" w:rsidR="00F41119" w:rsidRDefault="00F41119" w:rsidP="00F41119">
      <w:pPr>
        <w:pStyle w:val="NormalText"/>
      </w:pPr>
      <w:r>
        <w:t>Should the general exceptions for religious bodies continue to apply across the ADA, including to all forms of unlawful conduct under the Act?</w:t>
      </w:r>
    </w:p>
    <w:p w14:paraId="6A3B3179" w14:textId="77777777" w:rsidR="00F41119" w:rsidRDefault="00F41119" w:rsidP="00F41119">
      <w:pPr>
        <w:pStyle w:val="Heading3"/>
      </w:pPr>
      <w:r>
        <w:t xml:space="preserve">Question 7.4: Exceptions for providers of adoption services </w:t>
      </w:r>
    </w:p>
    <w:p w14:paraId="7BE5E677" w14:textId="77777777" w:rsidR="00F41119" w:rsidRDefault="00F41119" w:rsidP="00F41119">
      <w:pPr>
        <w:pStyle w:val="NormalText"/>
      </w:pPr>
      <w:r>
        <w:t>Should the ADA have a specific exception for providers of adoption services? If so, what should it cover and when should it apply?</w:t>
      </w:r>
    </w:p>
    <w:p w14:paraId="3DC75892" w14:textId="77777777" w:rsidR="00F41119" w:rsidRDefault="00F41119" w:rsidP="00F41119">
      <w:pPr>
        <w:pStyle w:val="Heading3"/>
      </w:pPr>
      <w:r>
        <w:t>Question 7.5: Private educational authorities employment exceptions</w:t>
      </w:r>
    </w:p>
    <w:p w14:paraId="239D9DE6" w14:textId="77777777" w:rsidR="00F41119" w:rsidRDefault="00F41119" w:rsidP="00F41119">
      <w:pPr>
        <w:pStyle w:val="Normalhanging1"/>
        <w:spacing w:before="240"/>
      </w:pPr>
      <w:r>
        <w:t xml:space="preserve">(1) </w:t>
      </w:r>
      <w:r>
        <w:tab/>
        <w:t xml:space="preserve">Should the ADA contain exceptions for private educational authorities in employment? Should these be limited to religious educational authorities? </w:t>
      </w:r>
    </w:p>
    <w:p w14:paraId="70BF579E" w14:textId="5F340DC9" w:rsidR="00F41119" w:rsidRDefault="00F41119" w:rsidP="00F41119">
      <w:pPr>
        <w:pStyle w:val="Normalhanging1"/>
      </w:pPr>
      <w:r>
        <w:t>(2)</w:t>
      </w:r>
      <w:r>
        <w:tab/>
        <w:t>If you think the Act should provide exceptions in this area:</w:t>
      </w:r>
    </w:p>
    <w:p w14:paraId="77914B25" w14:textId="6B01B5FA" w:rsidR="00F41119" w:rsidRDefault="00F41119" w:rsidP="00F41119">
      <w:pPr>
        <w:pStyle w:val="Normalhanginga"/>
      </w:pPr>
      <w:r>
        <w:t xml:space="preserve">(a) </w:t>
      </w:r>
      <w:r>
        <w:tab/>
        <w:t xml:space="preserve">what attributes should the exceptions apply to? </w:t>
      </w:r>
    </w:p>
    <w:p w14:paraId="1BFCC94C" w14:textId="657CE97D" w:rsidR="00F41119" w:rsidRDefault="00F41119" w:rsidP="00F41119">
      <w:pPr>
        <w:pStyle w:val="Normalhanginga"/>
      </w:pPr>
      <w:r>
        <w:t>(b)</w:t>
      </w:r>
      <w:r>
        <w:tab/>
        <w:t>what</w:t>
      </w:r>
      <w:r w:rsidR="00F55080">
        <w:t xml:space="preserve"> requirements, if any,</w:t>
      </w:r>
      <w:r>
        <w:t xml:space="preserve"> should duty holders meet before an exception applies?</w:t>
      </w:r>
    </w:p>
    <w:p w14:paraId="4BC33004" w14:textId="77777777" w:rsidR="00F41119" w:rsidRDefault="00F41119" w:rsidP="00F41119">
      <w:pPr>
        <w:pStyle w:val="Heading3"/>
      </w:pPr>
      <w:r>
        <w:lastRenderedPageBreak/>
        <w:t>Question 7.6: Discrimination against students and prospective students</w:t>
      </w:r>
    </w:p>
    <w:p w14:paraId="1A15E744" w14:textId="77777777" w:rsidR="00F41119" w:rsidRDefault="00F41119" w:rsidP="00F41119">
      <w:pPr>
        <w:pStyle w:val="Normalhanging1"/>
        <w:spacing w:before="240"/>
      </w:pPr>
      <w:r>
        <w:t xml:space="preserve">(1) </w:t>
      </w:r>
      <w:r>
        <w:tab/>
        <w:t xml:space="preserve">Should the ADA contain exceptions for private educational authorities in education? Should these be limited to religious educational authorities? </w:t>
      </w:r>
    </w:p>
    <w:p w14:paraId="5555DF10" w14:textId="77777777" w:rsidR="00F41119" w:rsidRDefault="00F41119" w:rsidP="00F41119">
      <w:pPr>
        <w:pStyle w:val="Normalhanging1"/>
      </w:pPr>
      <w:r>
        <w:t xml:space="preserve">(2) </w:t>
      </w:r>
      <w:r>
        <w:tab/>
        <w:t>If you think it is necessary for the ADA to provide exceptions in this area:</w:t>
      </w:r>
    </w:p>
    <w:p w14:paraId="5A5B4DF7" w14:textId="278D7372" w:rsidR="00F41119" w:rsidRDefault="00F41119" w:rsidP="00F41119">
      <w:pPr>
        <w:pStyle w:val="Normalhanginga"/>
      </w:pPr>
      <w:r>
        <w:t xml:space="preserve">(a) </w:t>
      </w:r>
      <w:r>
        <w:tab/>
        <w:t xml:space="preserve">what attributes should the exceptions apply to? </w:t>
      </w:r>
    </w:p>
    <w:p w14:paraId="7BCADECF" w14:textId="7892B3C7" w:rsidR="00F41119" w:rsidRDefault="00F41119" w:rsidP="00F41119">
      <w:pPr>
        <w:pStyle w:val="Normalhanginga"/>
      </w:pPr>
      <w:r>
        <w:t>(b)</w:t>
      </w:r>
      <w:r>
        <w:tab/>
        <w:t>should they apply to prospective students, existing students, or both?</w:t>
      </w:r>
    </w:p>
    <w:p w14:paraId="30D2A27C" w14:textId="66747C03" w:rsidR="00F41119" w:rsidRDefault="00F41119" w:rsidP="00F41119">
      <w:pPr>
        <w:pStyle w:val="Normalhanginga"/>
      </w:pPr>
      <w:r>
        <w:t>(c)</w:t>
      </w:r>
      <w:r>
        <w:tab/>
        <w:t>what</w:t>
      </w:r>
      <w:r w:rsidR="00F55080">
        <w:t xml:space="preserve"> requirements, if any,</w:t>
      </w:r>
      <w:r>
        <w:t xml:space="preserve"> should duty holders meet before an exception applies?</w:t>
      </w:r>
    </w:p>
    <w:p w14:paraId="1BB04F7B" w14:textId="77777777" w:rsidR="00F41119" w:rsidRDefault="00F41119" w:rsidP="00F41119">
      <w:pPr>
        <w:pStyle w:val="Heading3"/>
      </w:pPr>
      <w:r>
        <w:t xml:space="preserve">Question 7.7: Exceptions relating to sport </w:t>
      </w:r>
    </w:p>
    <w:p w14:paraId="55E5F2C1" w14:textId="77777777" w:rsidR="00F41119" w:rsidRDefault="00F41119" w:rsidP="00F41119">
      <w:pPr>
        <w:pStyle w:val="NormalText"/>
      </w:pPr>
      <w:r>
        <w:t>Should the ADA provide exceptions to discrimination or vilification in sport? If so, what should they cover and when should they apply?</w:t>
      </w:r>
    </w:p>
    <w:p w14:paraId="719EC47B" w14:textId="77777777" w:rsidR="00F41119" w:rsidRDefault="00F41119" w:rsidP="00F41119">
      <w:pPr>
        <w:pStyle w:val="Heading3"/>
      </w:pPr>
      <w:r>
        <w:t>Question 7.8: The charities exception</w:t>
      </w:r>
    </w:p>
    <w:p w14:paraId="72E491E0" w14:textId="77777777" w:rsidR="00F41119" w:rsidRDefault="00F41119" w:rsidP="00F41119">
      <w:pPr>
        <w:pStyle w:val="NormalText"/>
      </w:pPr>
      <w:r>
        <w:t>Should the ADA provide exceptions relating to charitable benefits? If so, what should they cover and when should they apply?</w:t>
      </w:r>
    </w:p>
    <w:p w14:paraId="45BD2D7E" w14:textId="77777777" w:rsidR="00F41119" w:rsidRDefault="00F41119" w:rsidP="00F41119">
      <w:pPr>
        <w:pStyle w:val="Heading3"/>
      </w:pPr>
      <w:r>
        <w:t>Question 7.9: Voluntary bodies exception</w:t>
      </w:r>
    </w:p>
    <w:p w14:paraId="05872301" w14:textId="77777777" w:rsidR="00F41119" w:rsidRDefault="00F41119" w:rsidP="00F41119">
      <w:pPr>
        <w:pStyle w:val="NormalText"/>
      </w:pPr>
      <w:r>
        <w:t>Should the ADA provide an exception for voluntary bodies? If so, what should it cover and when should it apply?</w:t>
      </w:r>
    </w:p>
    <w:p w14:paraId="2C5683E1" w14:textId="77777777" w:rsidR="00F41119" w:rsidRDefault="00F41119" w:rsidP="00F41119">
      <w:pPr>
        <w:pStyle w:val="Heading3"/>
      </w:pPr>
      <w:r>
        <w:t xml:space="preserve">Question 7.10: Aged care accommodation providers exception </w:t>
      </w:r>
    </w:p>
    <w:p w14:paraId="0E0E1027" w14:textId="77777777" w:rsidR="00F41119" w:rsidRDefault="00F41119" w:rsidP="00F41119">
      <w:pPr>
        <w:pStyle w:val="NormalText"/>
      </w:pPr>
      <w:r>
        <w:t>Should the ADA provide an exception for aged care accommodation providers? If so, what should it cover and when should it apply?</w:t>
      </w:r>
    </w:p>
    <w:p w14:paraId="4C8E7199" w14:textId="77777777" w:rsidR="00F41119" w:rsidRDefault="00F41119" w:rsidP="00F41119">
      <w:pPr>
        <w:pStyle w:val="Heading3"/>
      </w:pPr>
      <w:r>
        <w:t>Question 7.11: The statutory authorities exception</w:t>
      </w:r>
    </w:p>
    <w:p w14:paraId="0FA8D4B9" w14:textId="77777777" w:rsidR="00F41119" w:rsidRDefault="00F41119" w:rsidP="00F41119">
      <w:pPr>
        <w:pStyle w:val="NormalText"/>
      </w:pPr>
      <w:r>
        <w:t>Should the ADA provide an exception for acts done under statutory authority? If so, what should it cover and when should it apply?</w:t>
      </w:r>
    </w:p>
    <w:p w14:paraId="5AF58463" w14:textId="77777777" w:rsidR="00F41119" w:rsidRDefault="00F41119" w:rsidP="00F41119">
      <w:pPr>
        <w:pStyle w:val="Heading2"/>
      </w:pPr>
      <w:bookmarkStart w:id="19" w:name="_Toc196826787"/>
      <w:r>
        <w:t xml:space="preserve">8. </w:t>
      </w:r>
      <w:r w:rsidRPr="00810C14">
        <w:t>Civil protections against vilification</w:t>
      </w:r>
      <w:bookmarkEnd w:id="19"/>
      <w:r w:rsidRPr="00810C14">
        <w:t xml:space="preserve"> </w:t>
      </w:r>
      <w:r>
        <w:t xml:space="preserve"> </w:t>
      </w:r>
    </w:p>
    <w:p w14:paraId="17E4B93C" w14:textId="77777777" w:rsidR="00F41119" w:rsidRDefault="00F41119" w:rsidP="00F41119">
      <w:pPr>
        <w:pStyle w:val="Heading3"/>
      </w:pPr>
      <w:r w:rsidRPr="004E00F5">
        <w:t xml:space="preserve">Question 8.1: Protected attributes  </w:t>
      </w:r>
    </w:p>
    <w:p w14:paraId="3CA30285" w14:textId="7F9BDC5D" w:rsidR="00F41119" w:rsidRDefault="00F41119" w:rsidP="00F41119">
      <w:pPr>
        <w:pStyle w:val="Normalhanging1"/>
        <w:spacing w:before="240"/>
      </w:pPr>
      <w:r>
        <w:t xml:space="preserve">(1) </w:t>
      </w:r>
      <w:r>
        <w:tab/>
        <w:t>What</w:t>
      </w:r>
      <w:r w:rsidR="00F55080">
        <w:t xml:space="preserve"> changes, if any,</w:t>
      </w:r>
      <w:r>
        <w:t xml:space="preserve"> should be made to the way the ADA expresses and defines the attributes currently protected against vilification?</w:t>
      </w:r>
    </w:p>
    <w:p w14:paraId="54A48C58" w14:textId="77777777" w:rsidR="00F41119" w:rsidRDefault="00F41119" w:rsidP="00F41119">
      <w:pPr>
        <w:pStyle w:val="Normalhanging1"/>
      </w:pPr>
      <w:r>
        <w:t>(2)</w:t>
      </w:r>
      <w:r>
        <w:tab/>
        <w:t>Should the ADA protect against vilification based on a wider range of attributes? If so, which attributes should be covered and how should these be defined?</w:t>
      </w:r>
    </w:p>
    <w:p w14:paraId="6C7913B4" w14:textId="77777777" w:rsidR="00A25619" w:rsidRDefault="00A25619" w:rsidP="00F41119">
      <w:pPr>
        <w:pStyle w:val="Heading3"/>
      </w:pPr>
      <w:r>
        <w:br w:type="page"/>
      </w:r>
    </w:p>
    <w:p w14:paraId="47A8F89D" w14:textId="5131543A" w:rsidR="00F41119" w:rsidRDefault="00F41119" w:rsidP="00F41119">
      <w:pPr>
        <w:pStyle w:val="Heading3"/>
      </w:pPr>
      <w:r>
        <w:lastRenderedPageBreak/>
        <w:t>Question 8.2: The test for vilification</w:t>
      </w:r>
    </w:p>
    <w:p w14:paraId="38568769" w14:textId="77777777" w:rsidR="00F41119" w:rsidRDefault="00F41119" w:rsidP="00F41119">
      <w:pPr>
        <w:pStyle w:val="Normalhanging1"/>
        <w:spacing w:before="240"/>
      </w:pPr>
      <w:r>
        <w:t xml:space="preserve">(1) </w:t>
      </w:r>
      <w:r>
        <w:tab/>
        <w:t xml:space="preserve">Should NSW adopt a “harm-based” test for civil vilification? If so, should this replace or supplement the existing “incitement-based” test? </w:t>
      </w:r>
    </w:p>
    <w:p w14:paraId="6A95A1F5" w14:textId="2B99E77B" w:rsidR="00F41119" w:rsidRDefault="00F41119" w:rsidP="00F41119">
      <w:pPr>
        <w:pStyle w:val="Normalhanging1"/>
      </w:pPr>
      <w:r>
        <w:t xml:space="preserve">(2) </w:t>
      </w:r>
      <w:r>
        <w:tab/>
        <w:t>What, if any, other changes should be made to the incitement-based test for civil vilification?</w:t>
      </w:r>
    </w:p>
    <w:p w14:paraId="0973138B" w14:textId="77777777" w:rsidR="00F41119" w:rsidRDefault="00F41119" w:rsidP="00F41119">
      <w:pPr>
        <w:pStyle w:val="Heading3"/>
      </w:pPr>
      <w:r>
        <w:t>Question 8.3: The definition of “public act”</w:t>
      </w:r>
    </w:p>
    <w:p w14:paraId="1EC15F50" w14:textId="64F449E6" w:rsidR="00F41119" w:rsidRDefault="00F41119" w:rsidP="00F41119">
      <w:pPr>
        <w:pStyle w:val="NormalText"/>
      </w:pPr>
      <w:r>
        <w:t>What</w:t>
      </w:r>
      <w:r w:rsidR="00F55080">
        <w:t xml:space="preserve"> changes, if any,</w:t>
      </w:r>
      <w:r>
        <w:t xml:space="preserve"> should be made to the definition of “public act” in the test for vilification in the ADA?</w:t>
      </w:r>
    </w:p>
    <w:p w14:paraId="7B725328" w14:textId="77777777" w:rsidR="00F41119" w:rsidRDefault="00F41119" w:rsidP="00F41119">
      <w:pPr>
        <w:pStyle w:val="Heading3"/>
      </w:pPr>
      <w:r>
        <w:t xml:space="preserve">Question 8.4: Exceptions </w:t>
      </w:r>
    </w:p>
    <w:p w14:paraId="6BED103A" w14:textId="5B6C3D35" w:rsidR="00F41119" w:rsidRDefault="00F41119" w:rsidP="00F41119">
      <w:pPr>
        <w:pStyle w:val="NormalText"/>
      </w:pPr>
      <w:r>
        <w:t>What</w:t>
      </w:r>
      <w:r w:rsidR="00F55080">
        <w:t xml:space="preserve"> changes, if any,</w:t>
      </w:r>
      <w:r>
        <w:t xml:space="preserve"> should be made to the exceptions to the vilification protections in the ADA?</w:t>
      </w:r>
    </w:p>
    <w:p w14:paraId="00947417" w14:textId="77777777" w:rsidR="00F41119" w:rsidRDefault="00F41119" w:rsidP="00F41119">
      <w:pPr>
        <w:pStyle w:val="Heading3"/>
      </w:pPr>
      <w:r>
        <w:t xml:space="preserve">Question 8.5: Religious vilification  </w:t>
      </w:r>
    </w:p>
    <w:p w14:paraId="5A3642F0" w14:textId="3BC22E85" w:rsidR="00F41119" w:rsidRDefault="00F41119" w:rsidP="00F41119">
      <w:pPr>
        <w:pStyle w:val="NormalText"/>
      </w:pPr>
      <w:r>
        <w:t>What</w:t>
      </w:r>
      <w:r w:rsidR="00F55080">
        <w:t xml:space="preserve"> changes, if any,</w:t>
      </w:r>
      <w:r>
        <w:t xml:space="preserve"> should be made to the protection against religious vilification in the ADA?</w:t>
      </w:r>
    </w:p>
    <w:p w14:paraId="6EB2CDF3" w14:textId="77777777" w:rsidR="00F41119" w:rsidRPr="00B52C27" w:rsidRDefault="00F41119" w:rsidP="00F41119">
      <w:pPr>
        <w:pStyle w:val="Heading2"/>
      </w:pPr>
      <w:bookmarkStart w:id="20" w:name="_Toc196826788"/>
      <w:r w:rsidRPr="00B52C27">
        <w:t>9. Harassment</w:t>
      </w:r>
      <w:bookmarkEnd w:id="20"/>
    </w:p>
    <w:p w14:paraId="5C93C3A2" w14:textId="77777777" w:rsidR="00F41119" w:rsidRDefault="00F41119" w:rsidP="00F41119">
      <w:pPr>
        <w:pStyle w:val="Heading3"/>
      </w:pPr>
      <w:r>
        <w:t xml:space="preserve">Question 9.1: The definition of sexual harassment </w:t>
      </w:r>
    </w:p>
    <w:p w14:paraId="2BC50E78" w14:textId="77777777" w:rsidR="00F41119" w:rsidRDefault="00F41119" w:rsidP="00F41119">
      <w:pPr>
        <w:pStyle w:val="Normalhanging1"/>
        <w:spacing w:before="240"/>
      </w:pPr>
      <w:r>
        <w:t>(1)</w:t>
      </w:r>
      <w:r>
        <w:tab/>
        <w:t xml:space="preserve">Should the reasonable person test be expanded to include the “possibility” of offence, intimidation or humiliation? Why or why not? </w:t>
      </w:r>
    </w:p>
    <w:p w14:paraId="41C8EBA8" w14:textId="77777777" w:rsidR="00F41119" w:rsidRDefault="00F41119" w:rsidP="00F41119">
      <w:pPr>
        <w:pStyle w:val="Normalhanging1"/>
      </w:pPr>
      <w:r>
        <w:t>(2)</w:t>
      </w:r>
      <w:r>
        <w:tab/>
        <w:t>Should the ADA expressly require consideration of an individual’s attributes, or the relationship between the parties, in determining whether a person would be offended, humiliated or intimidated by the conduct? Why or why not?</w:t>
      </w:r>
    </w:p>
    <w:p w14:paraId="5405729B" w14:textId="77777777" w:rsidR="00F41119" w:rsidRDefault="00F41119" w:rsidP="00F41119">
      <w:pPr>
        <w:pStyle w:val="Normalhanging1"/>
      </w:pPr>
      <w:r>
        <w:t>(3)</w:t>
      </w:r>
      <w:r>
        <w:tab/>
        <w:t>Does the ADA need to define “conduct of a sexual nature”? Why or why not?</w:t>
      </w:r>
    </w:p>
    <w:p w14:paraId="700A97B2" w14:textId="77777777" w:rsidR="00F41119" w:rsidRDefault="00F41119" w:rsidP="00F41119">
      <w:pPr>
        <w:pStyle w:val="Heading3"/>
      </w:pPr>
      <w:r>
        <w:t>Question 9.2: Other sex-based conduct</w:t>
      </w:r>
    </w:p>
    <w:p w14:paraId="616A7D60" w14:textId="77777777" w:rsidR="00F41119" w:rsidRDefault="00F41119" w:rsidP="00F41119">
      <w:pPr>
        <w:pStyle w:val="Normalhanging1"/>
        <w:spacing w:before="240"/>
      </w:pPr>
      <w:r>
        <w:t>(1)</w:t>
      </w:r>
      <w:r>
        <w:tab/>
        <w:t>Should harassment on the ground of sex be expressly prohibited by the ADA? Why or why not?</w:t>
      </w:r>
    </w:p>
    <w:p w14:paraId="4D58B380" w14:textId="77777777" w:rsidR="00F41119" w:rsidRDefault="00F41119" w:rsidP="00F41119">
      <w:pPr>
        <w:pStyle w:val="Normalhanging1"/>
      </w:pPr>
      <w:r>
        <w:t>(2)</w:t>
      </w:r>
      <w:r>
        <w:tab/>
        <w:t xml:space="preserve">Should the ADA prohibit workplace environments that are hostile on the ground of sex? Why or why not? </w:t>
      </w:r>
    </w:p>
    <w:p w14:paraId="5EEB175B" w14:textId="77777777" w:rsidR="00F41119" w:rsidRDefault="00F41119" w:rsidP="00F41119">
      <w:pPr>
        <w:pStyle w:val="Normalhanging1"/>
      </w:pPr>
      <w:r>
        <w:t>(3)</w:t>
      </w:r>
      <w:r>
        <w:tab/>
        <w:t>Are there any other options or models to prohibit conduct which may fall in the gap between sex discrimination and sexual harassment? What could be the benefits of these options?</w:t>
      </w:r>
    </w:p>
    <w:p w14:paraId="7BEBE070" w14:textId="77777777" w:rsidR="00F41119" w:rsidRDefault="00F41119" w:rsidP="00F41119">
      <w:pPr>
        <w:pStyle w:val="Heading3"/>
      </w:pPr>
      <w:r>
        <w:t xml:space="preserve">Question 9.3: Sexual harassment in the workplace </w:t>
      </w:r>
    </w:p>
    <w:p w14:paraId="230E157C" w14:textId="77777777" w:rsidR="00F41119" w:rsidRDefault="00F41119" w:rsidP="00F41119">
      <w:pPr>
        <w:pStyle w:val="NormalText"/>
      </w:pPr>
      <w:r>
        <w:t xml:space="preserve">Should the ADA adopt the </w:t>
      </w:r>
      <w:r w:rsidRPr="00266A27">
        <w:rPr>
          <w:i/>
          <w:iCs/>
        </w:rPr>
        <w:t>Sex Discrimination Act</w:t>
      </w:r>
      <w:r>
        <w:t>’s approach of prohibiting sexual harassment in connection with someone’s status as a worker or person conducting a business or undertaking? Why or why not?</w:t>
      </w:r>
    </w:p>
    <w:p w14:paraId="6E5B05FE" w14:textId="77777777" w:rsidR="00F41119" w:rsidRDefault="00F41119" w:rsidP="00F41119">
      <w:pPr>
        <w:pStyle w:val="Heading3"/>
      </w:pPr>
      <w:r>
        <w:lastRenderedPageBreak/>
        <w:t>Question 9.4: Workplace-related laws regulating sexual harassment</w:t>
      </w:r>
    </w:p>
    <w:p w14:paraId="3501DA35" w14:textId="77777777" w:rsidR="00F41119" w:rsidRDefault="00F41119" w:rsidP="00F41119">
      <w:pPr>
        <w:pStyle w:val="Normalhanging1"/>
        <w:spacing w:before="240"/>
      </w:pPr>
      <w:r>
        <w:t>(1)</w:t>
      </w:r>
      <w:r>
        <w:tab/>
        <w:t xml:space="preserve">Are workplace-related sexual harassment laws and the ADA currently working well together, in terms of the definitions of sexual harassment? </w:t>
      </w:r>
    </w:p>
    <w:p w14:paraId="231D03B0" w14:textId="77777777" w:rsidR="00F41119" w:rsidRDefault="00F41119" w:rsidP="00F41119">
      <w:pPr>
        <w:pStyle w:val="Normalhanging1"/>
      </w:pPr>
      <w:r>
        <w:t>(2)</w:t>
      </w:r>
      <w:r>
        <w:tab/>
        <w:t>Should the ADA and workplace-related sexual harassment laws be more aligned?</w:t>
      </w:r>
    </w:p>
    <w:p w14:paraId="2B234803" w14:textId="77777777" w:rsidR="00F41119" w:rsidRDefault="00F41119" w:rsidP="00F41119">
      <w:pPr>
        <w:pStyle w:val="Heading3"/>
      </w:pPr>
      <w:r>
        <w:t>Question 9.5: Expanding the areas of life where sexual harassment is prohibited</w:t>
      </w:r>
    </w:p>
    <w:p w14:paraId="038E631A" w14:textId="77777777" w:rsidR="00F41119" w:rsidRDefault="00F41119" w:rsidP="00F41119">
      <w:pPr>
        <w:pStyle w:val="Normalhanging1"/>
        <w:spacing w:before="240"/>
      </w:pPr>
      <w:r>
        <w:t>(1)</w:t>
      </w:r>
      <w:r>
        <w:tab/>
        <w:t>Should the ADA continue to limit the areas of life where sexual harassment is unlawful? Why or why not?</w:t>
      </w:r>
    </w:p>
    <w:p w14:paraId="087C7EEB" w14:textId="380A79C5" w:rsidR="00F41119" w:rsidRDefault="00F41119" w:rsidP="00F41119">
      <w:pPr>
        <w:pStyle w:val="Normalhanging1"/>
      </w:pPr>
      <w:r>
        <w:t>(2)</w:t>
      </w:r>
      <w:r>
        <w:tab/>
      </w:r>
      <w:r w:rsidR="007A065B">
        <w:t xml:space="preserve">Should </w:t>
      </w:r>
      <w:r>
        <w:t xml:space="preserve">sexual harassment </w:t>
      </w:r>
      <w:r w:rsidR="007A065B">
        <w:t>be</w:t>
      </w:r>
      <w:r w:rsidR="003C68D5">
        <w:t xml:space="preserve"> </w:t>
      </w:r>
      <w:r>
        <w:t>unlawful</w:t>
      </w:r>
      <w:r w:rsidR="007A065B">
        <w:t xml:space="preserve"> in other areas of life</w:t>
      </w:r>
      <w:r>
        <w:t>? For example:</w:t>
      </w:r>
    </w:p>
    <w:p w14:paraId="2B1D9FC4" w14:textId="5F5AC291" w:rsidR="00F41119" w:rsidRDefault="00F41119" w:rsidP="00F41119">
      <w:pPr>
        <w:pStyle w:val="Normalhanginga"/>
      </w:pPr>
      <w:r>
        <w:t xml:space="preserve">(a) </w:t>
      </w:r>
      <w:r>
        <w:tab/>
        <w:t>areas of life that are protected from discrimination</w:t>
      </w:r>
    </w:p>
    <w:p w14:paraId="5566A980" w14:textId="024CF409" w:rsidR="00EF3256" w:rsidRDefault="00F41119" w:rsidP="00F41119">
      <w:pPr>
        <w:pStyle w:val="Normalhanginga"/>
      </w:pPr>
      <w:r>
        <w:t>(b)</w:t>
      </w:r>
      <w:r>
        <w:tab/>
      </w:r>
      <w:r w:rsidR="00694105">
        <w:t xml:space="preserve">all </w:t>
      </w:r>
      <w:r>
        <w:t>areas of public life</w:t>
      </w:r>
      <w:r w:rsidR="00EF3256">
        <w:t>, or</w:t>
      </w:r>
    </w:p>
    <w:p w14:paraId="2A86E3FE" w14:textId="2768124B" w:rsidR="00F41119" w:rsidRDefault="00EF3256" w:rsidP="00F41119">
      <w:pPr>
        <w:pStyle w:val="Normalhanginga"/>
      </w:pPr>
      <w:r>
        <w:t xml:space="preserve">(c) </w:t>
      </w:r>
      <w:r>
        <w:tab/>
        <w:t>any area of life, public or private?</w:t>
      </w:r>
    </w:p>
    <w:p w14:paraId="13E54D2F" w14:textId="77777777" w:rsidR="00F41119" w:rsidRDefault="00F41119" w:rsidP="00F41119">
      <w:pPr>
        <w:pStyle w:val="Heading3"/>
      </w:pPr>
      <w:r>
        <w:t>Question 9.6: The private accommodation exception</w:t>
      </w:r>
    </w:p>
    <w:p w14:paraId="5ECEC99B" w14:textId="77777777" w:rsidR="00F41119" w:rsidRDefault="00F41119" w:rsidP="00F41119">
      <w:pPr>
        <w:pStyle w:val="NormalText"/>
      </w:pPr>
      <w:r>
        <w:t>Should sexual harassment be prohibited in private accommodation? Why or why not? If an exception for private accommodation is required, how wide should it be?</w:t>
      </w:r>
    </w:p>
    <w:p w14:paraId="3E192EBA" w14:textId="77777777" w:rsidR="00F41119" w:rsidRDefault="00F41119" w:rsidP="00F41119">
      <w:pPr>
        <w:pStyle w:val="Heading3"/>
      </w:pPr>
      <w:r>
        <w:t xml:space="preserve">Question 9.7: </w:t>
      </w:r>
      <w:r w:rsidRPr="0095518B">
        <w:t>Attribute-based harassment</w:t>
      </w:r>
    </w:p>
    <w:p w14:paraId="6722733B" w14:textId="77777777" w:rsidR="00F41119" w:rsidRPr="0095518B" w:rsidRDefault="00F41119" w:rsidP="00F41119">
      <w:pPr>
        <w:pStyle w:val="NormalText"/>
      </w:pPr>
      <w:r w:rsidRPr="0095518B">
        <w:t>If the ADA was to prohibit attribute-based harassment, which attributes and areas should it cover?</w:t>
      </w:r>
    </w:p>
    <w:p w14:paraId="2FAB7A39" w14:textId="77777777" w:rsidR="00F41119" w:rsidRDefault="00F41119" w:rsidP="00F41119">
      <w:pPr>
        <w:pStyle w:val="Heading2"/>
      </w:pPr>
      <w:bookmarkStart w:id="21" w:name="_Toc196826789"/>
      <w:r w:rsidRPr="00B52C27">
        <w:t>10. Other unlawful acts</w:t>
      </w:r>
      <w:r>
        <w:t xml:space="preserve"> and liability</w:t>
      </w:r>
      <w:bookmarkEnd w:id="21"/>
      <w:r>
        <w:t xml:space="preserve"> </w:t>
      </w:r>
    </w:p>
    <w:p w14:paraId="607CA3BD" w14:textId="77777777" w:rsidR="00F41119" w:rsidRDefault="00F41119" w:rsidP="00F41119">
      <w:pPr>
        <w:pStyle w:val="Heading3"/>
      </w:pPr>
      <w:r>
        <w:t>Question 10.1: Victimisation</w:t>
      </w:r>
    </w:p>
    <w:p w14:paraId="28A26AFE" w14:textId="77777777" w:rsidR="00F41119" w:rsidRDefault="00F41119" w:rsidP="00F41119">
      <w:pPr>
        <w:pStyle w:val="Normalhanging1"/>
        <w:spacing w:before="240"/>
      </w:pPr>
      <w:r>
        <w:t>(1)</w:t>
      </w:r>
      <w:r>
        <w:tab/>
        <w:t>Should the prohibition of victimisation in the ADA expressly extend to situations where a person threatens to victimise someone? Why or why not?</w:t>
      </w:r>
    </w:p>
    <w:p w14:paraId="79EF6A3C" w14:textId="77777777" w:rsidR="00F41119" w:rsidRDefault="00F41119" w:rsidP="00F41119">
      <w:pPr>
        <w:pStyle w:val="Normalhanging1"/>
      </w:pPr>
      <w:r>
        <w:t>(2)</w:t>
      </w:r>
      <w:r>
        <w:tab/>
        <w:t>Should the ADA provide that victimisation is unlawful even if it was done for two or more reasons? If so, how best could this be achieved?</w:t>
      </w:r>
    </w:p>
    <w:p w14:paraId="70CB8970" w14:textId="77777777" w:rsidR="00F41119" w:rsidRDefault="00F41119" w:rsidP="00F41119">
      <w:pPr>
        <w:pStyle w:val="Heading3"/>
      </w:pPr>
      <w:r>
        <w:t>Question 10.2: Advertisements</w:t>
      </w:r>
    </w:p>
    <w:p w14:paraId="4B648174" w14:textId="77777777" w:rsidR="00F41119" w:rsidRDefault="00F41119" w:rsidP="00F41119">
      <w:pPr>
        <w:pStyle w:val="NormalText"/>
      </w:pPr>
      <w:r>
        <w:t>Should it be a defence to publishing an unlawful advertisement that the person reasonably believed publication was not unlawful? Why or why not?</w:t>
      </w:r>
    </w:p>
    <w:p w14:paraId="69C70B0A" w14:textId="77777777" w:rsidR="00F41119" w:rsidRDefault="00F41119" w:rsidP="00F41119">
      <w:pPr>
        <w:pStyle w:val="Heading3"/>
      </w:pPr>
      <w:r>
        <w:t>Question 10.3: The forms of liability</w:t>
      </w:r>
    </w:p>
    <w:p w14:paraId="13FF7EEA" w14:textId="77777777" w:rsidR="00F41119" w:rsidRDefault="00F41119" w:rsidP="00F41119">
      <w:pPr>
        <w:pStyle w:val="NormalText"/>
      </w:pPr>
      <w:r>
        <w:t>What, if any, concerns or issues are raised by the ADA’s approach to the various forms of liability?</w:t>
      </w:r>
    </w:p>
    <w:p w14:paraId="4BB48949" w14:textId="77777777" w:rsidR="00F41119" w:rsidRDefault="00F41119" w:rsidP="00F41119">
      <w:pPr>
        <w:pStyle w:val="Heading3"/>
      </w:pPr>
      <w:r>
        <w:lastRenderedPageBreak/>
        <w:t>Question 10.4: The exceptions for liability</w:t>
      </w:r>
    </w:p>
    <w:p w14:paraId="68038AC9" w14:textId="77777777" w:rsidR="00F41119" w:rsidRDefault="00F41119" w:rsidP="00F41119">
      <w:pPr>
        <w:pStyle w:val="NormalText"/>
      </w:pPr>
      <w:r>
        <w:t>Should the ADA continue to provide two exceptions to vicarious liability (that is, the “reasonable steps” and “unauthorised acts” exceptions)? Or is a single “reasonable steps” exception sufficient?</w:t>
      </w:r>
    </w:p>
    <w:p w14:paraId="6AF035FB" w14:textId="77777777" w:rsidR="00F41119" w:rsidRDefault="00F41119" w:rsidP="00F41119">
      <w:pPr>
        <w:pStyle w:val="Heading3"/>
      </w:pPr>
      <w:r>
        <w:t>Question 10.5: Liability and artificial intelligence</w:t>
      </w:r>
    </w:p>
    <w:p w14:paraId="1C53CCC8" w14:textId="77777777" w:rsidR="00F41119" w:rsidRPr="003B34E3" w:rsidRDefault="00F41119" w:rsidP="00F41119">
      <w:pPr>
        <w:pStyle w:val="NormalText"/>
      </w:pPr>
      <w:r>
        <w:t>Does the use of AI challenge the ADA’s approach to liability? If so, how could the ADA be amended to address this?</w:t>
      </w:r>
    </w:p>
    <w:p w14:paraId="55E3CC07" w14:textId="77777777" w:rsidR="00F41119" w:rsidRDefault="00F41119" w:rsidP="00F41119">
      <w:pPr>
        <w:pStyle w:val="Heading2"/>
      </w:pPr>
      <w:bookmarkStart w:id="22" w:name="_Toc196826790"/>
      <w:r w:rsidRPr="008E2592">
        <w:t>11. Promoting substantive equality</w:t>
      </w:r>
      <w:bookmarkEnd w:id="22"/>
      <w:r>
        <w:t xml:space="preserve"> </w:t>
      </w:r>
    </w:p>
    <w:p w14:paraId="1F170B4D" w14:textId="77777777" w:rsidR="00F41119" w:rsidRDefault="00F41119" w:rsidP="00F41119">
      <w:pPr>
        <w:pStyle w:val="Heading3"/>
      </w:pPr>
      <w:r>
        <w:t xml:space="preserve">Question 11.1: Adjustments </w:t>
      </w:r>
    </w:p>
    <w:p w14:paraId="52194BE2" w14:textId="77777777" w:rsidR="00F41119" w:rsidRDefault="00F41119" w:rsidP="00F41119">
      <w:pPr>
        <w:pStyle w:val="Normalhanging1"/>
        <w:spacing w:before="240"/>
      </w:pPr>
      <w:r>
        <w:t>(1)</w:t>
      </w:r>
      <w:r>
        <w:tab/>
        <w:t xml:space="preserve">Should the ADA impose a duty to provide adjustments? If so, what attributes should this apply to? </w:t>
      </w:r>
    </w:p>
    <w:p w14:paraId="2F80FECF" w14:textId="77777777" w:rsidR="00F41119" w:rsidRDefault="00F41119" w:rsidP="00F41119">
      <w:pPr>
        <w:pStyle w:val="Normalhanging1"/>
      </w:pPr>
      <w:r>
        <w:t>(2)</w:t>
      </w:r>
      <w:r>
        <w:tab/>
        <w:t>Should this be a separate duty, form part of the tests for discrimination, or is there another preferred approach?</w:t>
      </w:r>
    </w:p>
    <w:p w14:paraId="02BC1FA6" w14:textId="77777777" w:rsidR="00F41119" w:rsidRDefault="00F41119" w:rsidP="00F41119">
      <w:pPr>
        <w:pStyle w:val="Normalhanging1"/>
      </w:pPr>
      <w:r>
        <w:t>(3)</w:t>
      </w:r>
      <w:r>
        <w:tab/>
        <w:t>Should a person with a protected attribute first have to request an adjustment, before the obligation to provide one arises?</w:t>
      </w:r>
    </w:p>
    <w:p w14:paraId="0616CB9F" w14:textId="77777777" w:rsidR="00F41119" w:rsidRDefault="00F41119" w:rsidP="00F41119">
      <w:pPr>
        <w:pStyle w:val="Heading3"/>
      </w:pPr>
      <w:r>
        <w:t xml:space="preserve">Question 11.2: Special measures  </w:t>
      </w:r>
    </w:p>
    <w:p w14:paraId="338E3B9A" w14:textId="77777777" w:rsidR="00F41119" w:rsidRDefault="00F41119" w:rsidP="00F41119">
      <w:pPr>
        <w:pStyle w:val="Normalhanging1"/>
        <w:spacing w:before="240"/>
      </w:pPr>
      <w:r>
        <w:t>(1)</w:t>
      </w:r>
      <w:r>
        <w:tab/>
        <w:t>Should the ADA generally allow for special measures? Why or why not?</w:t>
      </w:r>
    </w:p>
    <w:p w14:paraId="72914D30" w14:textId="77777777" w:rsidR="00F41119" w:rsidRDefault="00F41119" w:rsidP="00F41119">
      <w:pPr>
        <w:pStyle w:val="Normalhanging1"/>
      </w:pPr>
      <w:r>
        <w:t>(2)</w:t>
      </w:r>
      <w:r>
        <w:tab/>
        <w:t xml:space="preserve">If so, what criteria for a special measure should the ADA apply? </w:t>
      </w:r>
    </w:p>
    <w:p w14:paraId="4B4B1B9E" w14:textId="77777777" w:rsidR="00F41119" w:rsidRDefault="00F41119" w:rsidP="00F41119">
      <w:pPr>
        <w:pStyle w:val="Normalhanging1"/>
      </w:pPr>
      <w:r>
        <w:t>(3)</w:t>
      </w:r>
      <w:r>
        <w:tab/>
        <w:t>If a general special measures section is added to the ADA, should it replace the existing exemption and certification processes? Why or why not?</w:t>
      </w:r>
    </w:p>
    <w:p w14:paraId="1B6F514B" w14:textId="77777777" w:rsidR="00F41119" w:rsidRDefault="00F41119" w:rsidP="00F41119">
      <w:pPr>
        <w:pStyle w:val="Heading3"/>
      </w:pPr>
      <w:r>
        <w:t>Question 11.3: A positive duty to prevent or eliminate unlawful conduct</w:t>
      </w:r>
    </w:p>
    <w:p w14:paraId="188E7C5F" w14:textId="77777777" w:rsidR="00F41119" w:rsidRDefault="00F41119" w:rsidP="00F41119">
      <w:pPr>
        <w:pStyle w:val="Normalhanging1"/>
        <w:spacing w:before="240"/>
      </w:pPr>
      <w:r>
        <w:t>(1)</w:t>
      </w:r>
      <w:r>
        <w:tab/>
        <w:t xml:space="preserve">Should the ADA include a duty to take reasonable and proportionate measures to prevent or eliminate unlawful conduct? Why or why not? </w:t>
      </w:r>
    </w:p>
    <w:p w14:paraId="2D45FEFC" w14:textId="77777777" w:rsidR="00F41119" w:rsidRDefault="00F41119" w:rsidP="00F41119">
      <w:pPr>
        <w:pStyle w:val="Normalhanging1"/>
      </w:pPr>
      <w:r>
        <w:t>(2)</w:t>
      </w:r>
      <w:r>
        <w:tab/>
        <w:t xml:space="preserve">If so: </w:t>
      </w:r>
    </w:p>
    <w:p w14:paraId="7153E568" w14:textId="063305CC" w:rsidR="00F41119" w:rsidRDefault="00F41119" w:rsidP="00F41119">
      <w:pPr>
        <w:pStyle w:val="Normalhanginga"/>
      </w:pPr>
      <w:r>
        <w:t>(a)</w:t>
      </w:r>
      <w:r>
        <w:tab/>
        <w:t>What should duty holders be required to do to comply with the duty?</w:t>
      </w:r>
    </w:p>
    <w:p w14:paraId="3A94BB25" w14:textId="6E721AA1" w:rsidR="00F41119" w:rsidRDefault="00F41119" w:rsidP="00F41119">
      <w:pPr>
        <w:pStyle w:val="Normalhanginga"/>
      </w:pPr>
      <w:r>
        <w:t>(b)</w:t>
      </w:r>
      <w:r>
        <w:tab/>
        <w:t>What types of unlawful conduct should the duty cover?</w:t>
      </w:r>
    </w:p>
    <w:p w14:paraId="76DC57B9" w14:textId="2A74832F" w:rsidR="00F41119" w:rsidRDefault="00F41119" w:rsidP="00F41119">
      <w:pPr>
        <w:pStyle w:val="Normalhanginga"/>
      </w:pPr>
      <w:r>
        <w:t>(c)</w:t>
      </w:r>
      <w:r>
        <w:tab/>
        <w:t>Who should the duty holders be?</w:t>
      </w:r>
    </w:p>
    <w:p w14:paraId="7E1E59E0" w14:textId="52D95CBE" w:rsidR="00F41119" w:rsidRDefault="00F41119" w:rsidP="00F41119">
      <w:pPr>
        <w:pStyle w:val="Normalhanginga"/>
      </w:pPr>
      <w:r>
        <w:t>(d)</w:t>
      </w:r>
      <w:r>
        <w:tab/>
        <w:t>What attributes and areas should the duty apply to?</w:t>
      </w:r>
    </w:p>
    <w:p w14:paraId="384859DD" w14:textId="77777777" w:rsidR="00EC32BB" w:rsidRDefault="00EC32BB" w:rsidP="00F41119">
      <w:pPr>
        <w:pStyle w:val="Normalhanginga"/>
        <w:sectPr w:rsidR="00EC32BB" w:rsidSect="00307497">
          <w:footerReference w:type="first" r:id="rId20"/>
          <w:footnotePr>
            <w:numRestart w:val="eachSect"/>
          </w:footnotePr>
          <w:pgSz w:w="11906" w:h="16838" w:code="9"/>
          <w:pgMar w:top="1701" w:right="1304" w:bottom="1021" w:left="1304" w:header="567" w:footer="567" w:gutter="0"/>
          <w:pgNumType w:fmt="lowerRoman" w:start="1"/>
          <w:cols w:space="708"/>
          <w:docGrid w:linePitch="360"/>
        </w:sectPr>
      </w:pPr>
    </w:p>
    <w:p w14:paraId="346D3617" w14:textId="77777777" w:rsidR="008D4914" w:rsidRDefault="008D4914" w:rsidP="008D4914">
      <w:pPr>
        <w:pStyle w:val="ChapterHeading"/>
      </w:pPr>
      <w:bookmarkStart w:id="23" w:name="_Toc196826791"/>
      <w:bookmarkStart w:id="24" w:name="_Hlk195607029"/>
      <w:r>
        <w:lastRenderedPageBreak/>
        <w:t>Introduction</w:t>
      </w:r>
      <w:bookmarkEnd w:id="23"/>
      <w:r>
        <w:t xml:space="preserve"> </w:t>
      </w:r>
    </w:p>
    <w:p w14:paraId="5CC0E459" w14:textId="77777777" w:rsidR="008D4914" w:rsidRDefault="008D4914" w:rsidP="00B55200">
      <w:pPr>
        <w:pStyle w:val="InBriefHeading"/>
        <w:spacing w:after="0"/>
      </w:pPr>
      <w:r>
        <w:t>In brief</w:t>
      </w:r>
    </w:p>
    <w:p w14:paraId="6F051BEC" w14:textId="5D67B737" w:rsidR="008D4914" w:rsidRDefault="008D4914" w:rsidP="00B55200">
      <w:pPr>
        <w:pStyle w:val="InBriefText"/>
        <w:spacing w:before="0"/>
      </w:pPr>
      <w:r>
        <w:t>T</w:t>
      </w:r>
      <w:r w:rsidRPr="007A3142">
        <w:t xml:space="preserve">his is the first of two consultation papers </w:t>
      </w:r>
      <w:r>
        <w:t xml:space="preserve">in which we </w:t>
      </w:r>
      <w:r w:rsidR="00301572">
        <w:t xml:space="preserve">will </w:t>
      </w:r>
      <w:r>
        <w:t>invite you to share y</w:t>
      </w:r>
      <w:r w:rsidRPr="007A3142">
        <w:t xml:space="preserve">our views on the </w:t>
      </w:r>
      <w:r w:rsidRPr="00666A7E">
        <w:rPr>
          <w:i/>
          <w:iCs/>
        </w:rPr>
        <w:t>Anti-Discrimination Act 1977</w:t>
      </w:r>
      <w:r w:rsidRPr="007A3142">
        <w:t xml:space="preserve"> (NSW) (ADA). In this paper, we consider issues relating to the tests for discrimination, </w:t>
      </w:r>
      <w:r>
        <w:t>who is protected</w:t>
      </w:r>
      <w:r w:rsidRPr="007A3142">
        <w:t>, the areas in which discrimination is prohibited</w:t>
      </w:r>
      <w:r>
        <w:t xml:space="preserve"> </w:t>
      </w:r>
      <w:r w:rsidRPr="007A3142">
        <w:t xml:space="preserve">and exceptions. We also consider harassment, civil vilification and other unlawful acts, as well as liability and </w:t>
      </w:r>
      <w:r>
        <w:t xml:space="preserve">measures to promote </w:t>
      </w:r>
      <w:r w:rsidRPr="007A3142">
        <w:t>substantive equality. We</w:t>
      </w:r>
      <w:r>
        <w:t xml:space="preserve"> ask if </w:t>
      </w:r>
      <w:r w:rsidRPr="007A3142">
        <w:t>any of these aspects of the ADA should change and, if so, how.</w:t>
      </w:r>
    </w:p>
    <w:p w14:paraId="320D14A9" w14:textId="4396DFA3" w:rsidR="008D4914" w:rsidRPr="00406951" w:rsidRDefault="008D4914" w:rsidP="008D4914">
      <w:pPr>
        <w:pStyle w:val="InBriefText"/>
      </w:pPr>
      <w:r w:rsidRPr="002A5C42">
        <w:rPr>
          <w:b/>
          <w:bCs/>
        </w:rPr>
        <w:t xml:space="preserve">Content warning: </w:t>
      </w:r>
      <w:r w:rsidRPr="00374E08">
        <w:t xml:space="preserve">This consultation paper deals with content that some people may find distressing. This includes </w:t>
      </w:r>
      <w:r>
        <w:t>discrimination, sexual harassment, and</w:t>
      </w:r>
      <w:r w:rsidRPr="00374E08">
        <w:t xml:space="preserve"> vilification</w:t>
      </w:r>
      <w:r>
        <w:t xml:space="preserve"> (including</w:t>
      </w:r>
      <w:r w:rsidRPr="00374E08">
        <w:t xml:space="preserve"> hate speech</w:t>
      </w:r>
      <w:r>
        <w:t xml:space="preserve">). We also refer to concepts and language used in the ADA that can be offensive or upsetting. </w:t>
      </w:r>
      <w:r w:rsidR="001B16B0">
        <w:t xml:space="preserve">The </w:t>
      </w:r>
      <w:hyperlink r:id="rId21" w:history="1">
        <w:r w:rsidR="001B16B0" w:rsidRPr="0010698B">
          <w:rPr>
            <w:rStyle w:val="Hyperlink"/>
            <w:rFonts w:ascii="Public Sans" w:hAnsi="Public Sans"/>
            <w:color w:val="002664"/>
            <w:sz w:val="22"/>
          </w:rPr>
          <w:t>ADA project page</w:t>
        </w:r>
      </w:hyperlink>
      <w:r w:rsidR="001B16B0">
        <w:t xml:space="preserve"> on o</w:t>
      </w:r>
      <w:r w:rsidRPr="001B16B0">
        <w:t>ur website</w:t>
      </w:r>
      <w:r w:rsidR="008274C8" w:rsidRPr="001B16B0">
        <w:t xml:space="preserve"> </w:t>
      </w:r>
      <w:r>
        <w:t>lists some free services you can contact if you need support.</w:t>
      </w:r>
    </w:p>
    <w:p w14:paraId="3ADE6ED6" w14:textId="05830615" w:rsidR="008D4914" w:rsidRPr="00B55200" w:rsidRDefault="008D4914" w:rsidP="008D4914">
      <w:pPr>
        <w:pStyle w:val="TOC2"/>
        <w:rPr>
          <w:rFonts w:eastAsiaTheme="minorEastAsia" w:cstheme="minorBidi"/>
          <w:b w:val="0"/>
          <w:color w:val="auto"/>
          <w:kern w:val="2"/>
          <w:sz w:val="24"/>
          <w:u w:val="none"/>
          <w:lang w:eastAsia="en-AU"/>
          <w14:ligatures w14:val="standardContextual"/>
        </w:rPr>
      </w:pPr>
      <w:r>
        <w:fldChar w:fldCharType="begin"/>
      </w:r>
      <w:r>
        <w:instrText xml:space="preserve"> TOC \h \z \t "Heading 1,2,Heading 2,3,Heading - Major,1,Heading default,1,Title page 1,1" </w:instrText>
      </w:r>
      <w:r>
        <w:fldChar w:fldCharType="separate"/>
      </w:r>
      <w:hyperlink w:anchor="_Toc196727961" w:history="1">
        <w:r w:rsidRPr="00B55200">
          <w:rPr>
            <w:rStyle w:val="Hyperlink"/>
            <w:rFonts w:ascii="Public Sans" w:hAnsi="Public Sans"/>
          </w:rPr>
          <w:t>Background to this review</w:t>
        </w:r>
        <w:r w:rsidRPr="00B55200">
          <w:rPr>
            <w:webHidden/>
          </w:rPr>
          <w:tab/>
        </w:r>
        <w:r w:rsidRPr="00B55200">
          <w:rPr>
            <w:webHidden/>
          </w:rPr>
          <w:fldChar w:fldCharType="begin"/>
        </w:r>
        <w:r w:rsidRPr="00B55200">
          <w:rPr>
            <w:webHidden/>
          </w:rPr>
          <w:instrText xml:space="preserve"> PAGEREF _Toc196727961 \h </w:instrText>
        </w:r>
        <w:r w:rsidRPr="00B55200">
          <w:rPr>
            <w:webHidden/>
          </w:rPr>
        </w:r>
        <w:r w:rsidRPr="00B55200">
          <w:rPr>
            <w:webHidden/>
          </w:rPr>
          <w:fldChar w:fldCharType="separate"/>
        </w:r>
        <w:r w:rsidR="00F44BFC">
          <w:rPr>
            <w:webHidden/>
          </w:rPr>
          <w:t>2</w:t>
        </w:r>
        <w:r w:rsidRPr="00B55200">
          <w:rPr>
            <w:webHidden/>
          </w:rPr>
          <w:fldChar w:fldCharType="end"/>
        </w:r>
      </w:hyperlink>
    </w:p>
    <w:p w14:paraId="024EE09C" w14:textId="54283F0A" w:rsidR="008D4914" w:rsidRPr="00B55200" w:rsidRDefault="008D4914" w:rsidP="008D4914">
      <w:pPr>
        <w:pStyle w:val="TOC2"/>
        <w:rPr>
          <w:rFonts w:eastAsiaTheme="minorEastAsia" w:cstheme="minorBidi"/>
          <w:b w:val="0"/>
          <w:color w:val="auto"/>
          <w:kern w:val="2"/>
          <w:sz w:val="24"/>
          <w:u w:val="none"/>
          <w:lang w:eastAsia="en-AU"/>
          <w14:ligatures w14:val="standardContextual"/>
        </w:rPr>
      </w:pPr>
      <w:hyperlink w:anchor="_Toc196727962" w:history="1">
        <w:r w:rsidRPr="00B55200">
          <w:rPr>
            <w:rStyle w:val="Hyperlink"/>
            <w:rFonts w:ascii="Public Sans" w:hAnsi="Public Sans"/>
          </w:rPr>
          <w:t>Our process so far</w:t>
        </w:r>
        <w:r w:rsidRPr="00B55200">
          <w:rPr>
            <w:webHidden/>
          </w:rPr>
          <w:tab/>
        </w:r>
        <w:r w:rsidRPr="00B55200">
          <w:rPr>
            <w:webHidden/>
          </w:rPr>
          <w:fldChar w:fldCharType="begin"/>
        </w:r>
        <w:r w:rsidRPr="00B55200">
          <w:rPr>
            <w:webHidden/>
          </w:rPr>
          <w:instrText xml:space="preserve"> PAGEREF _Toc196727962 \h </w:instrText>
        </w:r>
        <w:r w:rsidRPr="00B55200">
          <w:rPr>
            <w:webHidden/>
          </w:rPr>
        </w:r>
        <w:r w:rsidRPr="00B55200">
          <w:rPr>
            <w:webHidden/>
          </w:rPr>
          <w:fldChar w:fldCharType="separate"/>
        </w:r>
        <w:r w:rsidR="00F44BFC">
          <w:rPr>
            <w:webHidden/>
          </w:rPr>
          <w:t>3</w:t>
        </w:r>
        <w:r w:rsidRPr="00B55200">
          <w:rPr>
            <w:webHidden/>
          </w:rPr>
          <w:fldChar w:fldCharType="end"/>
        </w:r>
      </w:hyperlink>
    </w:p>
    <w:p w14:paraId="270B847C" w14:textId="5C7F55EE" w:rsidR="008D4914" w:rsidRPr="00B55200" w:rsidRDefault="008D4914" w:rsidP="008D4914">
      <w:pPr>
        <w:pStyle w:val="TOC2"/>
        <w:rPr>
          <w:rFonts w:eastAsiaTheme="minorEastAsia" w:cstheme="minorBidi"/>
          <w:b w:val="0"/>
          <w:color w:val="auto"/>
          <w:kern w:val="2"/>
          <w:sz w:val="24"/>
          <w:u w:val="none"/>
          <w:lang w:eastAsia="en-AU"/>
          <w14:ligatures w14:val="standardContextual"/>
        </w:rPr>
      </w:pPr>
      <w:hyperlink w:anchor="_Toc196727963" w:history="1">
        <w:r w:rsidRPr="00B55200">
          <w:rPr>
            <w:rStyle w:val="Hyperlink"/>
            <w:rFonts w:ascii="Public Sans" w:hAnsi="Public Sans"/>
          </w:rPr>
          <w:t>About this consultation paper</w:t>
        </w:r>
        <w:r w:rsidRPr="00B55200">
          <w:rPr>
            <w:webHidden/>
          </w:rPr>
          <w:tab/>
        </w:r>
        <w:r w:rsidRPr="00B55200">
          <w:rPr>
            <w:webHidden/>
          </w:rPr>
          <w:fldChar w:fldCharType="begin"/>
        </w:r>
        <w:r w:rsidRPr="00B55200">
          <w:rPr>
            <w:webHidden/>
          </w:rPr>
          <w:instrText xml:space="preserve"> PAGEREF _Toc196727963 \h </w:instrText>
        </w:r>
        <w:r w:rsidRPr="00B55200">
          <w:rPr>
            <w:webHidden/>
          </w:rPr>
        </w:r>
        <w:r w:rsidRPr="00B55200">
          <w:rPr>
            <w:webHidden/>
          </w:rPr>
          <w:fldChar w:fldCharType="separate"/>
        </w:r>
        <w:r w:rsidR="00F44BFC">
          <w:rPr>
            <w:webHidden/>
          </w:rPr>
          <w:t>4</w:t>
        </w:r>
        <w:r w:rsidRPr="00B55200">
          <w:rPr>
            <w:webHidden/>
          </w:rPr>
          <w:fldChar w:fldCharType="end"/>
        </w:r>
      </w:hyperlink>
    </w:p>
    <w:p w14:paraId="7FE64B48" w14:textId="3BA6712C" w:rsidR="008D4914" w:rsidRPr="00B55200" w:rsidRDefault="008D4914" w:rsidP="008D4914">
      <w:pPr>
        <w:pStyle w:val="TOC3"/>
        <w:rPr>
          <w:rFonts w:eastAsiaTheme="minorEastAsia" w:cstheme="minorBidi"/>
          <w:color w:val="auto"/>
          <w:kern w:val="2"/>
          <w:sz w:val="24"/>
          <w:u w:val="none"/>
          <w:lang w:eastAsia="en-AU"/>
          <w14:ligatures w14:val="standardContextual"/>
        </w:rPr>
      </w:pPr>
      <w:hyperlink w:anchor="_Toc196727964" w:history="1">
        <w:r w:rsidRPr="00B55200">
          <w:rPr>
            <w:rStyle w:val="Hyperlink"/>
            <w:rFonts w:ascii="Public Sans" w:hAnsi="Public Sans"/>
          </w:rPr>
          <w:t>Chapter overview</w:t>
        </w:r>
        <w:r w:rsidRPr="00B55200">
          <w:rPr>
            <w:webHidden/>
          </w:rPr>
          <w:tab/>
        </w:r>
        <w:r w:rsidRPr="00B55200">
          <w:rPr>
            <w:webHidden/>
          </w:rPr>
          <w:fldChar w:fldCharType="begin"/>
        </w:r>
        <w:r w:rsidRPr="00B55200">
          <w:rPr>
            <w:webHidden/>
          </w:rPr>
          <w:instrText xml:space="preserve"> PAGEREF _Toc196727964 \h </w:instrText>
        </w:r>
        <w:r w:rsidRPr="00B55200">
          <w:rPr>
            <w:webHidden/>
          </w:rPr>
        </w:r>
        <w:r w:rsidRPr="00B55200">
          <w:rPr>
            <w:webHidden/>
          </w:rPr>
          <w:fldChar w:fldCharType="separate"/>
        </w:r>
        <w:r w:rsidR="00F44BFC">
          <w:rPr>
            <w:webHidden/>
          </w:rPr>
          <w:t>5</w:t>
        </w:r>
        <w:r w:rsidRPr="00B55200">
          <w:rPr>
            <w:webHidden/>
          </w:rPr>
          <w:fldChar w:fldCharType="end"/>
        </w:r>
      </w:hyperlink>
    </w:p>
    <w:p w14:paraId="40E30FE1" w14:textId="58AB6702" w:rsidR="008D4914" w:rsidRPr="00B55200" w:rsidRDefault="008D4914" w:rsidP="008D4914">
      <w:pPr>
        <w:pStyle w:val="TOC3"/>
        <w:rPr>
          <w:rFonts w:eastAsiaTheme="minorEastAsia" w:cstheme="minorBidi"/>
          <w:color w:val="auto"/>
          <w:kern w:val="2"/>
          <w:sz w:val="24"/>
          <w:u w:val="none"/>
          <w:lang w:eastAsia="en-AU"/>
          <w14:ligatures w14:val="standardContextual"/>
        </w:rPr>
      </w:pPr>
      <w:hyperlink w:anchor="_Toc196727965" w:history="1">
        <w:r w:rsidRPr="00B55200">
          <w:rPr>
            <w:rStyle w:val="Hyperlink"/>
            <w:rFonts w:ascii="Public Sans" w:hAnsi="Public Sans"/>
          </w:rPr>
          <w:t>Accessible alternatives</w:t>
        </w:r>
        <w:r w:rsidRPr="00B55200">
          <w:rPr>
            <w:webHidden/>
          </w:rPr>
          <w:tab/>
        </w:r>
        <w:r w:rsidRPr="00B55200">
          <w:rPr>
            <w:webHidden/>
          </w:rPr>
          <w:fldChar w:fldCharType="begin"/>
        </w:r>
        <w:r w:rsidRPr="00B55200">
          <w:rPr>
            <w:webHidden/>
          </w:rPr>
          <w:instrText xml:space="preserve"> PAGEREF _Toc196727965 \h </w:instrText>
        </w:r>
        <w:r w:rsidRPr="00B55200">
          <w:rPr>
            <w:webHidden/>
          </w:rPr>
        </w:r>
        <w:r w:rsidRPr="00B55200">
          <w:rPr>
            <w:webHidden/>
          </w:rPr>
          <w:fldChar w:fldCharType="separate"/>
        </w:r>
        <w:r w:rsidR="00F44BFC">
          <w:rPr>
            <w:webHidden/>
          </w:rPr>
          <w:t>5</w:t>
        </w:r>
        <w:r w:rsidRPr="00B55200">
          <w:rPr>
            <w:webHidden/>
          </w:rPr>
          <w:fldChar w:fldCharType="end"/>
        </w:r>
      </w:hyperlink>
    </w:p>
    <w:p w14:paraId="61E4F4FE" w14:textId="644C036F" w:rsidR="008D4914" w:rsidRPr="00B55200" w:rsidRDefault="008D4914" w:rsidP="008D4914">
      <w:pPr>
        <w:pStyle w:val="TOC2"/>
        <w:rPr>
          <w:rFonts w:eastAsiaTheme="minorEastAsia" w:cstheme="minorBidi"/>
          <w:b w:val="0"/>
          <w:color w:val="auto"/>
          <w:kern w:val="2"/>
          <w:sz w:val="24"/>
          <w:u w:val="none"/>
          <w:lang w:eastAsia="en-AU"/>
          <w14:ligatures w14:val="standardContextual"/>
        </w:rPr>
      </w:pPr>
      <w:hyperlink w:anchor="_Toc196727966" w:history="1">
        <w:r w:rsidRPr="00B55200">
          <w:rPr>
            <w:rStyle w:val="Hyperlink"/>
            <w:rFonts w:ascii="Public Sans" w:hAnsi="Public Sans"/>
          </w:rPr>
          <w:t>How to have your say</w:t>
        </w:r>
        <w:r w:rsidRPr="00B55200">
          <w:rPr>
            <w:webHidden/>
          </w:rPr>
          <w:tab/>
        </w:r>
        <w:r w:rsidRPr="00B55200">
          <w:rPr>
            <w:webHidden/>
          </w:rPr>
          <w:fldChar w:fldCharType="begin"/>
        </w:r>
        <w:r w:rsidRPr="00B55200">
          <w:rPr>
            <w:webHidden/>
          </w:rPr>
          <w:instrText xml:space="preserve"> PAGEREF _Toc196727966 \h </w:instrText>
        </w:r>
        <w:r w:rsidRPr="00B55200">
          <w:rPr>
            <w:webHidden/>
          </w:rPr>
        </w:r>
        <w:r w:rsidRPr="00B55200">
          <w:rPr>
            <w:webHidden/>
          </w:rPr>
          <w:fldChar w:fldCharType="separate"/>
        </w:r>
        <w:r w:rsidR="00F44BFC">
          <w:rPr>
            <w:webHidden/>
          </w:rPr>
          <w:t>6</w:t>
        </w:r>
        <w:r w:rsidRPr="00B55200">
          <w:rPr>
            <w:webHidden/>
          </w:rPr>
          <w:fldChar w:fldCharType="end"/>
        </w:r>
      </w:hyperlink>
    </w:p>
    <w:p w14:paraId="27978E57" w14:textId="7232EB9D" w:rsidR="008D4914" w:rsidRPr="00B55200" w:rsidRDefault="008D4914" w:rsidP="008D4914">
      <w:pPr>
        <w:pStyle w:val="TOC3"/>
        <w:rPr>
          <w:rFonts w:eastAsiaTheme="minorEastAsia" w:cstheme="minorBidi"/>
          <w:color w:val="auto"/>
          <w:kern w:val="2"/>
          <w:sz w:val="24"/>
          <w:u w:val="none"/>
          <w:lang w:eastAsia="en-AU"/>
          <w14:ligatures w14:val="standardContextual"/>
        </w:rPr>
      </w:pPr>
      <w:hyperlink w:anchor="_Toc196727967" w:history="1">
        <w:r w:rsidRPr="00B55200">
          <w:rPr>
            <w:rStyle w:val="Hyperlink"/>
            <w:rFonts w:ascii="Public Sans" w:hAnsi="Public Sans"/>
          </w:rPr>
          <w:t>What to include in a submission</w:t>
        </w:r>
        <w:r w:rsidRPr="00B55200">
          <w:rPr>
            <w:webHidden/>
          </w:rPr>
          <w:tab/>
        </w:r>
        <w:r w:rsidRPr="00B55200">
          <w:rPr>
            <w:webHidden/>
          </w:rPr>
          <w:fldChar w:fldCharType="begin"/>
        </w:r>
        <w:r w:rsidRPr="00B55200">
          <w:rPr>
            <w:webHidden/>
          </w:rPr>
          <w:instrText xml:space="preserve"> PAGEREF _Toc196727967 \h </w:instrText>
        </w:r>
        <w:r w:rsidRPr="00B55200">
          <w:rPr>
            <w:webHidden/>
          </w:rPr>
        </w:r>
        <w:r w:rsidRPr="00B55200">
          <w:rPr>
            <w:webHidden/>
          </w:rPr>
          <w:fldChar w:fldCharType="separate"/>
        </w:r>
        <w:r w:rsidR="00F44BFC">
          <w:rPr>
            <w:webHidden/>
          </w:rPr>
          <w:t>6</w:t>
        </w:r>
        <w:r w:rsidRPr="00B55200">
          <w:rPr>
            <w:webHidden/>
          </w:rPr>
          <w:fldChar w:fldCharType="end"/>
        </w:r>
      </w:hyperlink>
    </w:p>
    <w:p w14:paraId="7C3C5FD1" w14:textId="78ADD19D" w:rsidR="008D4914" w:rsidRPr="00B55200" w:rsidRDefault="008D4914" w:rsidP="008D4914">
      <w:pPr>
        <w:pStyle w:val="TOC3"/>
        <w:rPr>
          <w:rFonts w:eastAsiaTheme="minorEastAsia" w:cstheme="minorBidi"/>
          <w:color w:val="auto"/>
          <w:kern w:val="2"/>
          <w:sz w:val="24"/>
          <w:u w:val="none"/>
          <w:lang w:eastAsia="en-AU"/>
          <w14:ligatures w14:val="standardContextual"/>
        </w:rPr>
      </w:pPr>
      <w:hyperlink w:anchor="_Toc196727968" w:history="1">
        <w:r w:rsidRPr="00B55200">
          <w:rPr>
            <w:rStyle w:val="Hyperlink"/>
            <w:rFonts w:ascii="Public Sans" w:hAnsi="Public Sans"/>
          </w:rPr>
          <w:t>You can email your submission to us</w:t>
        </w:r>
        <w:r w:rsidRPr="00B55200">
          <w:rPr>
            <w:webHidden/>
          </w:rPr>
          <w:tab/>
        </w:r>
        <w:r w:rsidRPr="00B55200">
          <w:rPr>
            <w:webHidden/>
          </w:rPr>
          <w:fldChar w:fldCharType="begin"/>
        </w:r>
        <w:r w:rsidRPr="00B55200">
          <w:rPr>
            <w:webHidden/>
          </w:rPr>
          <w:instrText xml:space="preserve"> PAGEREF _Toc196727968 \h </w:instrText>
        </w:r>
        <w:r w:rsidRPr="00B55200">
          <w:rPr>
            <w:webHidden/>
          </w:rPr>
        </w:r>
        <w:r w:rsidRPr="00B55200">
          <w:rPr>
            <w:webHidden/>
          </w:rPr>
          <w:fldChar w:fldCharType="separate"/>
        </w:r>
        <w:r w:rsidR="00F44BFC">
          <w:rPr>
            <w:webHidden/>
          </w:rPr>
          <w:t>6</w:t>
        </w:r>
        <w:r w:rsidRPr="00B55200">
          <w:rPr>
            <w:webHidden/>
          </w:rPr>
          <w:fldChar w:fldCharType="end"/>
        </w:r>
      </w:hyperlink>
    </w:p>
    <w:p w14:paraId="3334C851" w14:textId="639E9730" w:rsidR="008D4914" w:rsidRPr="00B55200" w:rsidRDefault="008D4914" w:rsidP="008D4914">
      <w:pPr>
        <w:pStyle w:val="TOC3"/>
        <w:rPr>
          <w:rFonts w:eastAsiaTheme="minorEastAsia" w:cstheme="minorBidi"/>
          <w:color w:val="auto"/>
          <w:kern w:val="2"/>
          <w:sz w:val="24"/>
          <w:u w:val="none"/>
          <w:lang w:eastAsia="en-AU"/>
          <w14:ligatures w14:val="standardContextual"/>
        </w:rPr>
      </w:pPr>
      <w:hyperlink w:anchor="_Toc196727969" w:history="1">
        <w:r w:rsidRPr="00B55200">
          <w:rPr>
            <w:rStyle w:val="Hyperlink"/>
            <w:rFonts w:ascii="Public Sans" w:hAnsi="Public Sans"/>
          </w:rPr>
          <w:t>You can complete our community survey</w:t>
        </w:r>
        <w:r w:rsidRPr="00B55200">
          <w:rPr>
            <w:webHidden/>
          </w:rPr>
          <w:tab/>
        </w:r>
        <w:r w:rsidRPr="00B55200">
          <w:rPr>
            <w:webHidden/>
          </w:rPr>
          <w:fldChar w:fldCharType="begin"/>
        </w:r>
        <w:r w:rsidRPr="00B55200">
          <w:rPr>
            <w:webHidden/>
          </w:rPr>
          <w:instrText xml:space="preserve"> PAGEREF _Toc196727969 \h </w:instrText>
        </w:r>
        <w:r w:rsidRPr="00B55200">
          <w:rPr>
            <w:webHidden/>
          </w:rPr>
        </w:r>
        <w:r w:rsidRPr="00B55200">
          <w:rPr>
            <w:webHidden/>
          </w:rPr>
          <w:fldChar w:fldCharType="separate"/>
        </w:r>
        <w:r w:rsidR="00F44BFC">
          <w:rPr>
            <w:webHidden/>
          </w:rPr>
          <w:t>7</w:t>
        </w:r>
        <w:r w:rsidRPr="00B55200">
          <w:rPr>
            <w:webHidden/>
          </w:rPr>
          <w:fldChar w:fldCharType="end"/>
        </w:r>
      </w:hyperlink>
    </w:p>
    <w:p w14:paraId="0AF59AC7" w14:textId="63260AC3" w:rsidR="008D4914" w:rsidRPr="00B55200" w:rsidRDefault="008D4914" w:rsidP="008D4914">
      <w:pPr>
        <w:pStyle w:val="TOC2"/>
        <w:rPr>
          <w:rFonts w:eastAsiaTheme="minorEastAsia" w:cstheme="minorBidi"/>
          <w:b w:val="0"/>
          <w:color w:val="auto"/>
          <w:kern w:val="2"/>
          <w:sz w:val="24"/>
          <w:u w:val="none"/>
          <w:lang w:eastAsia="en-AU"/>
          <w14:ligatures w14:val="standardContextual"/>
        </w:rPr>
      </w:pPr>
      <w:hyperlink w:anchor="_Toc196727970" w:history="1">
        <w:r w:rsidRPr="00B55200">
          <w:rPr>
            <w:rStyle w:val="Hyperlink"/>
            <w:rFonts w:ascii="Public Sans" w:hAnsi="Public Sans"/>
          </w:rPr>
          <w:t>Next steps</w:t>
        </w:r>
        <w:r w:rsidRPr="00B55200">
          <w:rPr>
            <w:webHidden/>
          </w:rPr>
          <w:tab/>
        </w:r>
        <w:r w:rsidRPr="00B55200">
          <w:rPr>
            <w:webHidden/>
          </w:rPr>
          <w:fldChar w:fldCharType="begin"/>
        </w:r>
        <w:r w:rsidRPr="00B55200">
          <w:rPr>
            <w:webHidden/>
          </w:rPr>
          <w:instrText xml:space="preserve"> PAGEREF _Toc196727970 \h </w:instrText>
        </w:r>
        <w:r w:rsidRPr="00B55200">
          <w:rPr>
            <w:webHidden/>
          </w:rPr>
        </w:r>
        <w:r w:rsidRPr="00B55200">
          <w:rPr>
            <w:webHidden/>
          </w:rPr>
          <w:fldChar w:fldCharType="separate"/>
        </w:r>
        <w:r w:rsidR="00F44BFC">
          <w:rPr>
            <w:webHidden/>
          </w:rPr>
          <w:t>7</w:t>
        </w:r>
        <w:r w:rsidRPr="00B55200">
          <w:rPr>
            <w:webHidden/>
          </w:rPr>
          <w:fldChar w:fldCharType="end"/>
        </w:r>
      </w:hyperlink>
    </w:p>
    <w:p w14:paraId="0B3F857C" w14:textId="77777777" w:rsidR="008D4914" w:rsidRDefault="008D4914" w:rsidP="008D4914">
      <w:pPr>
        <w:pStyle w:val="TOC4"/>
        <w:rPr>
          <w:rFonts w:ascii="Arial Bold" w:hAnsi="Arial Bold"/>
        </w:rPr>
      </w:pPr>
      <w:r>
        <w:rPr>
          <w:rFonts w:ascii="Arial Bold" w:hAnsi="Arial Bold"/>
        </w:rPr>
        <w:fldChar w:fldCharType="end"/>
      </w:r>
    </w:p>
    <w:p w14:paraId="1EF09A93" w14:textId="77777777" w:rsidR="008D4914" w:rsidRDefault="008D4914" w:rsidP="008D4914">
      <w:pPr>
        <w:pStyle w:val="NormalAutoChapter"/>
      </w:pPr>
      <w:r>
        <w:t xml:space="preserve">The NSW Attorney General has asked us to review the </w:t>
      </w:r>
      <w:r w:rsidRPr="00B11954">
        <w:rPr>
          <w:i/>
          <w:iCs/>
        </w:rPr>
        <w:t>Anti-Discrimination Act 1977</w:t>
      </w:r>
      <w:r>
        <w:t xml:space="preserve"> (NSW) (ADA). Among other things, we have been asked to consider whether the ADA “could be modernised and simplified t</w:t>
      </w:r>
      <w:r w:rsidRPr="00D25C23">
        <w:t>o better promote the equal</w:t>
      </w:r>
      <w:r>
        <w:t xml:space="preserve"> </w:t>
      </w:r>
      <w:r w:rsidRPr="00D25C23">
        <w:t>enjoyment of rights and reflect contemporary community standards</w:t>
      </w:r>
      <w:r>
        <w:t>”.</w:t>
      </w:r>
      <w:r>
        <w:rPr>
          <w:rStyle w:val="FootnoteReference"/>
        </w:rPr>
        <w:footnoteReference w:id="2"/>
      </w:r>
    </w:p>
    <w:p w14:paraId="0F66B98B" w14:textId="77777777" w:rsidR="008D4914" w:rsidRDefault="008D4914" w:rsidP="008D4914">
      <w:pPr>
        <w:pStyle w:val="NormalAutoChapter"/>
      </w:pPr>
      <w:r>
        <w:t>This is the first of two consultation papers that we will release in this review. In this consultation paper, we focus on the conduct that is (or should be) unlawful under the ADA. In summary, we seek your views on:</w:t>
      </w:r>
    </w:p>
    <w:p w14:paraId="72E8CF8D" w14:textId="77777777" w:rsidR="008D4914" w:rsidRDefault="008D4914" w:rsidP="008D4914">
      <w:pPr>
        <w:pStyle w:val="Normalbullet"/>
        <w:rPr>
          <w:rFonts w:asciiTheme="minorHAnsi" w:hAnsiTheme="minorHAnsi"/>
        </w:rPr>
      </w:pPr>
      <w:r>
        <w:lastRenderedPageBreak/>
        <w:t>the types of acts and conduct that should be prohibited, and the circumstances in which the prohibitions should apply</w:t>
      </w:r>
    </w:p>
    <w:p w14:paraId="686F4E0E" w14:textId="77777777" w:rsidR="008D4914" w:rsidRDefault="008D4914" w:rsidP="008D4914">
      <w:pPr>
        <w:pStyle w:val="Normalbullet"/>
      </w:pPr>
      <w:r>
        <w:t xml:space="preserve">the people and groups who should be entitled to the ADA’s protections </w:t>
      </w:r>
    </w:p>
    <w:p w14:paraId="1112566A" w14:textId="77777777" w:rsidR="008D4914" w:rsidRDefault="008D4914" w:rsidP="008D4914">
      <w:pPr>
        <w:pStyle w:val="Normalbullet"/>
      </w:pPr>
      <w:r>
        <w:t>the people and organisations who should be held responsible for unlawful conduct, and when (if ever) their actions should be exempt from the ADA, and</w:t>
      </w:r>
    </w:p>
    <w:p w14:paraId="0789E67F" w14:textId="77777777" w:rsidR="008D4914" w:rsidRDefault="008D4914" w:rsidP="008D4914">
      <w:pPr>
        <w:pStyle w:val="Normalbullet"/>
      </w:pPr>
      <w:r>
        <w:t xml:space="preserve">whether the ADA should do more to promote substantive equality.  </w:t>
      </w:r>
    </w:p>
    <w:p w14:paraId="505C3C46" w14:textId="77777777" w:rsidR="008D4914" w:rsidRDefault="008D4914" w:rsidP="008D4914">
      <w:pPr>
        <w:pStyle w:val="NormalAutoChapter"/>
      </w:pPr>
      <w:r>
        <w:t xml:space="preserve">Our second consultation paper will consider the procedural aspects of the ADA, including complaint pathways, enforcement options, remedies and options for preventing unlawful conduct. </w:t>
      </w:r>
    </w:p>
    <w:p w14:paraId="7D8134B9" w14:textId="77777777" w:rsidR="008D4914" w:rsidRDefault="008D4914" w:rsidP="008D4914">
      <w:pPr>
        <w:pStyle w:val="Heading1"/>
      </w:pPr>
      <w:bookmarkStart w:id="25" w:name="_Toc196727961"/>
      <w:bookmarkStart w:id="26" w:name="_Toc196826792"/>
      <w:r>
        <w:t>Background to this review</w:t>
      </w:r>
      <w:bookmarkEnd w:id="25"/>
      <w:bookmarkEnd w:id="26"/>
    </w:p>
    <w:p w14:paraId="60D0A19B" w14:textId="77777777" w:rsidR="008D4914" w:rsidRDefault="008D4914" w:rsidP="008D4914">
      <w:pPr>
        <w:pStyle w:val="NormalAutoChapter"/>
      </w:pPr>
      <w:r>
        <w:t xml:space="preserve">The ADA was groundbreaking when it was enacted almost 50 years ago. As the first broad discrimination Act in Australia, it prohibited discrimination based on race, sex and marital status. When the legislation was introduced into the NSW Parliament, the Premier </w:t>
      </w:r>
      <w:proofErr w:type="gramStart"/>
      <w:r>
        <w:t>said</w:t>
      </w:r>
      <w:proofErr w:type="gramEnd"/>
      <w:r>
        <w:t xml:space="preserve"> “</w:t>
      </w:r>
      <w:r w:rsidRPr="00AF305A">
        <w:t>I am confident that this legislation is the most enlightened, and will be the most effective,</w:t>
      </w:r>
      <w:r>
        <w:t xml:space="preserve"> </w:t>
      </w:r>
      <w:r w:rsidRPr="00AF305A">
        <w:t>legislation in this field in Australia</w:t>
      </w:r>
      <w:r>
        <w:t>”</w:t>
      </w:r>
      <w:r w:rsidRPr="00AF305A">
        <w:t>.</w:t>
      </w:r>
      <w:r>
        <w:rPr>
          <w:rStyle w:val="FootnoteReference"/>
        </w:rPr>
        <w:footnoteReference w:id="3"/>
      </w:r>
      <w:r>
        <w:t xml:space="preserve">  </w:t>
      </w:r>
    </w:p>
    <w:p w14:paraId="3ED48FA6" w14:textId="77777777" w:rsidR="008D4914" w:rsidRDefault="008D4914" w:rsidP="008D4914">
      <w:pPr>
        <w:pStyle w:val="NormalAutoChapter"/>
      </w:pPr>
      <w:r>
        <w:t>Much has changed in NSW since 1977. By the 1990s, there were concerns that the ADA had not stood the test of time. This led to the NSW Government asking the NSW Law Reform Commission (NSWLRC) to review the ADA in 1991. As the NSWLRC explained in it its final report:</w:t>
      </w:r>
    </w:p>
    <w:p w14:paraId="7B97B30F" w14:textId="77777777" w:rsidR="008D4914" w:rsidRDefault="008D4914" w:rsidP="008D4914">
      <w:pPr>
        <w:pStyle w:val="Quotationnormal"/>
      </w:pPr>
      <w:r w:rsidRPr="001F46FE">
        <w:t xml:space="preserve">The legislation as it currently exists tends to reflect the political and social climate at the time of its enactment. Although the ADA has been amended several times to reflect changing community values, these amendments have been piecemeal. </w:t>
      </w:r>
      <w:r>
        <w:t xml:space="preserve">… </w:t>
      </w:r>
      <w:r w:rsidRPr="001F46FE">
        <w:t xml:space="preserve"> </w:t>
      </w:r>
      <w:proofErr w:type="gramStart"/>
      <w:r w:rsidRPr="001F46FE">
        <w:t>Taking into account</w:t>
      </w:r>
      <w:proofErr w:type="gramEnd"/>
      <w:r w:rsidRPr="001F46FE">
        <w:t xml:space="preserve"> the length of time that has elapsed since the introduction of the ADA, and the law’s inability to deal once and for all with constantly evolving social, political and legal conditions, it is appropriate that there be a comprehensive review of the legislation.</w:t>
      </w:r>
      <w:r>
        <w:rPr>
          <w:rStyle w:val="FootnoteReference"/>
        </w:rPr>
        <w:footnoteReference w:id="4"/>
      </w:r>
    </w:p>
    <w:p w14:paraId="05BD4BE7" w14:textId="77777777" w:rsidR="008D4914" w:rsidRDefault="008D4914" w:rsidP="008D4914">
      <w:pPr>
        <w:pStyle w:val="NormalAutoChapter"/>
      </w:pPr>
      <w:r>
        <w:t xml:space="preserve">Our predecessors’ </w:t>
      </w:r>
      <w:r w:rsidRPr="00BD08A1">
        <w:t>8-yea</w:t>
      </w:r>
      <w:r w:rsidRPr="00542893">
        <w:t>r review</w:t>
      </w:r>
      <w:r>
        <w:t xml:space="preserve"> of the ADA was indeed comprehensive. The NSWLRC’s 1999 report made 161 recommendations and contained a Draft Anti-Discrimination Bill. While some recommendations were implemented, most were not. </w:t>
      </w:r>
    </w:p>
    <w:p w14:paraId="4A157D5D" w14:textId="77777777" w:rsidR="008D4914" w:rsidRDefault="008D4914" w:rsidP="008D4914">
      <w:pPr>
        <w:pStyle w:val="NormalAutoChapter"/>
      </w:pPr>
      <w:r>
        <w:t xml:space="preserve">In the years since 1999, there have been many changes to discrimination laws across Australia. Other states and territories have reviewed their discrimination laws. Some of these reviews have led to significant legislative reform. </w:t>
      </w:r>
      <w:r w:rsidRPr="005079A0">
        <w:t xml:space="preserve">There have </w:t>
      </w:r>
      <w:r w:rsidRPr="005079A0">
        <w:lastRenderedPageBreak/>
        <w:t>been developments in employment law and reviews of discrimination laws at the federal level too.</w:t>
      </w:r>
      <w:r>
        <w:rPr>
          <w:rStyle w:val="FootnoteReference"/>
        </w:rPr>
        <w:footnoteReference w:id="5"/>
      </w:r>
      <w:r>
        <w:t xml:space="preserve"> </w:t>
      </w:r>
    </w:p>
    <w:p w14:paraId="35772537" w14:textId="77777777" w:rsidR="008D4914" w:rsidRDefault="008D4914" w:rsidP="008D4914">
      <w:pPr>
        <w:pStyle w:val="NormalAutoChapter"/>
      </w:pPr>
      <w:r>
        <w:t>In 2021, there were renewed calls by community and legal groups for a comprehensive review of the ADA.</w:t>
      </w:r>
      <w:r>
        <w:rPr>
          <w:rStyle w:val="FootnoteReference"/>
        </w:rPr>
        <w:footnoteReference w:id="6"/>
      </w:r>
      <w:r>
        <w:t xml:space="preserve"> In announcing this review in 2023, the NSW Attorney General recognised that:</w:t>
      </w:r>
    </w:p>
    <w:p w14:paraId="36DB6CF2" w14:textId="77777777" w:rsidR="008D4914" w:rsidRPr="003067A5" w:rsidRDefault="008D4914" w:rsidP="008D4914">
      <w:pPr>
        <w:pStyle w:val="Quotationnormal"/>
      </w:pPr>
      <w:r>
        <w:t>T</w:t>
      </w:r>
      <w:r w:rsidRPr="008346FA">
        <w:t>here have been monumental shifts in society, demographics and attitudes since the Act came into force nearly half a century ago.</w:t>
      </w:r>
      <w:r>
        <w:t xml:space="preserve"> … </w:t>
      </w:r>
      <w:r w:rsidRPr="003067A5">
        <w:t>It is essential to conduct reviews of this nature to ensure our laws represent who we are today as a community.</w:t>
      </w:r>
      <w:r>
        <w:rPr>
          <w:rStyle w:val="FootnoteReference"/>
        </w:rPr>
        <w:footnoteReference w:id="7"/>
      </w:r>
    </w:p>
    <w:p w14:paraId="1AEF6213" w14:textId="77777777" w:rsidR="008D4914" w:rsidRDefault="008D4914" w:rsidP="008D4914">
      <w:pPr>
        <w:pStyle w:val="NormalAutoChapter"/>
      </w:pPr>
      <w:r>
        <w:t>It could still be said, as the NSWLRC did in 1999, that many aspects of the ADA continue to “reflect the political and social climate at the time of its enactment”. In addition to concerns about its substantive content, many believe the ADA uses outdated and offensive language, and its style and structure is difficult for the community to navigate.</w:t>
      </w:r>
    </w:p>
    <w:p w14:paraId="6C92246D" w14:textId="77777777" w:rsidR="008D4914" w:rsidRDefault="008D4914" w:rsidP="008D4914">
      <w:pPr>
        <w:pStyle w:val="NormalAutoChapter"/>
      </w:pPr>
      <w:r>
        <w:t xml:space="preserve">Our role in this review is to examine the ADA thoroughly and, where necessary, make recommendations to ensure that this law serves our community effectively. </w:t>
      </w:r>
    </w:p>
    <w:p w14:paraId="3D8C6C46" w14:textId="18315498" w:rsidR="008D4914" w:rsidRDefault="008D4914" w:rsidP="008D4914">
      <w:pPr>
        <w:pStyle w:val="Heading1"/>
      </w:pPr>
      <w:bookmarkStart w:id="28" w:name="_Toc196727962"/>
      <w:bookmarkStart w:id="29" w:name="_Toc196826793"/>
      <w:r>
        <w:t>Our process so far</w:t>
      </w:r>
      <w:bookmarkEnd w:id="28"/>
      <w:bookmarkEnd w:id="29"/>
    </w:p>
    <w:p w14:paraId="4F228AE0" w14:textId="36838089" w:rsidR="008D4914" w:rsidRDefault="008D4914" w:rsidP="008D4914">
      <w:pPr>
        <w:pStyle w:val="NormalAutoChapter"/>
      </w:pPr>
      <w:r>
        <w:t xml:space="preserve">We received the terms of reference for this review in June 2023. Since that time, we have conducted significant research into the operation of the ADA and into discrimination laws elsewhere. </w:t>
      </w:r>
    </w:p>
    <w:p w14:paraId="7B369E38" w14:textId="28752592" w:rsidR="008D4914" w:rsidRDefault="008D4914" w:rsidP="008D4914">
      <w:pPr>
        <w:pStyle w:val="NormalAutoChapter"/>
      </w:pPr>
      <w:r>
        <w:t>We called for preliminary submissions on 20 July 2023.</w:t>
      </w:r>
      <w:r w:rsidR="00A51920">
        <w:t xml:space="preserve"> We</w:t>
      </w:r>
      <w:r>
        <w:t xml:space="preserve"> </w:t>
      </w:r>
      <w:r w:rsidR="00A51920" w:rsidRPr="00B50978">
        <w:t>received 9</w:t>
      </w:r>
      <w:r w:rsidR="00A51920">
        <w:t>8</w:t>
      </w:r>
      <w:r w:rsidR="00A51920" w:rsidRPr="00B50978">
        <w:t xml:space="preserve"> preliminary submissions, many of which are available on our website.</w:t>
      </w:r>
      <w:r w:rsidR="00A51920">
        <w:t xml:space="preserve"> </w:t>
      </w:r>
      <w:r w:rsidRPr="00B50978">
        <w:t>Appendix A to</w:t>
      </w:r>
      <w:r>
        <w:t xml:space="preserve"> this consultation paper contains a list of the preliminary submissions we received. They were immensely helpful in identifying the key issues of community concern, as well as areas for further research and consideration. </w:t>
      </w:r>
    </w:p>
    <w:p w14:paraId="7960CB4B" w14:textId="77777777" w:rsidR="008D4914" w:rsidRDefault="008D4914" w:rsidP="008D4914">
      <w:pPr>
        <w:pStyle w:val="NormalAutoChapter"/>
      </w:pPr>
      <w:r>
        <w:lastRenderedPageBreak/>
        <w:t>We also conducted targeted preliminary consultations with agencies and academics to help clarify issues about the operation of the AD</w:t>
      </w:r>
      <w:r w:rsidRPr="00B50978">
        <w:t>A. Appendix B contains a list of these preliminary consultations.</w:t>
      </w:r>
      <w:r>
        <w:t xml:space="preserve"> </w:t>
      </w:r>
    </w:p>
    <w:p w14:paraId="1163ED51" w14:textId="77777777" w:rsidR="008D4914" w:rsidRDefault="008D4914" w:rsidP="008D4914">
      <w:pPr>
        <w:pStyle w:val="NormalAutoChapter"/>
      </w:pPr>
      <w:r>
        <w:t xml:space="preserve">From February to September 2024, we completed a separate review into the effectiveness of s 93Z of the </w:t>
      </w:r>
      <w:r w:rsidRPr="0051088B">
        <w:rPr>
          <w:i/>
          <w:iCs/>
        </w:rPr>
        <w:t xml:space="preserve">Crimes Act 1900 </w:t>
      </w:r>
      <w:r w:rsidRPr="00E0622F">
        <w:t>(NSW)</w:t>
      </w:r>
      <w:r>
        <w:t xml:space="preserve"> in addressing religious and racial vilification. Our report on this review was tabled in Parliament and released on 21 November 2024.</w:t>
      </w:r>
      <w:r>
        <w:rPr>
          <w:rStyle w:val="FootnoteReference"/>
        </w:rPr>
        <w:footnoteReference w:id="8"/>
      </w:r>
    </w:p>
    <w:p w14:paraId="4193F3A6" w14:textId="77777777" w:rsidR="008D4914" w:rsidRDefault="008D4914" w:rsidP="008D4914">
      <w:pPr>
        <w:pStyle w:val="NormalAutoChapter"/>
      </w:pPr>
      <w:r>
        <w:t xml:space="preserve">We </w:t>
      </w:r>
      <w:r w:rsidRPr="00B50978">
        <w:t>received 69 submissions</w:t>
      </w:r>
      <w:r>
        <w:t xml:space="preserve"> during that review, and we consulted a wide range of individuals and groups. </w:t>
      </w:r>
      <w:r w:rsidRPr="003F4D90">
        <w:t xml:space="preserve">This included judicial officers, bodies that represent the legal profession, community legal centres, police and prosecutors, academic experts, groups representing Aboriginal people, religious groups, multicultural groups, and groups advocating on behalf of members of LGBTQIA+ communities and people living with HIV/AIDS. </w:t>
      </w:r>
    </w:p>
    <w:p w14:paraId="63F6FC1F" w14:textId="77777777" w:rsidR="008D4914" w:rsidRDefault="008D4914" w:rsidP="008D4914">
      <w:pPr>
        <w:pStyle w:val="NormalAutoChapter"/>
      </w:pPr>
      <w:r>
        <w:t xml:space="preserve">While the s 93Z review was limited to examining serious racial and religious vilification, submissions and consultations raised many related issues about the ADA. These included concerns about the ADA’s civil vilification protections and the effectiveness of complaint mechanisms. The views expressed in those submissions and consultations have also assisted us in preparing this consultation paper. </w:t>
      </w:r>
    </w:p>
    <w:p w14:paraId="153322C8" w14:textId="51F6D80D" w:rsidR="008D4914" w:rsidRDefault="008D4914" w:rsidP="008D4914">
      <w:pPr>
        <w:pStyle w:val="Heading1"/>
      </w:pPr>
      <w:bookmarkStart w:id="30" w:name="_Toc196727963"/>
      <w:bookmarkStart w:id="31" w:name="_Toc196826794"/>
      <w:r>
        <w:t>About this consultation paper</w:t>
      </w:r>
      <w:bookmarkEnd w:id="30"/>
      <w:bookmarkEnd w:id="31"/>
    </w:p>
    <w:p w14:paraId="65CA0D40" w14:textId="77777777" w:rsidR="008D4914" w:rsidRDefault="008D4914" w:rsidP="008D4914">
      <w:pPr>
        <w:pStyle w:val="NormalAutoChapter"/>
      </w:pPr>
      <w:r>
        <w:t xml:space="preserve">This paper seeks your views on the ADA, focusing on the conduct that it prohibits. We provide information to explain the current law. We also set out some possible options for reform, drawn from our research and suggestions made in preliminary submissions. </w:t>
      </w:r>
    </w:p>
    <w:p w14:paraId="136B2BBE" w14:textId="77777777" w:rsidR="008D4914" w:rsidRDefault="008D4914" w:rsidP="008D4914">
      <w:pPr>
        <w:pStyle w:val="NormalAutoChapter"/>
      </w:pPr>
      <w:r>
        <w:t xml:space="preserve">We emphasise that these </w:t>
      </w:r>
      <w:bookmarkStart w:id="32" w:name="_Hlk195621015"/>
      <w:r>
        <w:t>options and issues are presented in this consultation paper for the purpose of discussion only. We have not yet formed a position or developed any recommendations in this review.</w:t>
      </w:r>
    </w:p>
    <w:bookmarkEnd w:id="32"/>
    <w:p w14:paraId="1179C32F" w14:textId="77777777" w:rsidR="008D4914" w:rsidRDefault="008D4914" w:rsidP="008D4914">
      <w:pPr>
        <w:pStyle w:val="NormalAutoChapter"/>
      </w:pPr>
      <w:r>
        <w:t xml:space="preserve">Many of the options in this paper are informed by developments in discrimination law in other states, territories and at the federal level. These include reviews conducted by other law reform agencies. Many of these reviews led to legislative amendments that have reshaped discrimination laws elsewhere. We refer to these developments throughout this consultation paper. </w:t>
      </w:r>
    </w:p>
    <w:p w14:paraId="0741AD88" w14:textId="39881C90" w:rsidR="008D4914" w:rsidRDefault="008D4914" w:rsidP="008D4914">
      <w:pPr>
        <w:pStyle w:val="NormalAutoChapter"/>
      </w:pPr>
      <w:r>
        <w:t xml:space="preserve">In doing so, we recognise that the law in this area is changing rapidly. At the time of writing, for example, there is uncertainty about the </w:t>
      </w:r>
      <w:r w:rsidR="00B92052">
        <w:t xml:space="preserve">future </w:t>
      </w:r>
      <w:r>
        <w:t xml:space="preserve">of recent discrimination </w:t>
      </w:r>
      <w:r>
        <w:lastRenderedPageBreak/>
        <w:t>law reforms in the Northern Territory and Queensland.</w:t>
      </w:r>
      <w:r>
        <w:rPr>
          <w:rStyle w:val="FootnoteReference"/>
        </w:rPr>
        <w:footnoteReference w:id="9"/>
      </w:r>
      <w:r>
        <w:t xml:space="preserve"> We acknowledge this in the consultation paper where relevant. </w:t>
      </w:r>
    </w:p>
    <w:p w14:paraId="7DAAEA82" w14:textId="77777777" w:rsidR="008D4914" w:rsidRDefault="008D4914" w:rsidP="008D4914">
      <w:pPr>
        <w:pStyle w:val="Heading2"/>
      </w:pPr>
      <w:bookmarkStart w:id="33" w:name="_Toc196727964"/>
      <w:bookmarkStart w:id="34" w:name="_Toc196826795"/>
      <w:r>
        <w:t>Chapter overview</w:t>
      </w:r>
      <w:bookmarkEnd w:id="33"/>
      <w:bookmarkEnd w:id="34"/>
    </w:p>
    <w:p w14:paraId="20F36E98" w14:textId="77777777" w:rsidR="008D4914" w:rsidRDefault="008D4914" w:rsidP="008D4914">
      <w:pPr>
        <w:pStyle w:val="NormalAutoChapter"/>
      </w:pPr>
      <w:r>
        <w:t>In this consultation paper:</w:t>
      </w:r>
    </w:p>
    <w:p w14:paraId="35E69051" w14:textId="77777777" w:rsidR="008D4914" w:rsidRDefault="008D4914" w:rsidP="008D4914">
      <w:pPr>
        <w:pStyle w:val="Normalbullet"/>
      </w:pPr>
      <w:r w:rsidRPr="00783E94">
        <w:rPr>
          <w:b/>
          <w:bCs/>
        </w:rPr>
        <w:t>Chapter 2</w:t>
      </w:r>
      <w:r>
        <w:t xml:space="preserve"> outlines the background and context to the ADA</w:t>
      </w:r>
    </w:p>
    <w:p w14:paraId="693B37C2" w14:textId="77777777" w:rsidR="008D4914" w:rsidRDefault="008D4914" w:rsidP="008D4914">
      <w:pPr>
        <w:pStyle w:val="Normalbullet"/>
      </w:pPr>
      <w:r w:rsidRPr="007D613E">
        <w:rPr>
          <w:b/>
          <w:bCs/>
        </w:rPr>
        <w:t>Chapter 3</w:t>
      </w:r>
      <w:r>
        <w:t xml:space="preserve"> sets out the tests for discrimination </w:t>
      </w:r>
    </w:p>
    <w:p w14:paraId="1FD7007E" w14:textId="77777777" w:rsidR="008D4914" w:rsidRDefault="008D4914" w:rsidP="008D4914">
      <w:pPr>
        <w:pStyle w:val="Normalbullet"/>
      </w:pPr>
      <w:r w:rsidRPr="00E61FD8">
        <w:rPr>
          <w:b/>
          <w:bCs/>
        </w:rPr>
        <w:t>Chapter 4</w:t>
      </w:r>
      <w:r>
        <w:t xml:space="preserve"> considers the attributes that are currently protected from discrimination</w:t>
      </w:r>
    </w:p>
    <w:p w14:paraId="163AB4A6" w14:textId="77777777" w:rsidR="008D4914" w:rsidRDefault="008D4914" w:rsidP="008D4914">
      <w:pPr>
        <w:pStyle w:val="Normalbullet"/>
      </w:pPr>
      <w:r w:rsidRPr="00E61FD8">
        <w:rPr>
          <w:b/>
          <w:bCs/>
        </w:rPr>
        <w:t>Chapter 5</w:t>
      </w:r>
      <w:r>
        <w:t xml:space="preserve"> considers other attributes that some say should also be protected from discrimination </w:t>
      </w:r>
    </w:p>
    <w:p w14:paraId="6530F3BB" w14:textId="77777777" w:rsidR="008D4914" w:rsidRDefault="008D4914" w:rsidP="008D4914">
      <w:pPr>
        <w:pStyle w:val="Normalbullet"/>
      </w:pPr>
      <w:r w:rsidRPr="00E61FD8">
        <w:rPr>
          <w:b/>
          <w:bCs/>
        </w:rPr>
        <w:t>Chapter 6</w:t>
      </w:r>
      <w:r>
        <w:t xml:space="preserve"> sets out the areas of public life in which discrimination is prohibited, some area-specific exceptions, and related issues</w:t>
      </w:r>
    </w:p>
    <w:p w14:paraId="22034C50" w14:textId="77777777" w:rsidR="008D4914" w:rsidRDefault="008D4914" w:rsidP="008D4914">
      <w:pPr>
        <w:pStyle w:val="Normalbullet"/>
      </w:pPr>
      <w:r w:rsidRPr="00E61FD8">
        <w:rPr>
          <w:b/>
          <w:bCs/>
        </w:rPr>
        <w:t>Chapter 7</w:t>
      </w:r>
      <w:r>
        <w:t xml:space="preserve"> considers the wider exceptions in the ADA, some of which apply across the whole Act </w:t>
      </w:r>
    </w:p>
    <w:p w14:paraId="73936ACE" w14:textId="77777777" w:rsidR="008D4914" w:rsidRDefault="008D4914" w:rsidP="008D4914">
      <w:pPr>
        <w:pStyle w:val="Normalbullet"/>
      </w:pPr>
      <w:r w:rsidRPr="00E61FD8">
        <w:rPr>
          <w:b/>
          <w:bCs/>
        </w:rPr>
        <w:t>Chapter 8</w:t>
      </w:r>
      <w:r>
        <w:t xml:space="preserve"> focuses on the civil vilification protections in the ADA</w:t>
      </w:r>
    </w:p>
    <w:p w14:paraId="7975678E" w14:textId="77777777" w:rsidR="008D4914" w:rsidRDefault="008D4914" w:rsidP="008D4914">
      <w:pPr>
        <w:pStyle w:val="Normalbullet"/>
      </w:pPr>
      <w:r w:rsidRPr="00E61FD8">
        <w:rPr>
          <w:b/>
          <w:bCs/>
        </w:rPr>
        <w:t>Chapter 9</w:t>
      </w:r>
      <w:r>
        <w:t xml:space="preserve"> discusses the ADA’s prohibition on sexual harassment and whether other forms of harassment should also be prohibited</w:t>
      </w:r>
    </w:p>
    <w:p w14:paraId="2812A334" w14:textId="77777777" w:rsidR="008D4914" w:rsidRPr="00E61FD8" w:rsidRDefault="008D4914" w:rsidP="008D4914">
      <w:pPr>
        <w:pStyle w:val="Normalbullet"/>
      </w:pPr>
      <w:r w:rsidRPr="0013552B">
        <w:rPr>
          <w:b/>
          <w:bCs/>
        </w:rPr>
        <w:t>Chapter 10</w:t>
      </w:r>
      <w:r>
        <w:t xml:space="preserve"> considers other unlawful behaviours under the ADA (including victimisation) and how </w:t>
      </w:r>
      <w:r w:rsidRPr="00E61FD8">
        <w:t>liability for unlawful behaviours works under the ADA</w:t>
      </w:r>
    </w:p>
    <w:p w14:paraId="6E0BDC07" w14:textId="77777777" w:rsidR="008D4914" w:rsidRPr="00E61FD8" w:rsidRDefault="008D4914" w:rsidP="008D4914">
      <w:pPr>
        <w:pStyle w:val="Normalbullet"/>
      </w:pPr>
      <w:r w:rsidRPr="00E61FD8">
        <w:rPr>
          <w:b/>
          <w:bCs/>
        </w:rPr>
        <w:t>Chapter 11</w:t>
      </w:r>
      <w:r w:rsidRPr="00E61FD8">
        <w:t xml:space="preserve"> sets out options for possible mechanisms to promote substantive equality, such as adjustments, special measures and positive duties to prevent discrimination and unlawful conduct</w:t>
      </w:r>
    </w:p>
    <w:p w14:paraId="5804E616" w14:textId="77777777" w:rsidR="008D4914" w:rsidRPr="00E61FD8" w:rsidRDefault="008D4914" w:rsidP="008D4914">
      <w:pPr>
        <w:pStyle w:val="Normalbullet"/>
      </w:pPr>
      <w:r w:rsidRPr="00E61FD8">
        <w:rPr>
          <w:b/>
          <w:bCs/>
        </w:rPr>
        <w:t>Appendix A</w:t>
      </w:r>
      <w:r w:rsidRPr="00E61FD8">
        <w:t xml:space="preserve"> lists the preliminary submissions received</w:t>
      </w:r>
    </w:p>
    <w:p w14:paraId="4EFBC969" w14:textId="77777777" w:rsidR="008D4914" w:rsidRPr="00E61FD8" w:rsidRDefault="008D4914" w:rsidP="008D4914">
      <w:pPr>
        <w:pStyle w:val="Normalbullet"/>
      </w:pPr>
      <w:r w:rsidRPr="00E61FD8">
        <w:rPr>
          <w:b/>
          <w:bCs/>
        </w:rPr>
        <w:t>Appendix B</w:t>
      </w:r>
      <w:r w:rsidRPr="00E61FD8">
        <w:t xml:space="preserve"> lists the preliminary consultations conducted </w:t>
      </w:r>
    </w:p>
    <w:p w14:paraId="2C6A9ECE" w14:textId="77777777" w:rsidR="008D4914" w:rsidRDefault="008D4914" w:rsidP="008D4914">
      <w:pPr>
        <w:pStyle w:val="Heading2"/>
      </w:pPr>
      <w:bookmarkStart w:id="35" w:name="_Toc196727965"/>
      <w:bookmarkStart w:id="36" w:name="_Toc196826796"/>
      <w:r>
        <w:t>Accessible alternatives</w:t>
      </w:r>
      <w:bookmarkEnd w:id="35"/>
      <w:bookmarkEnd w:id="36"/>
    </w:p>
    <w:p w14:paraId="115B20A0" w14:textId="71B8EF7A" w:rsidR="008D4914" w:rsidRPr="004B34A1" w:rsidRDefault="00330A39" w:rsidP="008D4914">
      <w:pPr>
        <w:pStyle w:val="NormalAutoChapter"/>
      </w:pPr>
      <w:r>
        <w:t>On our website, w</w:t>
      </w:r>
      <w:r w:rsidR="008D4914">
        <w:t>e</w:t>
      </w:r>
      <w:r w:rsidR="008D4914" w:rsidRPr="004B34A1">
        <w:t xml:space="preserve"> have published </w:t>
      </w:r>
      <w:r w:rsidR="008D4914">
        <w:t>accessible alternatives to this consultation paper:</w:t>
      </w:r>
    </w:p>
    <w:p w14:paraId="6FFF6128" w14:textId="1A3A13DE" w:rsidR="008D4914" w:rsidRDefault="008D4914" w:rsidP="008D4914">
      <w:pPr>
        <w:pStyle w:val="Normalbullet"/>
      </w:pPr>
      <w:r>
        <w:lastRenderedPageBreak/>
        <w:t>a</w:t>
      </w:r>
      <w:r w:rsidRPr="004B34A1">
        <w:t xml:space="preserve"> short </w:t>
      </w:r>
      <w:r>
        <w:t>c</w:t>
      </w:r>
      <w:r w:rsidRPr="004B34A1">
        <w:t xml:space="preserve">ommunity </w:t>
      </w:r>
      <w:r>
        <w:t>s</w:t>
      </w:r>
      <w:r w:rsidRPr="004B34A1">
        <w:t>ummary</w:t>
      </w:r>
      <w:r>
        <w:t xml:space="preserve"> of this consultation paper, </w:t>
      </w:r>
      <w:r w:rsidRPr="004B34A1">
        <w:t xml:space="preserve">which </w:t>
      </w:r>
      <w:r w:rsidR="00213D95">
        <w:t xml:space="preserve">outlines </w:t>
      </w:r>
      <w:r w:rsidRPr="004B34A1">
        <w:t>key issues in our revie</w:t>
      </w:r>
      <w:r>
        <w:t xml:space="preserve">w </w:t>
      </w:r>
      <w:r w:rsidRPr="004B34A1">
        <w:t xml:space="preserve">in </w:t>
      </w:r>
      <w:r w:rsidR="00213D95">
        <w:t>simpler language</w:t>
      </w:r>
      <w:r>
        <w:t xml:space="preserve">, and </w:t>
      </w:r>
    </w:p>
    <w:p w14:paraId="333F1CDD" w14:textId="61A6B60F" w:rsidR="008D4914" w:rsidRDefault="008D4914" w:rsidP="008D4914">
      <w:pPr>
        <w:pStyle w:val="Normalbullet"/>
      </w:pPr>
      <w:r>
        <w:t>a</w:t>
      </w:r>
      <w:r w:rsidRPr="004B34A1">
        <w:t xml:space="preserve">n Easy Read </w:t>
      </w:r>
      <w:r w:rsidR="00E82113">
        <w:t>consultation paper</w:t>
      </w:r>
      <w:r>
        <w:t>.</w:t>
      </w:r>
      <w:r w:rsidR="00330A39">
        <w:rPr>
          <w:rStyle w:val="FootnoteReference"/>
        </w:rPr>
        <w:footnoteReference w:id="10"/>
      </w:r>
      <w:r w:rsidR="00330A39">
        <w:t xml:space="preserve"> </w:t>
      </w:r>
    </w:p>
    <w:p w14:paraId="0588B468" w14:textId="77777777" w:rsidR="008D4914" w:rsidRDefault="008D4914" w:rsidP="008D4914">
      <w:pPr>
        <w:pStyle w:val="Heading1"/>
      </w:pPr>
      <w:bookmarkStart w:id="37" w:name="_Toc196727966"/>
      <w:bookmarkStart w:id="38" w:name="_Toc196826797"/>
      <w:r>
        <w:t>How to have your say</w:t>
      </w:r>
      <w:bookmarkEnd w:id="37"/>
      <w:bookmarkEnd w:id="38"/>
      <w:r>
        <w:t xml:space="preserve"> </w:t>
      </w:r>
    </w:p>
    <w:p w14:paraId="687D9C9F" w14:textId="77777777" w:rsidR="008D4914" w:rsidRDefault="008D4914" w:rsidP="008D4914">
      <w:pPr>
        <w:pStyle w:val="NormalAutoChapter"/>
      </w:pPr>
      <w:r>
        <w:t xml:space="preserve">We invite you to share your thoughts on the issues raised in this consultation paper. The diverse views, experiences, and perspectives of individuals and groups within our community are vital to this review. </w:t>
      </w:r>
    </w:p>
    <w:p w14:paraId="35EE6B5C" w14:textId="77777777" w:rsidR="008D4914" w:rsidRDefault="008D4914" w:rsidP="008D4914">
      <w:pPr>
        <w:pStyle w:val="NormalAutoChapter"/>
        <w:rPr>
          <w:lang w:eastAsia="en-US"/>
        </w:rPr>
      </w:pPr>
      <w:r>
        <w:rPr>
          <w:lang w:eastAsia="en-US"/>
        </w:rPr>
        <w:t xml:space="preserve">If you would like to have your say, you can </w:t>
      </w:r>
    </w:p>
    <w:p w14:paraId="16997BF8" w14:textId="7CAD297D" w:rsidR="008D4914" w:rsidRDefault="00721202" w:rsidP="008D4914">
      <w:pPr>
        <w:pStyle w:val="Normalbullet"/>
      </w:pPr>
      <w:r>
        <w:t xml:space="preserve">make </w:t>
      </w:r>
      <w:r w:rsidR="008D4914">
        <w:t xml:space="preserve">a submission </w:t>
      </w:r>
    </w:p>
    <w:p w14:paraId="5396BDB6" w14:textId="101DD71F" w:rsidR="004A0393" w:rsidRPr="004A0393" w:rsidRDefault="008D4914" w:rsidP="008D4914">
      <w:pPr>
        <w:pStyle w:val="Normalbullet"/>
      </w:pPr>
      <w:r>
        <w:t xml:space="preserve">complete our </w:t>
      </w:r>
      <w:hyperlink r:id="rId22" w:history="1">
        <w:r w:rsidR="003B7115">
          <w:rPr>
            <w:rStyle w:val="Hyperlink"/>
            <w:rFonts w:ascii="Public Sans" w:hAnsi="Public Sans"/>
            <w:sz w:val="22"/>
          </w:rPr>
          <w:t>online survey</w:t>
        </w:r>
      </w:hyperlink>
      <w:r w:rsidR="004A0393">
        <w:rPr>
          <w:rFonts w:cs="Arial"/>
          <w:color w:val="002664"/>
          <w:lang w:eastAsia="en-AU"/>
        </w:rPr>
        <w:t xml:space="preserve">, </w:t>
      </w:r>
      <w:r w:rsidR="004A0393" w:rsidRPr="00DF19BC">
        <w:rPr>
          <w:rFonts w:cs="Arial"/>
          <w:lang w:eastAsia="en-AU"/>
        </w:rPr>
        <w:t>or</w:t>
      </w:r>
    </w:p>
    <w:p w14:paraId="5A0E799E" w14:textId="364502EC" w:rsidR="00614F1B" w:rsidRPr="00614F1B" w:rsidRDefault="004A0393" w:rsidP="004A0393">
      <w:pPr>
        <w:pStyle w:val="Normalbullet"/>
        <w:rPr>
          <w:rFonts w:ascii="Aptos" w:hAnsi="Aptos"/>
          <w:szCs w:val="22"/>
        </w:rPr>
      </w:pPr>
      <w:r>
        <w:t xml:space="preserve">answer the questions in our Easy Read </w:t>
      </w:r>
      <w:r w:rsidR="00F3100A">
        <w:t>consultation paper</w:t>
      </w:r>
      <w:r>
        <w:t>.</w:t>
      </w:r>
    </w:p>
    <w:p w14:paraId="08D135E8" w14:textId="4E051C6F" w:rsidR="002C6849" w:rsidRPr="008F34D4" w:rsidRDefault="00830A5E" w:rsidP="002C6849">
      <w:pPr>
        <w:pStyle w:val="NormalAutoChapter"/>
      </w:pPr>
      <w:r>
        <w:t xml:space="preserve">The due date for submissions, </w:t>
      </w:r>
      <w:r w:rsidR="002C6849">
        <w:t xml:space="preserve">survey responses, </w:t>
      </w:r>
      <w:r>
        <w:t xml:space="preserve">and </w:t>
      </w:r>
      <w:r w:rsidR="002C6849">
        <w:t>answers to our Easy Read questions</w:t>
      </w:r>
      <w:r>
        <w:t xml:space="preserve"> is</w:t>
      </w:r>
      <w:r>
        <w:rPr>
          <w:b/>
          <w:bCs/>
        </w:rPr>
        <w:t xml:space="preserve"> 15</w:t>
      </w:r>
      <w:r w:rsidR="007C7F33">
        <w:rPr>
          <w:b/>
          <w:bCs/>
        </w:rPr>
        <w:t> </w:t>
      </w:r>
      <w:r>
        <w:rPr>
          <w:b/>
          <w:bCs/>
        </w:rPr>
        <w:t>August 2025</w:t>
      </w:r>
      <w:r w:rsidR="002C6849" w:rsidRPr="0034626D">
        <w:rPr>
          <w:b/>
          <w:bCs/>
        </w:rPr>
        <w:t>.</w:t>
      </w:r>
      <w:r w:rsidR="008F34D4">
        <w:rPr>
          <w:b/>
          <w:bCs/>
        </w:rPr>
        <w:t xml:space="preserve"> </w:t>
      </w:r>
    </w:p>
    <w:p w14:paraId="59F1B39F" w14:textId="663E9F10" w:rsidR="008F34D4" w:rsidRPr="008F34D4" w:rsidRDefault="008F34D4" w:rsidP="002C6849">
      <w:pPr>
        <w:pStyle w:val="NormalAutoChapter"/>
      </w:pPr>
      <w:r w:rsidRPr="008F34D4">
        <w:t xml:space="preserve">Submissions </w:t>
      </w:r>
      <w:r>
        <w:t xml:space="preserve">and Easy Read responses can be emailed to us at </w:t>
      </w:r>
      <w:hyperlink r:id="rId23" w:history="1">
        <w:r w:rsidRPr="00704091">
          <w:rPr>
            <w:rStyle w:val="Hyperlink"/>
            <w:rFonts w:ascii="Public Sans" w:hAnsi="Public Sans"/>
            <w:sz w:val="22"/>
          </w:rPr>
          <w:t>adareview@dcj.nsw.gov.au</w:t>
        </w:r>
      </w:hyperlink>
      <w:r w:rsidR="005B445E">
        <w:t xml:space="preserve">. </w:t>
      </w:r>
    </w:p>
    <w:p w14:paraId="39698BAA" w14:textId="77777777" w:rsidR="008D4914" w:rsidRDefault="008D4914" w:rsidP="008D4914">
      <w:pPr>
        <w:pStyle w:val="Heading2"/>
      </w:pPr>
      <w:bookmarkStart w:id="39" w:name="_Toc196727967"/>
      <w:bookmarkStart w:id="40" w:name="_Toc196826798"/>
      <w:r>
        <w:t>What to include in a submission</w:t>
      </w:r>
      <w:bookmarkEnd w:id="39"/>
      <w:bookmarkEnd w:id="40"/>
      <w:r>
        <w:t xml:space="preserve"> </w:t>
      </w:r>
    </w:p>
    <w:p w14:paraId="211FCDE1" w14:textId="77777777" w:rsidR="008D4914" w:rsidRDefault="008D4914" w:rsidP="008D4914">
      <w:pPr>
        <w:pStyle w:val="NormalAutoChapter"/>
      </w:pPr>
      <w:r>
        <w:t>This consultation paper includes questions that can help guide your response to the issues raised.</w:t>
      </w:r>
      <w:r>
        <w:rPr>
          <w:rStyle w:val="FootnoteReference"/>
        </w:rPr>
        <w:footnoteReference w:id="11"/>
      </w:r>
      <w:r>
        <w:t xml:space="preserve"> </w:t>
      </w:r>
    </w:p>
    <w:p w14:paraId="5C29F166" w14:textId="77777777" w:rsidR="008D4914" w:rsidRDefault="008D4914" w:rsidP="008D4914">
      <w:pPr>
        <w:pStyle w:val="NormalAutoChapter"/>
      </w:pPr>
      <w:r>
        <w:t xml:space="preserve">However, you do not need to answer all the questions. We also encourage you to raise other issues and options that we have not covered in this consultation paper. </w:t>
      </w:r>
    </w:p>
    <w:p w14:paraId="501ECCE4" w14:textId="6B03754F" w:rsidR="008D4914" w:rsidRPr="0020238B" w:rsidRDefault="008D4914" w:rsidP="008D4914">
      <w:pPr>
        <w:pStyle w:val="NormalAutoChapter"/>
      </w:pPr>
      <w:r>
        <w:t xml:space="preserve">For further information, please visit our web page on </w:t>
      </w:r>
      <w:hyperlink r:id="rId24" w:history="1">
        <w:r w:rsidR="003524AE">
          <w:rPr>
            <w:rStyle w:val="Hyperlink"/>
            <w:rFonts w:ascii="Public Sans" w:hAnsi="Public Sans"/>
            <w:sz w:val="22"/>
          </w:rPr>
          <w:t>how to make a submission</w:t>
        </w:r>
      </w:hyperlink>
      <w:r>
        <w:t>.</w:t>
      </w:r>
      <w:r>
        <w:rPr>
          <w:rStyle w:val="FootnoteReference"/>
        </w:rPr>
        <w:footnoteReference w:id="12"/>
      </w:r>
      <w:r>
        <w:t xml:space="preserve"> </w:t>
      </w:r>
    </w:p>
    <w:p w14:paraId="48A723D0" w14:textId="2A36962E" w:rsidR="008D4914" w:rsidRDefault="008D4914" w:rsidP="008D4914">
      <w:pPr>
        <w:pStyle w:val="Heading2"/>
      </w:pPr>
      <w:bookmarkStart w:id="41" w:name="_Toc196727968"/>
      <w:bookmarkStart w:id="42" w:name="_Toc196826799"/>
      <w:r>
        <w:t>You can email your submission to us</w:t>
      </w:r>
      <w:bookmarkEnd w:id="41"/>
      <w:bookmarkEnd w:id="42"/>
    </w:p>
    <w:p w14:paraId="124DD18C" w14:textId="048FF464" w:rsidR="008D4914" w:rsidRDefault="00E73554" w:rsidP="008D4914">
      <w:pPr>
        <w:pStyle w:val="NormalAutoChapter"/>
      </w:pPr>
      <w:r>
        <w:t>When emailing your submission to us</w:t>
      </w:r>
      <w:r w:rsidR="008D4914">
        <w:t xml:space="preserve">, please let us know if you would like your submission to be kept confidential or anonymous. Our general policy is to publish the submissions we receive on our website, unless they are confidential or unsuitable for publication. We may also refer to them in our final report. </w:t>
      </w:r>
    </w:p>
    <w:p w14:paraId="4E6C9F75" w14:textId="77777777" w:rsidR="008D4914" w:rsidRPr="00B7741D" w:rsidRDefault="008D4914" w:rsidP="008D4914">
      <w:pPr>
        <w:pStyle w:val="NormalAutoChapter"/>
      </w:pPr>
      <w:r>
        <w:lastRenderedPageBreak/>
        <w:t xml:space="preserve">You can find our </w:t>
      </w:r>
      <w:hyperlink r:id="rId25" w:history="1">
        <w:r w:rsidRPr="008D4914">
          <w:rPr>
            <w:rStyle w:val="Hyperlink"/>
            <w:rFonts w:ascii="Public Sans" w:hAnsi="Public Sans"/>
            <w:sz w:val="22"/>
          </w:rPr>
          <w:t>privacy and information management policy</w:t>
        </w:r>
      </w:hyperlink>
      <w:r>
        <w:t xml:space="preserve"> on our website</w:t>
      </w:r>
      <w:r w:rsidRPr="00FB1F09">
        <w:t>.</w:t>
      </w:r>
      <w:r w:rsidRPr="00FB1F09">
        <w:rPr>
          <w:rStyle w:val="FootnoteReference"/>
        </w:rPr>
        <w:footnoteReference w:id="13"/>
      </w:r>
    </w:p>
    <w:p w14:paraId="382E1CCD" w14:textId="60E00449" w:rsidR="008D4914" w:rsidRDefault="008D4914" w:rsidP="008D4914">
      <w:pPr>
        <w:pStyle w:val="Heading2"/>
      </w:pPr>
      <w:bookmarkStart w:id="43" w:name="_Toc196727969"/>
      <w:bookmarkStart w:id="44" w:name="_Toc196826800"/>
      <w:r>
        <w:t>You can complete our survey</w:t>
      </w:r>
      <w:bookmarkEnd w:id="43"/>
      <w:bookmarkEnd w:id="44"/>
    </w:p>
    <w:p w14:paraId="5C13C162" w14:textId="70C1C31B" w:rsidR="008D4914" w:rsidRPr="006A7A70" w:rsidRDefault="008D4914" w:rsidP="008D4914">
      <w:pPr>
        <w:pStyle w:val="NormalAutoChapter"/>
      </w:pPr>
      <w:r>
        <w:t xml:space="preserve">Instead of making a submission, you may prefer to complete our </w:t>
      </w:r>
      <w:hyperlink r:id="rId26" w:history="1">
        <w:r w:rsidR="00BD08A1" w:rsidRPr="00665F78">
          <w:rPr>
            <w:rStyle w:val="Hyperlink"/>
            <w:rFonts w:ascii="Public Sans" w:hAnsi="Public Sans"/>
            <w:sz w:val="22"/>
          </w:rPr>
          <w:t>online</w:t>
        </w:r>
        <w:r w:rsidRPr="00665F78">
          <w:rPr>
            <w:rStyle w:val="Hyperlink"/>
            <w:rFonts w:ascii="Public Sans" w:hAnsi="Public Sans"/>
            <w:sz w:val="22"/>
          </w:rPr>
          <w:t xml:space="preserve"> survey</w:t>
        </w:r>
      </w:hyperlink>
      <w:r>
        <w:t xml:space="preserve">. Our </w:t>
      </w:r>
      <w:r w:rsidR="00084287">
        <w:t xml:space="preserve">community </w:t>
      </w:r>
      <w:r>
        <w:t xml:space="preserve">summary of this consultation paper can help you complete the survey. </w:t>
      </w:r>
    </w:p>
    <w:p w14:paraId="3013B5A0" w14:textId="77777777" w:rsidR="00665F78" w:rsidRDefault="008A2FE5" w:rsidP="00DD352A">
      <w:pPr>
        <w:pStyle w:val="NormalAutoChapter"/>
      </w:pPr>
      <w:r>
        <w:rPr>
          <w:lang w:eastAsia="en-US"/>
        </w:rPr>
        <w:t>If you prefer,</w:t>
      </w:r>
      <w:r w:rsidR="0078670D">
        <w:rPr>
          <w:lang w:eastAsia="en-US"/>
        </w:rPr>
        <w:t xml:space="preserve"> </w:t>
      </w:r>
      <w:r w:rsidR="008D4914">
        <w:rPr>
          <w:lang w:eastAsia="en-US"/>
        </w:rPr>
        <w:t xml:space="preserve">you can download the survey from our website in Word or </w:t>
      </w:r>
      <w:proofErr w:type="gramStart"/>
      <w:r w:rsidR="008D4914">
        <w:rPr>
          <w:lang w:eastAsia="en-US"/>
        </w:rPr>
        <w:t>PDF</w:t>
      </w:r>
      <w:r w:rsidR="005322A2">
        <w:rPr>
          <w:lang w:eastAsia="en-US"/>
        </w:rPr>
        <w:t>, and</w:t>
      </w:r>
      <w:proofErr w:type="gramEnd"/>
      <w:r w:rsidR="005322A2">
        <w:rPr>
          <w:lang w:eastAsia="en-US"/>
        </w:rPr>
        <w:t xml:space="preserve"> email your responses to </w:t>
      </w:r>
      <w:hyperlink r:id="rId27" w:history="1">
        <w:r w:rsidR="008D4914" w:rsidRPr="00665F78">
          <w:rPr>
            <w:rStyle w:val="Hyperlink"/>
            <w:rFonts w:ascii="Public Sans" w:hAnsi="Public Sans"/>
            <w:sz w:val="22"/>
          </w:rPr>
          <w:t>adareview@dcj.nsw.gov.au</w:t>
        </w:r>
      </w:hyperlink>
      <w:r w:rsidR="008D4914">
        <w:rPr>
          <w:lang w:eastAsia="en-US"/>
        </w:rPr>
        <w:t>. Please write “ADA Survey Response” as the subject</w:t>
      </w:r>
      <w:r w:rsidR="00E23DE6">
        <w:rPr>
          <w:lang w:eastAsia="en-US"/>
        </w:rPr>
        <w:t xml:space="preserve">. </w:t>
      </w:r>
    </w:p>
    <w:p w14:paraId="6BCCFF34" w14:textId="430BA05C" w:rsidR="008D4914" w:rsidRDefault="00842DB4" w:rsidP="00DD352A">
      <w:pPr>
        <w:pStyle w:val="NormalAutoChapter"/>
      </w:pPr>
      <w:r>
        <w:rPr>
          <w:lang w:eastAsia="en-US"/>
        </w:rPr>
        <w:t>Please tell us i</w:t>
      </w:r>
      <w:r w:rsidR="008D4914">
        <w:rPr>
          <w:lang w:eastAsia="en-US"/>
        </w:rPr>
        <w:t>f you want your responses to remain confidential</w:t>
      </w:r>
      <w:r>
        <w:rPr>
          <w:lang w:eastAsia="en-US"/>
        </w:rPr>
        <w:t xml:space="preserve"> or anonymous</w:t>
      </w:r>
      <w:r w:rsidR="008D4914">
        <w:rPr>
          <w:lang w:eastAsia="en-US"/>
        </w:rPr>
        <w:t xml:space="preserve">. </w:t>
      </w:r>
    </w:p>
    <w:p w14:paraId="3FCD1BF5" w14:textId="77777777" w:rsidR="008D4914" w:rsidRDefault="008D4914" w:rsidP="008D4914">
      <w:pPr>
        <w:pStyle w:val="Heading1"/>
      </w:pPr>
      <w:bookmarkStart w:id="45" w:name="_Toc196727970"/>
      <w:bookmarkStart w:id="46" w:name="_Toc196826801"/>
      <w:r>
        <w:t>Next steps</w:t>
      </w:r>
      <w:bookmarkEnd w:id="45"/>
      <w:bookmarkEnd w:id="46"/>
      <w:r>
        <w:t xml:space="preserve"> </w:t>
      </w:r>
    </w:p>
    <w:p w14:paraId="3AB64FE2" w14:textId="77777777" w:rsidR="008D4914" w:rsidRDefault="008D4914" w:rsidP="008D4914">
      <w:pPr>
        <w:pStyle w:val="NormalAutoChapter"/>
      </w:pPr>
      <w:r>
        <w:t xml:space="preserve">Once submissions on this first consultation paper have closed, we will release a second consultation </w:t>
      </w:r>
      <w:r w:rsidRPr="00C050F5">
        <w:t>paper</w:t>
      </w:r>
      <w:r>
        <w:t>. This will consider issues relating to the</w:t>
      </w:r>
      <w:r w:rsidRPr="00C050F5">
        <w:t xml:space="preserve"> </w:t>
      </w:r>
      <w:r>
        <w:t>procedures for enforcing the ADA, such as complaint processes and other options for addressing unlawful conduct.</w:t>
      </w:r>
    </w:p>
    <w:p w14:paraId="7F236EAF" w14:textId="77777777" w:rsidR="008D4914" w:rsidRDefault="008D4914" w:rsidP="008D4914">
      <w:pPr>
        <w:pStyle w:val="NormalAutoChapter"/>
      </w:pPr>
      <w:r>
        <w:t>We will gather more input through submissions and consultations. We will continue to research and develop options for reform.</w:t>
      </w:r>
    </w:p>
    <w:p w14:paraId="0D5A2AC2" w14:textId="77777777" w:rsidR="008D4914" w:rsidRDefault="008D4914" w:rsidP="008D4914">
      <w:pPr>
        <w:pStyle w:val="NormalAutoChapter"/>
      </w:pPr>
      <w:r>
        <w:t xml:space="preserve">We will present our recommendations to the NSW Attorney General in a final report. Your input and our research will inform our recommendations. </w:t>
      </w:r>
    </w:p>
    <w:p w14:paraId="57271FA1" w14:textId="71587F2F" w:rsidR="008D4914" w:rsidRDefault="008D4914" w:rsidP="008D4914">
      <w:pPr>
        <w:pStyle w:val="NormalAutoChapter"/>
      </w:pPr>
      <w:r>
        <w:t>The Attorney General must table the report in both Houses of Parliament within 14 sitting days</w:t>
      </w:r>
      <w:r w:rsidR="009F65D9">
        <w:t xml:space="preserve"> of Parliament</w:t>
      </w:r>
      <w:r>
        <w:t xml:space="preserve">. Once that happens, we will publish the report on our website. </w:t>
      </w:r>
    </w:p>
    <w:p w14:paraId="12F54473" w14:textId="77777777" w:rsidR="008D4914" w:rsidRDefault="008D4914" w:rsidP="008D4914">
      <w:pPr>
        <w:pStyle w:val="NormalAutoChapter"/>
      </w:pPr>
      <w:r>
        <w:t>After that, it is up to the NSW Government to decide how to respond.</w:t>
      </w:r>
    </w:p>
    <w:p w14:paraId="664FA4E6" w14:textId="59398B72" w:rsidR="00C72168" w:rsidRDefault="008D4914" w:rsidP="008D4914">
      <w:pPr>
        <w:pStyle w:val="NormalAutoChapter"/>
        <w:rPr>
          <w:color w:val="auto"/>
        </w:rPr>
      </w:pPr>
      <w:r>
        <w:t xml:space="preserve">Our website has </w:t>
      </w:r>
      <w:r w:rsidRPr="00AD330F">
        <w:t xml:space="preserve">more </w:t>
      </w:r>
      <w:hyperlink r:id="rId28" w:history="1">
        <w:r w:rsidRPr="00BD0B4F">
          <w:rPr>
            <w:rStyle w:val="Hyperlink"/>
            <w:rFonts w:ascii="Public Sans" w:hAnsi="Public Sans"/>
            <w:sz w:val="22"/>
          </w:rPr>
          <w:t>information on our process</w:t>
        </w:r>
      </w:hyperlink>
      <w:r>
        <w:rPr>
          <w:color w:val="auto"/>
        </w:rPr>
        <w:t>, including a short video that explains what we do</w:t>
      </w:r>
      <w:r w:rsidRPr="00AD330F">
        <w:rPr>
          <w:color w:val="auto"/>
        </w:rPr>
        <w:t>.</w:t>
      </w:r>
      <w:bookmarkEnd w:id="24"/>
      <w:r>
        <w:rPr>
          <w:rStyle w:val="FootnoteReference"/>
          <w:color w:val="auto"/>
        </w:rPr>
        <w:footnoteReference w:id="14"/>
      </w:r>
      <w:r w:rsidR="00C72168">
        <w:rPr>
          <w:color w:val="auto"/>
        </w:rPr>
        <w:br w:type="page"/>
      </w:r>
    </w:p>
    <w:p w14:paraId="0FA76AF6" w14:textId="77777777" w:rsidR="008D4914" w:rsidRPr="00EC32BB" w:rsidRDefault="008D4914" w:rsidP="00C72168">
      <w:pPr>
        <w:pStyle w:val="NormalText"/>
      </w:pPr>
    </w:p>
    <w:p w14:paraId="0A0A872C" w14:textId="77777777" w:rsidR="00EC32BB" w:rsidRDefault="00EC32BB" w:rsidP="00EC32BB">
      <w:pPr>
        <w:pStyle w:val="NormalText"/>
        <w:sectPr w:rsidR="00EC32BB" w:rsidSect="00744F61">
          <w:footnotePr>
            <w:numRestart w:val="eachSect"/>
          </w:footnotePr>
          <w:pgSz w:w="11906" w:h="16838" w:code="9"/>
          <w:pgMar w:top="1701" w:right="1304" w:bottom="1021" w:left="1304" w:header="567" w:footer="567" w:gutter="0"/>
          <w:pgNumType w:start="1"/>
          <w:cols w:space="708"/>
          <w:docGrid w:linePitch="360"/>
        </w:sectPr>
      </w:pPr>
    </w:p>
    <w:p w14:paraId="523A9FE1" w14:textId="77777777" w:rsidR="001F30E2" w:rsidRPr="00D4755D" w:rsidRDefault="001F30E2" w:rsidP="001F30E2">
      <w:pPr>
        <w:pStyle w:val="ChapterHeading"/>
      </w:pPr>
      <w:bookmarkStart w:id="47" w:name="_Toc196826802"/>
      <w:r w:rsidRPr="00D4755D">
        <w:lastRenderedPageBreak/>
        <w:t>Background and context</w:t>
      </w:r>
      <w:bookmarkEnd w:id="47"/>
    </w:p>
    <w:p w14:paraId="2E144AB0" w14:textId="77777777" w:rsidR="001F30E2" w:rsidRPr="00D4755D" w:rsidRDefault="001F30E2" w:rsidP="00B55200">
      <w:pPr>
        <w:pStyle w:val="InBriefHeading"/>
        <w:spacing w:after="0"/>
      </w:pPr>
      <w:r w:rsidRPr="00D4755D">
        <w:t>In brief</w:t>
      </w:r>
    </w:p>
    <w:p w14:paraId="5B821482" w14:textId="77777777" w:rsidR="001F30E2" w:rsidRPr="00D4755D" w:rsidRDefault="001F30E2" w:rsidP="00B55200">
      <w:pPr>
        <w:pStyle w:val="InBriefText"/>
        <w:spacing w:before="0"/>
      </w:pPr>
      <w:r w:rsidRPr="00D4755D">
        <w:t xml:space="preserve">This chapter situates our review of the </w:t>
      </w:r>
      <w:r w:rsidRPr="00D4755D">
        <w:rPr>
          <w:i/>
          <w:iCs/>
        </w:rPr>
        <w:t>Anti-Discrimination Act 1977</w:t>
      </w:r>
      <w:r w:rsidRPr="00D4755D">
        <w:t xml:space="preserve"> (NSW) in the international and Australian legal context. It explains key concepts including the human rights to equality and non-discrimination, and the concepts of formal and substantive equality.</w:t>
      </w:r>
    </w:p>
    <w:p w14:paraId="28599F83" w14:textId="2B138C12" w:rsidR="001F30E2" w:rsidRPr="00B55200" w:rsidRDefault="001F30E2" w:rsidP="001F30E2">
      <w:pPr>
        <w:pStyle w:val="TOC2"/>
        <w:rPr>
          <w:rFonts w:eastAsiaTheme="minorEastAsia" w:cstheme="minorBidi"/>
          <w:b w:val="0"/>
          <w:color w:val="auto"/>
          <w:kern w:val="2"/>
          <w:sz w:val="24"/>
          <w:u w:val="none"/>
          <w:lang w:eastAsia="en-AU"/>
          <w14:ligatures w14:val="standardContextual"/>
        </w:rPr>
      </w:pPr>
      <w:r w:rsidRPr="00D4755D">
        <w:fldChar w:fldCharType="begin"/>
      </w:r>
      <w:r w:rsidRPr="00D4755D">
        <w:instrText xml:space="preserve"> TOC \h \z \t "Heading 1,2,Heading 2,3,Heading - Major,1,Heading default,1,Title page 1,1" </w:instrText>
      </w:r>
      <w:r w:rsidRPr="00D4755D">
        <w:fldChar w:fldCharType="separate"/>
      </w:r>
      <w:hyperlink w:anchor="_Toc196729826" w:history="1">
        <w:r w:rsidRPr="00B55200">
          <w:rPr>
            <w:rStyle w:val="Hyperlink"/>
            <w:rFonts w:ascii="Public Sans" w:hAnsi="Public Sans"/>
          </w:rPr>
          <w:t>An introduction to the ADA</w:t>
        </w:r>
        <w:r w:rsidRPr="00B55200">
          <w:rPr>
            <w:webHidden/>
          </w:rPr>
          <w:tab/>
        </w:r>
        <w:r w:rsidRPr="00B55200">
          <w:rPr>
            <w:webHidden/>
          </w:rPr>
          <w:fldChar w:fldCharType="begin"/>
        </w:r>
        <w:r w:rsidRPr="00B55200">
          <w:rPr>
            <w:webHidden/>
          </w:rPr>
          <w:instrText xml:space="preserve"> PAGEREF _Toc196729826 \h </w:instrText>
        </w:r>
        <w:r w:rsidRPr="00B55200">
          <w:rPr>
            <w:webHidden/>
          </w:rPr>
        </w:r>
        <w:r w:rsidRPr="00B55200">
          <w:rPr>
            <w:webHidden/>
          </w:rPr>
          <w:fldChar w:fldCharType="separate"/>
        </w:r>
        <w:r w:rsidR="00F44BFC">
          <w:rPr>
            <w:webHidden/>
          </w:rPr>
          <w:t>9</w:t>
        </w:r>
        <w:r w:rsidRPr="00B55200">
          <w:rPr>
            <w:webHidden/>
          </w:rPr>
          <w:fldChar w:fldCharType="end"/>
        </w:r>
      </w:hyperlink>
    </w:p>
    <w:p w14:paraId="114927BB" w14:textId="6F50102C" w:rsidR="001F30E2" w:rsidRPr="00B55200" w:rsidRDefault="001F30E2" w:rsidP="001F30E2">
      <w:pPr>
        <w:pStyle w:val="TOC2"/>
        <w:rPr>
          <w:rFonts w:eastAsiaTheme="minorEastAsia" w:cstheme="minorBidi"/>
          <w:b w:val="0"/>
          <w:color w:val="auto"/>
          <w:kern w:val="2"/>
          <w:sz w:val="24"/>
          <w:u w:val="none"/>
          <w:lang w:eastAsia="en-AU"/>
          <w14:ligatures w14:val="standardContextual"/>
        </w:rPr>
      </w:pPr>
      <w:hyperlink w:anchor="_Toc196729827" w:history="1">
        <w:r w:rsidRPr="00B55200">
          <w:rPr>
            <w:rStyle w:val="Hyperlink"/>
            <w:rFonts w:ascii="Public Sans" w:hAnsi="Public Sans"/>
          </w:rPr>
          <w:t>Equality and non-discrimination</w:t>
        </w:r>
        <w:r w:rsidRPr="00B55200">
          <w:rPr>
            <w:webHidden/>
          </w:rPr>
          <w:tab/>
        </w:r>
        <w:r w:rsidRPr="00B55200">
          <w:rPr>
            <w:webHidden/>
          </w:rPr>
          <w:fldChar w:fldCharType="begin"/>
        </w:r>
        <w:r w:rsidRPr="00B55200">
          <w:rPr>
            <w:webHidden/>
          </w:rPr>
          <w:instrText xml:space="preserve"> PAGEREF _Toc196729827 \h </w:instrText>
        </w:r>
        <w:r w:rsidRPr="00B55200">
          <w:rPr>
            <w:webHidden/>
          </w:rPr>
        </w:r>
        <w:r w:rsidRPr="00B55200">
          <w:rPr>
            <w:webHidden/>
          </w:rPr>
          <w:fldChar w:fldCharType="separate"/>
        </w:r>
        <w:r w:rsidR="00F44BFC">
          <w:rPr>
            <w:webHidden/>
          </w:rPr>
          <w:t>10</w:t>
        </w:r>
        <w:r w:rsidRPr="00B55200">
          <w:rPr>
            <w:webHidden/>
          </w:rPr>
          <w:fldChar w:fldCharType="end"/>
        </w:r>
      </w:hyperlink>
    </w:p>
    <w:p w14:paraId="3E85DAD2" w14:textId="490D669A" w:rsidR="001F30E2" w:rsidRPr="00B55200" w:rsidRDefault="001F30E2" w:rsidP="001F30E2">
      <w:pPr>
        <w:pStyle w:val="TOC3"/>
        <w:rPr>
          <w:rFonts w:eastAsiaTheme="minorEastAsia" w:cstheme="minorBidi"/>
          <w:color w:val="auto"/>
          <w:kern w:val="2"/>
          <w:sz w:val="24"/>
          <w:u w:val="none"/>
          <w:lang w:eastAsia="en-AU"/>
          <w14:ligatures w14:val="standardContextual"/>
        </w:rPr>
      </w:pPr>
      <w:hyperlink w:anchor="_Toc196729828" w:history="1">
        <w:r w:rsidRPr="00B55200">
          <w:rPr>
            <w:rStyle w:val="Hyperlink"/>
            <w:rFonts w:ascii="Public Sans" w:hAnsi="Public Sans"/>
          </w:rPr>
          <w:t>The international human rights context</w:t>
        </w:r>
        <w:r w:rsidRPr="00B55200">
          <w:rPr>
            <w:webHidden/>
          </w:rPr>
          <w:tab/>
        </w:r>
        <w:r w:rsidRPr="00B55200">
          <w:rPr>
            <w:webHidden/>
          </w:rPr>
          <w:fldChar w:fldCharType="begin"/>
        </w:r>
        <w:r w:rsidRPr="00B55200">
          <w:rPr>
            <w:webHidden/>
          </w:rPr>
          <w:instrText xml:space="preserve"> PAGEREF _Toc196729828 \h </w:instrText>
        </w:r>
        <w:r w:rsidRPr="00B55200">
          <w:rPr>
            <w:webHidden/>
          </w:rPr>
        </w:r>
        <w:r w:rsidRPr="00B55200">
          <w:rPr>
            <w:webHidden/>
          </w:rPr>
          <w:fldChar w:fldCharType="separate"/>
        </w:r>
        <w:r w:rsidR="00F44BFC">
          <w:rPr>
            <w:webHidden/>
          </w:rPr>
          <w:t>11</w:t>
        </w:r>
        <w:r w:rsidRPr="00B55200">
          <w:rPr>
            <w:webHidden/>
          </w:rPr>
          <w:fldChar w:fldCharType="end"/>
        </w:r>
      </w:hyperlink>
    </w:p>
    <w:p w14:paraId="3028725F" w14:textId="25E8A350" w:rsidR="001F30E2" w:rsidRPr="00B55200" w:rsidRDefault="001F30E2" w:rsidP="001F30E2">
      <w:pPr>
        <w:pStyle w:val="TOC3"/>
        <w:rPr>
          <w:rFonts w:eastAsiaTheme="minorEastAsia" w:cstheme="minorBidi"/>
          <w:color w:val="auto"/>
          <w:kern w:val="2"/>
          <w:sz w:val="24"/>
          <w:u w:val="none"/>
          <w:lang w:eastAsia="en-AU"/>
          <w14:ligatures w14:val="standardContextual"/>
        </w:rPr>
      </w:pPr>
      <w:hyperlink w:anchor="_Toc196729829" w:history="1">
        <w:r w:rsidRPr="00B55200">
          <w:rPr>
            <w:rStyle w:val="Hyperlink"/>
            <w:rFonts w:ascii="Public Sans" w:hAnsi="Public Sans"/>
          </w:rPr>
          <w:t>Equality and non-discrimination and the ADA</w:t>
        </w:r>
        <w:r w:rsidRPr="00B55200">
          <w:rPr>
            <w:webHidden/>
          </w:rPr>
          <w:tab/>
        </w:r>
        <w:r w:rsidRPr="00B55200">
          <w:rPr>
            <w:webHidden/>
          </w:rPr>
          <w:fldChar w:fldCharType="begin"/>
        </w:r>
        <w:r w:rsidRPr="00B55200">
          <w:rPr>
            <w:webHidden/>
          </w:rPr>
          <w:instrText xml:space="preserve"> PAGEREF _Toc196729829 \h </w:instrText>
        </w:r>
        <w:r w:rsidRPr="00B55200">
          <w:rPr>
            <w:webHidden/>
          </w:rPr>
        </w:r>
        <w:r w:rsidRPr="00B55200">
          <w:rPr>
            <w:webHidden/>
          </w:rPr>
          <w:fldChar w:fldCharType="separate"/>
        </w:r>
        <w:r w:rsidR="00F44BFC">
          <w:rPr>
            <w:webHidden/>
          </w:rPr>
          <w:t>12</w:t>
        </w:r>
        <w:r w:rsidRPr="00B55200">
          <w:rPr>
            <w:webHidden/>
          </w:rPr>
          <w:fldChar w:fldCharType="end"/>
        </w:r>
      </w:hyperlink>
    </w:p>
    <w:p w14:paraId="1AB87650" w14:textId="43F268D9" w:rsidR="001F30E2" w:rsidRPr="00B55200" w:rsidRDefault="001F30E2" w:rsidP="001F30E2">
      <w:pPr>
        <w:pStyle w:val="TOC2"/>
        <w:rPr>
          <w:rFonts w:eastAsiaTheme="minorEastAsia" w:cstheme="minorBidi"/>
          <w:b w:val="0"/>
          <w:color w:val="auto"/>
          <w:kern w:val="2"/>
          <w:sz w:val="24"/>
          <w:u w:val="none"/>
          <w:lang w:eastAsia="en-AU"/>
          <w14:ligatures w14:val="standardContextual"/>
        </w:rPr>
      </w:pPr>
      <w:hyperlink w:anchor="_Toc196729830" w:history="1">
        <w:r w:rsidRPr="00B55200">
          <w:rPr>
            <w:rStyle w:val="Hyperlink"/>
            <w:rFonts w:ascii="Public Sans" w:hAnsi="Public Sans"/>
          </w:rPr>
          <w:t>The wider Australian context</w:t>
        </w:r>
        <w:r w:rsidRPr="00B55200">
          <w:rPr>
            <w:webHidden/>
          </w:rPr>
          <w:tab/>
        </w:r>
        <w:r w:rsidRPr="00B55200">
          <w:rPr>
            <w:webHidden/>
          </w:rPr>
          <w:fldChar w:fldCharType="begin"/>
        </w:r>
        <w:r w:rsidRPr="00B55200">
          <w:rPr>
            <w:webHidden/>
          </w:rPr>
          <w:instrText xml:space="preserve"> PAGEREF _Toc196729830 \h </w:instrText>
        </w:r>
        <w:r w:rsidRPr="00B55200">
          <w:rPr>
            <w:webHidden/>
          </w:rPr>
        </w:r>
        <w:r w:rsidRPr="00B55200">
          <w:rPr>
            <w:webHidden/>
          </w:rPr>
          <w:fldChar w:fldCharType="separate"/>
        </w:r>
        <w:r w:rsidR="00F44BFC">
          <w:rPr>
            <w:webHidden/>
          </w:rPr>
          <w:t>16</w:t>
        </w:r>
        <w:r w:rsidRPr="00B55200">
          <w:rPr>
            <w:webHidden/>
          </w:rPr>
          <w:fldChar w:fldCharType="end"/>
        </w:r>
      </w:hyperlink>
    </w:p>
    <w:p w14:paraId="319F9FB3" w14:textId="1FDC58B5" w:rsidR="001F30E2" w:rsidRPr="00B55200" w:rsidRDefault="001F30E2" w:rsidP="001F30E2">
      <w:pPr>
        <w:pStyle w:val="TOC3"/>
        <w:rPr>
          <w:rFonts w:eastAsiaTheme="minorEastAsia" w:cstheme="minorBidi"/>
          <w:color w:val="auto"/>
          <w:kern w:val="2"/>
          <w:sz w:val="24"/>
          <w:u w:val="none"/>
          <w:lang w:eastAsia="en-AU"/>
          <w14:ligatures w14:val="standardContextual"/>
        </w:rPr>
      </w:pPr>
      <w:hyperlink w:anchor="_Toc196729831" w:history="1">
        <w:r w:rsidRPr="00B55200">
          <w:rPr>
            <w:rStyle w:val="Hyperlink"/>
            <w:rFonts w:ascii="Public Sans" w:hAnsi="Public Sans"/>
          </w:rPr>
          <w:t>Australian discrimination laws</w:t>
        </w:r>
        <w:r w:rsidRPr="00B55200">
          <w:rPr>
            <w:webHidden/>
          </w:rPr>
          <w:tab/>
        </w:r>
        <w:r w:rsidRPr="00B55200">
          <w:rPr>
            <w:webHidden/>
          </w:rPr>
          <w:fldChar w:fldCharType="begin"/>
        </w:r>
        <w:r w:rsidRPr="00B55200">
          <w:rPr>
            <w:webHidden/>
          </w:rPr>
          <w:instrText xml:space="preserve"> PAGEREF _Toc196729831 \h </w:instrText>
        </w:r>
        <w:r w:rsidRPr="00B55200">
          <w:rPr>
            <w:webHidden/>
          </w:rPr>
        </w:r>
        <w:r w:rsidRPr="00B55200">
          <w:rPr>
            <w:webHidden/>
          </w:rPr>
          <w:fldChar w:fldCharType="separate"/>
        </w:r>
        <w:r w:rsidR="00F44BFC">
          <w:rPr>
            <w:webHidden/>
          </w:rPr>
          <w:t>16</w:t>
        </w:r>
        <w:r w:rsidRPr="00B55200">
          <w:rPr>
            <w:webHidden/>
          </w:rPr>
          <w:fldChar w:fldCharType="end"/>
        </w:r>
      </w:hyperlink>
    </w:p>
    <w:p w14:paraId="53BE5830" w14:textId="3F89F20C" w:rsidR="001F30E2" w:rsidRPr="00B55200" w:rsidRDefault="001F30E2" w:rsidP="001F30E2">
      <w:pPr>
        <w:pStyle w:val="TOC3"/>
        <w:rPr>
          <w:rFonts w:eastAsiaTheme="minorEastAsia" w:cstheme="minorBidi"/>
          <w:color w:val="auto"/>
          <w:kern w:val="2"/>
          <w:sz w:val="24"/>
          <w:u w:val="none"/>
          <w:lang w:eastAsia="en-AU"/>
          <w14:ligatures w14:val="standardContextual"/>
        </w:rPr>
      </w:pPr>
      <w:hyperlink w:anchor="_Toc196729832" w:history="1">
        <w:r w:rsidRPr="00B55200">
          <w:rPr>
            <w:rStyle w:val="Hyperlink"/>
            <w:rFonts w:ascii="Public Sans" w:hAnsi="Public Sans"/>
          </w:rPr>
          <w:t>Workplace protections</w:t>
        </w:r>
        <w:r w:rsidRPr="00B55200">
          <w:rPr>
            <w:webHidden/>
          </w:rPr>
          <w:tab/>
        </w:r>
        <w:r w:rsidRPr="00B55200">
          <w:rPr>
            <w:webHidden/>
          </w:rPr>
          <w:fldChar w:fldCharType="begin"/>
        </w:r>
        <w:r w:rsidRPr="00B55200">
          <w:rPr>
            <w:webHidden/>
          </w:rPr>
          <w:instrText xml:space="preserve"> PAGEREF _Toc196729832 \h </w:instrText>
        </w:r>
        <w:r w:rsidRPr="00B55200">
          <w:rPr>
            <w:webHidden/>
          </w:rPr>
        </w:r>
        <w:r w:rsidRPr="00B55200">
          <w:rPr>
            <w:webHidden/>
          </w:rPr>
          <w:fldChar w:fldCharType="separate"/>
        </w:r>
        <w:r w:rsidR="00F44BFC">
          <w:rPr>
            <w:webHidden/>
          </w:rPr>
          <w:t>18</w:t>
        </w:r>
        <w:r w:rsidRPr="00B55200">
          <w:rPr>
            <w:webHidden/>
          </w:rPr>
          <w:fldChar w:fldCharType="end"/>
        </w:r>
      </w:hyperlink>
    </w:p>
    <w:p w14:paraId="484A1230" w14:textId="65824082" w:rsidR="001F30E2" w:rsidRPr="00B55200" w:rsidRDefault="001F30E2" w:rsidP="001F30E2">
      <w:pPr>
        <w:pStyle w:val="TOC3"/>
        <w:rPr>
          <w:rFonts w:eastAsiaTheme="minorEastAsia" w:cstheme="minorBidi"/>
          <w:color w:val="auto"/>
          <w:kern w:val="2"/>
          <w:sz w:val="24"/>
          <w:u w:val="none"/>
          <w:lang w:eastAsia="en-AU"/>
          <w14:ligatures w14:val="standardContextual"/>
        </w:rPr>
      </w:pPr>
      <w:hyperlink w:anchor="_Toc196729833" w:history="1">
        <w:r w:rsidRPr="00B55200">
          <w:rPr>
            <w:rStyle w:val="Hyperlink"/>
            <w:rFonts w:ascii="Public Sans" w:hAnsi="Public Sans"/>
          </w:rPr>
          <w:t>Other potential complaints mechanisms</w:t>
        </w:r>
        <w:r w:rsidRPr="00B55200">
          <w:rPr>
            <w:webHidden/>
          </w:rPr>
          <w:tab/>
        </w:r>
        <w:r w:rsidRPr="00B55200">
          <w:rPr>
            <w:webHidden/>
          </w:rPr>
          <w:fldChar w:fldCharType="begin"/>
        </w:r>
        <w:r w:rsidRPr="00B55200">
          <w:rPr>
            <w:webHidden/>
          </w:rPr>
          <w:instrText xml:space="preserve"> PAGEREF _Toc196729833 \h </w:instrText>
        </w:r>
        <w:r w:rsidRPr="00B55200">
          <w:rPr>
            <w:webHidden/>
          </w:rPr>
        </w:r>
        <w:r w:rsidRPr="00B55200">
          <w:rPr>
            <w:webHidden/>
          </w:rPr>
          <w:fldChar w:fldCharType="separate"/>
        </w:r>
        <w:r w:rsidR="00F44BFC">
          <w:rPr>
            <w:webHidden/>
          </w:rPr>
          <w:t>19</w:t>
        </w:r>
        <w:r w:rsidRPr="00B55200">
          <w:rPr>
            <w:webHidden/>
          </w:rPr>
          <w:fldChar w:fldCharType="end"/>
        </w:r>
      </w:hyperlink>
    </w:p>
    <w:p w14:paraId="5CA892BA" w14:textId="6071AD84" w:rsidR="001F30E2" w:rsidRPr="00B55200" w:rsidRDefault="001F30E2" w:rsidP="001F30E2">
      <w:pPr>
        <w:pStyle w:val="TOC3"/>
        <w:rPr>
          <w:rFonts w:eastAsiaTheme="minorEastAsia" w:cstheme="minorBidi"/>
          <w:color w:val="auto"/>
          <w:kern w:val="2"/>
          <w:sz w:val="24"/>
          <w:u w:val="none"/>
          <w:lang w:eastAsia="en-AU"/>
          <w14:ligatures w14:val="standardContextual"/>
        </w:rPr>
      </w:pPr>
      <w:hyperlink w:anchor="_Toc196729834" w:history="1">
        <w:r w:rsidRPr="00B55200">
          <w:rPr>
            <w:rStyle w:val="Hyperlink"/>
            <w:rFonts w:ascii="Public Sans" w:hAnsi="Public Sans"/>
          </w:rPr>
          <w:t>Criminal vilification offences</w:t>
        </w:r>
        <w:r w:rsidRPr="00B55200">
          <w:rPr>
            <w:webHidden/>
          </w:rPr>
          <w:tab/>
        </w:r>
        <w:r w:rsidRPr="00B55200">
          <w:rPr>
            <w:webHidden/>
          </w:rPr>
          <w:fldChar w:fldCharType="begin"/>
        </w:r>
        <w:r w:rsidRPr="00B55200">
          <w:rPr>
            <w:webHidden/>
          </w:rPr>
          <w:instrText xml:space="preserve"> PAGEREF _Toc196729834 \h </w:instrText>
        </w:r>
        <w:r w:rsidRPr="00B55200">
          <w:rPr>
            <w:webHidden/>
          </w:rPr>
        </w:r>
        <w:r w:rsidRPr="00B55200">
          <w:rPr>
            <w:webHidden/>
          </w:rPr>
          <w:fldChar w:fldCharType="separate"/>
        </w:r>
        <w:r w:rsidR="00F44BFC">
          <w:rPr>
            <w:webHidden/>
          </w:rPr>
          <w:t>19</w:t>
        </w:r>
        <w:r w:rsidRPr="00B55200">
          <w:rPr>
            <w:webHidden/>
          </w:rPr>
          <w:fldChar w:fldCharType="end"/>
        </w:r>
      </w:hyperlink>
    </w:p>
    <w:p w14:paraId="4A11DADD" w14:textId="77777777" w:rsidR="001F30E2" w:rsidRPr="00D4755D" w:rsidRDefault="001F30E2" w:rsidP="001F30E2">
      <w:pPr>
        <w:pStyle w:val="TOC4"/>
      </w:pPr>
      <w:r w:rsidRPr="00D4755D">
        <w:fldChar w:fldCharType="end"/>
      </w:r>
    </w:p>
    <w:p w14:paraId="2A061C57" w14:textId="77777777" w:rsidR="001F30E2" w:rsidRPr="00D4755D" w:rsidRDefault="001F30E2" w:rsidP="001F30E2">
      <w:pPr>
        <w:pStyle w:val="NormalAutoChapter"/>
      </w:pPr>
      <w:r w:rsidRPr="00D4755D">
        <w:t xml:space="preserve">In this consultation paper, we invite you to share your views on, and experiences with, the </w:t>
      </w:r>
      <w:r w:rsidRPr="00D4755D">
        <w:rPr>
          <w:i/>
          <w:iCs/>
        </w:rPr>
        <w:t xml:space="preserve">Anti-Discrimination Act 1977 </w:t>
      </w:r>
      <w:r w:rsidRPr="00D4755D">
        <w:t>(NSW) (ADA). The various chapters explain the specific protections and exceptions in the ADA, compare them to discrimination laws and other related laws in force elsewhere, and set out some possible reform options. We also provide some questions that you may wish to respond to.</w:t>
      </w:r>
    </w:p>
    <w:p w14:paraId="4779F718" w14:textId="77777777" w:rsidR="001F30E2" w:rsidRPr="00D4755D" w:rsidRDefault="001F30E2" w:rsidP="001F30E2">
      <w:pPr>
        <w:pStyle w:val="NormalAutoChapter"/>
      </w:pPr>
      <w:r w:rsidRPr="00D4755D">
        <w:t>Before we address the specific substantive aspects of the ADA, this chapter sets the scene. We explain some foundational concepts relevant to the rights to equality and non-discrimination that underpin discrimination laws in Australia. We outline how the ADA approaches these concepts.</w:t>
      </w:r>
    </w:p>
    <w:p w14:paraId="2D09241E" w14:textId="77777777" w:rsidR="001F30E2" w:rsidRPr="00D4755D" w:rsidRDefault="001F30E2" w:rsidP="001F30E2">
      <w:pPr>
        <w:pStyle w:val="NormalAutoChapter"/>
      </w:pPr>
      <w:r w:rsidRPr="00D4755D">
        <w:t xml:space="preserve">We also introduce the broader context of state, territory and federal laws that deal with discrimination, harassment and vilification. The ADA operates within a complex, intersecting system of laws. There are many gaps, overlaps and unresolved issues across this system. </w:t>
      </w:r>
    </w:p>
    <w:p w14:paraId="52BB68EA" w14:textId="77777777" w:rsidR="001F30E2" w:rsidRPr="00D4755D" w:rsidRDefault="001F30E2" w:rsidP="001F30E2">
      <w:pPr>
        <w:pStyle w:val="Heading1"/>
      </w:pPr>
      <w:bookmarkStart w:id="48" w:name="_Toc196729826"/>
      <w:bookmarkStart w:id="49" w:name="_Toc196826803"/>
      <w:r w:rsidRPr="00D4755D">
        <w:t>An introduction to the ADA</w:t>
      </w:r>
      <w:bookmarkEnd w:id="48"/>
      <w:bookmarkEnd w:id="49"/>
      <w:r w:rsidRPr="00D4755D">
        <w:t xml:space="preserve"> </w:t>
      </w:r>
    </w:p>
    <w:p w14:paraId="7AB4C6ED" w14:textId="77777777" w:rsidR="001F30E2" w:rsidRPr="00D4755D" w:rsidRDefault="001F30E2" w:rsidP="001F30E2">
      <w:pPr>
        <w:pStyle w:val="NormalAutoChapter"/>
      </w:pPr>
      <w:r w:rsidRPr="00D4755D">
        <w:t>The NSW Parliament enacted the ADA in 1977. The Act initially protected against direct discrimination based on race, sex and marital status.</w:t>
      </w:r>
    </w:p>
    <w:p w14:paraId="04405DD9" w14:textId="77777777" w:rsidR="001F30E2" w:rsidRPr="00D4755D" w:rsidRDefault="001F30E2" w:rsidP="001F30E2">
      <w:pPr>
        <w:pStyle w:val="NormalAutoChapter"/>
      </w:pPr>
      <w:r w:rsidRPr="00D4755D">
        <w:lastRenderedPageBreak/>
        <w:t xml:space="preserve">The ADA has been amended over the years to protect people with other attributes, to cover other forms of conduct, and to expand the protections to additional areas. Today, it prohibits four main categories of conduct: discrimination, vilification, sexual harassment and victimisation. It defines who is entitled to be protected from such conduct and who can be held responsible for it. </w:t>
      </w:r>
    </w:p>
    <w:p w14:paraId="345D091A" w14:textId="77777777" w:rsidR="001F30E2" w:rsidRPr="00D4755D" w:rsidRDefault="001F30E2" w:rsidP="001F30E2">
      <w:pPr>
        <w:pStyle w:val="NormalAutoChapter"/>
      </w:pPr>
      <w:r w:rsidRPr="00D4755D">
        <w:t>The ADA also defines the specific circumstance</w:t>
      </w:r>
      <w:r>
        <w:t>s, relationships</w:t>
      </w:r>
      <w:r w:rsidRPr="00D4755D">
        <w:t xml:space="preserve"> and areas of life in which this conduct is unlawful. In general, discrimination law is concerned with how people are treated in the public sphere. The ADA does not apply to personal or family relationships or private interactions that occur, for example, at home.</w:t>
      </w:r>
    </w:p>
    <w:p w14:paraId="7032F7EB" w14:textId="77777777" w:rsidR="001F30E2" w:rsidRPr="00D4755D" w:rsidRDefault="001F30E2" w:rsidP="001F30E2">
      <w:pPr>
        <w:pStyle w:val="NormalAutoChapter"/>
      </w:pPr>
      <w:r w:rsidRPr="00D4755D">
        <w:t>However, the coverage is not consistent across the categories of unlawful conduct. While there is some overlap, each category protects different attributes and applies to different duty</w:t>
      </w:r>
      <w:r>
        <w:t xml:space="preserve"> </w:t>
      </w:r>
      <w:r w:rsidRPr="00D4755D">
        <w:t>holders. There is also a complex web of exception</w:t>
      </w:r>
      <w:r>
        <w:t xml:space="preserve">s — </w:t>
      </w:r>
      <w:r w:rsidRPr="00D4755D">
        <w:t>some apply to certain forms of conduct, others to certain areas or attributes, and some apply across the whole Act.</w:t>
      </w:r>
    </w:p>
    <w:p w14:paraId="6E5DEB87" w14:textId="77777777" w:rsidR="001F30E2" w:rsidRPr="00D4755D" w:rsidRDefault="001F30E2" w:rsidP="001F30E2">
      <w:pPr>
        <w:pStyle w:val="NormalAutoChapter"/>
      </w:pPr>
      <w:r w:rsidRPr="00D4755D">
        <w:t>The ADA also provides for a system of complaint handling and dispute resolution. It sets out the roles and functions of the NSW Anti-Discrimination Board (now known as Anti-Discrimination NSW – or ADNSW for short). Among other things, a key function of ADNSW is to conciliate complaints under the ADA. If this is unsuccessful, complainants can apply to the NSW Civil and Administrative Tribunal.</w:t>
      </w:r>
    </w:p>
    <w:p w14:paraId="24218F4F" w14:textId="523380C7" w:rsidR="001F30E2" w:rsidRPr="00D4755D" w:rsidRDefault="001F30E2" w:rsidP="001F30E2">
      <w:pPr>
        <w:pStyle w:val="Heading1"/>
      </w:pPr>
      <w:bookmarkStart w:id="50" w:name="_Toc196729827"/>
      <w:bookmarkStart w:id="51" w:name="_Toc196826804"/>
      <w:r w:rsidRPr="00D4755D">
        <w:t>Equality and non-discrimination</w:t>
      </w:r>
      <w:bookmarkEnd w:id="50"/>
      <w:bookmarkEnd w:id="51"/>
    </w:p>
    <w:p w14:paraId="36838784" w14:textId="77777777" w:rsidR="001F30E2" w:rsidRPr="00D4755D" w:rsidRDefault="001F30E2" w:rsidP="001F30E2">
      <w:pPr>
        <w:pStyle w:val="NormalAutoChapter"/>
      </w:pPr>
      <w:r w:rsidRPr="00D4755D">
        <w:t>The rights to equality and non-discrimination are the foundation of discrimination law. From the 1970s, parliaments across Australia began to enact anti-discrimination and equal opportunity laws to give effect to Australia’s international human rights obligations in relation to these rights.</w:t>
      </w:r>
      <w:r>
        <w:rPr>
          <w:rStyle w:val="FootnoteReference"/>
        </w:rPr>
        <w:footnoteReference w:id="15"/>
      </w:r>
      <w:r w:rsidRPr="00D4755D">
        <w:t xml:space="preserve"> </w:t>
      </w:r>
    </w:p>
    <w:p w14:paraId="6EF2A72C" w14:textId="77777777" w:rsidR="001F30E2" w:rsidRPr="00D4755D" w:rsidRDefault="001F30E2" w:rsidP="001F30E2">
      <w:pPr>
        <w:pStyle w:val="NormalAutoChapter"/>
      </w:pPr>
      <w:r w:rsidRPr="00D4755D">
        <w:t>In this section, we outline the core treaties that articulate the rights to equality and non-discrimination. We also reflect on the way the ADA seeks to give effect to these rights and introduce some concepts that appear throughout this consultation paper.</w:t>
      </w:r>
    </w:p>
    <w:p w14:paraId="6E04231D" w14:textId="1CE0288A" w:rsidR="001F30E2" w:rsidRPr="00D4755D" w:rsidRDefault="001F30E2" w:rsidP="001F30E2">
      <w:pPr>
        <w:pStyle w:val="Heading2"/>
      </w:pPr>
      <w:bookmarkStart w:id="53" w:name="_Toc196729828"/>
      <w:bookmarkStart w:id="54" w:name="_Toc196826805"/>
      <w:r w:rsidRPr="00D4755D">
        <w:lastRenderedPageBreak/>
        <w:t>The international human rights context</w:t>
      </w:r>
      <w:bookmarkEnd w:id="53"/>
      <w:bookmarkEnd w:id="54"/>
    </w:p>
    <w:p w14:paraId="38F180D4" w14:textId="77777777" w:rsidR="005E6EC4" w:rsidRPr="00D4755D" w:rsidRDefault="005E6EC4" w:rsidP="005E6EC4">
      <w:pPr>
        <w:pStyle w:val="NormalAutoChapter"/>
        <w:rPr>
          <w:lang w:eastAsia="en-US"/>
        </w:rPr>
      </w:pPr>
      <w:r w:rsidRPr="00D4755D">
        <w:t>Human rights are indivisible, interdependent and interrelated — the enjoyment of one human right is closely related to the enjoyment of others.</w:t>
      </w:r>
      <w:r w:rsidRPr="00D4755D">
        <w:rPr>
          <w:rStyle w:val="FootnoteReference"/>
        </w:rPr>
        <w:footnoteReference w:id="16"/>
      </w:r>
      <w:r w:rsidRPr="00D4755D">
        <w:t xml:space="preserve"> The rights to equality and non-discrimination are part of a wider array of such rights</w:t>
      </w:r>
      <w:r>
        <w:t>. They are</w:t>
      </w:r>
      <w:r w:rsidRPr="00D4755D">
        <w:t xml:space="preserve"> </w:t>
      </w:r>
      <w:r w:rsidRPr="00D4755D">
        <w:rPr>
          <w:lang w:eastAsia="en-US"/>
        </w:rPr>
        <w:t>among the “cornerstones” of the concept of human rights articulated in human rights treaties.</w:t>
      </w:r>
      <w:r w:rsidRPr="00D4755D">
        <w:rPr>
          <w:rStyle w:val="FootnoteReference"/>
          <w:lang w:eastAsia="en-US"/>
        </w:rPr>
        <w:footnoteReference w:id="17"/>
      </w:r>
      <w:r w:rsidRPr="00D4755D">
        <w:rPr>
          <w:lang w:eastAsia="en-US"/>
        </w:rPr>
        <w:t xml:space="preserve"> </w:t>
      </w:r>
    </w:p>
    <w:p w14:paraId="2FC41189" w14:textId="77777777" w:rsidR="001F30E2" w:rsidRPr="00D4755D" w:rsidRDefault="001F30E2" w:rsidP="001F30E2">
      <w:pPr>
        <w:pStyle w:val="NormalAutoChapter"/>
        <w:rPr>
          <w:lang w:eastAsia="en-US"/>
        </w:rPr>
      </w:pPr>
      <w:r w:rsidRPr="00D4755D">
        <w:rPr>
          <w:lang w:eastAsia="en-US"/>
        </w:rPr>
        <w:t xml:space="preserve">Australia is party to seven core international human rights treaties. These treaties set out obligations for the States that have agreed to be bound by them. </w:t>
      </w:r>
    </w:p>
    <w:p w14:paraId="5C033E83" w14:textId="77777777" w:rsidR="001F30E2" w:rsidRPr="00D4755D" w:rsidRDefault="001F30E2" w:rsidP="001F30E2">
      <w:pPr>
        <w:pStyle w:val="NormalAutoChapter"/>
      </w:pPr>
      <w:r w:rsidRPr="00D4755D">
        <w:rPr>
          <w:lang w:eastAsia="en-US"/>
        </w:rPr>
        <w:t xml:space="preserve">The first of these treaties is the </w:t>
      </w:r>
      <w:r w:rsidRPr="00D4755D">
        <w:rPr>
          <w:i/>
          <w:iCs/>
        </w:rPr>
        <w:t>International Convention on the Elimination of All Forms of Racial Discrimination</w:t>
      </w:r>
      <w:r w:rsidRPr="00D4755D">
        <w:t xml:space="preserve"> (ICERD)</w:t>
      </w:r>
      <w:r w:rsidRPr="00D4755D">
        <w:rPr>
          <w:lang w:eastAsia="en-US"/>
        </w:rPr>
        <w:t xml:space="preserve">. It </w:t>
      </w:r>
      <w:r w:rsidRPr="00D4755D">
        <w:t>requires States Parties to prohibit racial discrimination “by any persons, group or organization”.</w:t>
      </w:r>
      <w:r w:rsidRPr="00D4755D">
        <w:rPr>
          <w:rStyle w:val="FootnoteReference"/>
        </w:rPr>
        <w:footnoteReference w:id="18"/>
      </w:r>
    </w:p>
    <w:p w14:paraId="0382210D" w14:textId="77777777" w:rsidR="001F30E2" w:rsidRPr="00D4755D" w:rsidRDefault="001F30E2" w:rsidP="001F30E2">
      <w:pPr>
        <w:pStyle w:val="NormalAutoChapter"/>
        <w:rPr>
          <w:lang w:eastAsia="en-US"/>
        </w:rPr>
      </w:pPr>
      <w:r w:rsidRPr="00D4755D">
        <w:t>The ICERD</w:t>
      </w:r>
      <w:r w:rsidRPr="00D4755D">
        <w:rPr>
          <w:lang w:eastAsia="en-US"/>
        </w:rPr>
        <w:t xml:space="preserve"> defines “discrimination” as </w:t>
      </w:r>
    </w:p>
    <w:p w14:paraId="323AB40F" w14:textId="77777777" w:rsidR="001F30E2" w:rsidRPr="00D4755D" w:rsidRDefault="001F30E2" w:rsidP="001F30E2">
      <w:pPr>
        <w:pStyle w:val="Quotationnormal"/>
      </w:pPr>
      <w:r w:rsidRPr="00D4755D">
        <w:t>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w:t>
      </w:r>
      <w:r w:rsidRPr="00D4755D">
        <w:rPr>
          <w:rStyle w:val="FootnoteReference"/>
        </w:rPr>
        <w:footnoteReference w:id="19"/>
      </w:r>
      <w:r w:rsidRPr="00D4755D">
        <w:t xml:space="preserve"> </w:t>
      </w:r>
    </w:p>
    <w:p w14:paraId="111A701B" w14:textId="77777777" w:rsidR="001F30E2" w:rsidRPr="00D4755D" w:rsidRDefault="001F30E2" w:rsidP="001F30E2">
      <w:pPr>
        <w:pStyle w:val="NormalAutoChapter"/>
        <w:rPr>
          <w:lang w:eastAsia="en-US"/>
        </w:rPr>
      </w:pPr>
      <w:r w:rsidRPr="00D4755D">
        <w:rPr>
          <w:lang w:eastAsia="en-US"/>
        </w:rPr>
        <w:t xml:space="preserve">The first federal discrimination law, the </w:t>
      </w:r>
      <w:r w:rsidRPr="00D4755D">
        <w:rPr>
          <w:i/>
          <w:iCs/>
          <w:lang w:eastAsia="en-US"/>
        </w:rPr>
        <w:t>Racial Discrimination Act 1975</w:t>
      </w:r>
      <w:r w:rsidRPr="00D4755D">
        <w:rPr>
          <w:lang w:eastAsia="en-US"/>
        </w:rPr>
        <w:t xml:space="preserve"> (Cth) (</w:t>
      </w:r>
      <w:r w:rsidRPr="007F1BD9">
        <w:rPr>
          <w:i/>
          <w:iCs/>
          <w:lang w:eastAsia="en-US"/>
        </w:rPr>
        <w:t>Racial Discrimination Act</w:t>
      </w:r>
      <w:r w:rsidRPr="00D4755D">
        <w:rPr>
          <w:lang w:eastAsia="en-US"/>
        </w:rPr>
        <w:t>), uses this definition.</w:t>
      </w:r>
      <w:r w:rsidRPr="00D4755D">
        <w:rPr>
          <w:rStyle w:val="FootnoteReference"/>
          <w:lang w:eastAsia="en-US"/>
        </w:rPr>
        <w:footnoteReference w:id="20"/>
      </w:r>
    </w:p>
    <w:p w14:paraId="3E4B6851" w14:textId="77777777" w:rsidR="001F30E2" w:rsidRPr="00D4755D" w:rsidRDefault="001F30E2" w:rsidP="001F30E2">
      <w:pPr>
        <w:pStyle w:val="NormalAutoChapter"/>
        <w:rPr>
          <w:lang w:eastAsia="en-US"/>
        </w:rPr>
      </w:pPr>
      <w:r w:rsidRPr="00D4755D">
        <w:rPr>
          <w:lang w:eastAsia="en-US"/>
        </w:rPr>
        <w:t xml:space="preserve">Two other human rights treaties are the </w:t>
      </w:r>
      <w:r w:rsidRPr="00D4755D">
        <w:rPr>
          <w:i/>
          <w:iCs/>
          <w:lang w:eastAsia="en-US"/>
        </w:rPr>
        <w:t>International Covenant on Civil and Political Rights</w:t>
      </w:r>
      <w:r w:rsidRPr="00D4755D">
        <w:rPr>
          <w:lang w:eastAsia="en-US"/>
        </w:rPr>
        <w:t xml:space="preserve"> (ICCPR) and the </w:t>
      </w:r>
      <w:r w:rsidRPr="00D4755D">
        <w:rPr>
          <w:i/>
          <w:iCs/>
          <w:lang w:eastAsia="en-US"/>
        </w:rPr>
        <w:t>International Covenant on Economic, Social and Cultural Rights</w:t>
      </w:r>
      <w:r w:rsidRPr="00D4755D">
        <w:rPr>
          <w:lang w:eastAsia="en-US"/>
        </w:rPr>
        <w:t xml:space="preserve">. </w:t>
      </w:r>
    </w:p>
    <w:p w14:paraId="6DEDC137" w14:textId="77777777" w:rsidR="001F30E2" w:rsidRPr="00D4755D" w:rsidRDefault="001F30E2" w:rsidP="001F30E2">
      <w:pPr>
        <w:pStyle w:val="NormalAutoChapter"/>
        <w:rPr>
          <w:lang w:eastAsia="en-US"/>
        </w:rPr>
      </w:pPr>
      <w:r w:rsidRPr="00D4755D">
        <w:rPr>
          <w:lang w:eastAsia="en-US"/>
        </w:rPr>
        <w:t xml:space="preserve">States Parties to these treaties must ensure the </w:t>
      </w:r>
      <w:r w:rsidRPr="00D4755D">
        <w:t>equal enjoyment of rights without discrimination of any kind. This includes discrimination based on race, colour, sex, language, religion, political or other opinion, national or social origin, property, birth or other status.</w:t>
      </w:r>
      <w:r w:rsidRPr="00D4755D">
        <w:rPr>
          <w:rStyle w:val="FootnoteReference"/>
        </w:rPr>
        <w:footnoteReference w:id="21"/>
      </w:r>
      <w:r w:rsidRPr="00D4755D">
        <w:t xml:space="preserve"> This is known as the principle of non-discrimination.</w:t>
      </w:r>
    </w:p>
    <w:p w14:paraId="551A5A5C" w14:textId="77777777" w:rsidR="001F30E2" w:rsidRPr="00D4755D" w:rsidRDefault="001F30E2" w:rsidP="001F30E2">
      <w:pPr>
        <w:pStyle w:val="NormalAutoChapter"/>
        <w:rPr>
          <w:lang w:eastAsia="en-US"/>
        </w:rPr>
      </w:pPr>
      <w:r w:rsidRPr="00D4755D">
        <w:lastRenderedPageBreak/>
        <w:t>The ICCPR also contains a standalone right to equality before the law. This provides that “[a]</w:t>
      </w:r>
      <w:proofErr w:type="spellStart"/>
      <w:r w:rsidRPr="00D4755D">
        <w:t>ll</w:t>
      </w:r>
      <w:proofErr w:type="spellEnd"/>
      <w:r w:rsidRPr="00D4755D">
        <w:t xml:space="preserve"> persons are equal before the law and are entitled without any discrimination to the equal protection of the law”. Parties to the ICCPR must prohibit, and guarantee effective protection against, discrimination “on any ground such as race, colour, sex, language, religion, political or other opinion, national or social origin, property, birth or other status”.</w:t>
      </w:r>
      <w:r w:rsidRPr="00D4755D">
        <w:rPr>
          <w:rStyle w:val="FootnoteReference"/>
        </w:rPr>
        <w:footnoteReference w:id="22"/>
      </w:r>
      <w:r w:rsidRPr="00D4755D">
        <w:t xml:space="preserve"> </w:t>
      </w:r>
    </w:p>
    <w:p w14:paraId="6F094D2B" w14:textId="77777777" w:rsidR="001F30E2" w:rsidRPr="00D4755D" w:rsidRDefault="001F30E2" w:rsidP="001F30E2">
      <w:pPr>
        <w:pStyle w:val="NormalAutoChapter"/>
        <w:rPr>
          <w:lang w:eastAsia="en-US"/>
        </w:rPr>
      </w:pPr>
      <w:r w:rsidRPr="00D4755D">
        <w:t xml:space="preserve">Another treaty focuses on sex discrimination — the </w:t>
      </w:r>
      <w:r w:rsidRPr="00D4755D">
        <w:rPr>
          <w:i/>
          <w:iCs/>
        </w:rPr>
        <w:t>Convention on the Elimination of All Forms of Discrimination against Women</w:t>
      </w:r>
      <w:r w:rsidRPr="00D4755D">
        <w:t> (CEDAW).</w:t>
      </w:r>
      <w:r w:rsidRPr="00D4755D">
        <w:rPr>
          <w:rStyle w:val="FootnoteReference"/>
        </w:rPr>
        <w:footnoteReference w:id="23"/>
      </w:r>
      <w:r w:rsidRPr="00D4755D">
        <w:t xml:space="preserve"> It defines discrimination in similar terms as the ICERD.</w:t>
      </w:r>
      <w:r w:rsidRPr="00D4755D">
        <w:rPr>
          <w:rStyle w:val="FootnoteReference"/>
        </w:rPr>
        <w:footnoteReference w:id="24"/>
      </w:r>
      <w:r w:rsidRPr="00D4755D">
        <w:rPr>
          <w:lang w:eastAsia="en-US"/>
        </w:rPr>
        <w:t xml:space="preserve"> One of the objects of the federal </w:t>
      </w:r>
      <w:r w:rsidRPr="00D4755D">
        <w:rPr>
          <w:i/>
          <w:iCs/>
          <w:lang w:eastAsia="en-US"/>
        </w:rPr>
        <w:t>Sex Discrimination Act 1984</w:t>
      </w:r>
      <w:r w:rsidRPr="00D4755D">
        <w:rPr>
          <w:lang w:eastAsia="en-US"/>
        </w:rPr>
        <w:t xml:space="preserve"> (Cth) </w:t>
      </w:r>
      <w:r>
        <w:rPr>
          <w:lang w:eastAsia="en-US"/>
        </w:rPr>
        <w:t>(</w:t>
      </w:r>
      <w:r w:rsidRPr="00D4755D">
        <w:rPr>
          <w:i/>
          <w:iCs/>
          <w:lang w:eastAsia="en-US"/>
        </w:rPr>
        <w:t>Sex Discrimination Act</w:t>
      </w:r>
      <w:r>
        <w:rPr>
          <w:lang w:eastAsia="en-US"/>
        </w:rPr>
        <w:t xml:space="preserve">) </w:t>
      </w:r>
      <w:r w:rsidRPr="00D4755D">
        <w:rPr>
          <w:lang w:eastAsia="en-US"/>
        </w:rPr>
        <w:t>is to give effect to aspects of CEDAW.</w:t>
      </w:r>
      <w:r w:rsidRPr="00D4755D">
        <w:rPr>
          <w:rStyle w:val="FootnoteReference"/>
          <w:lang w:eastAsia="en-US"/>
        </w:rPr>
        <w:footnoteReference w:id="25"/>
      </w:r>
      <w:r w:rsidRPr="00D4755D">
        <w:rPr>
          <w:lang w:eastAsia="en-US"/>
        </w:rPr>
        <w:t xml:space="preserve"> </w:t>
      </w:r>
    </w:p>
    <w:p w14:paraId="52E24AFA" w14:textId="77777777" w:rsidR="001F30E2" w:rsidRPr="00D4755D" w:rsidRDefault="001F30E2" w:rsidP="001F30E2">
      <w:pPr>
        <w:pStyle w:val="NormalAutoChapter"/>
        <w:rPr>
          <w:lang w:eastAsia="en-US"/>
        </w:rPr>
      </w:pPr>
      <w:r w:rsidRPr="00D4755D">
        <w:t>Two</w:t>
      </w:r>
      <w:r>
        <w:t xml:space="preserve"> </w:t>
      </w:r>
      <w:r w:rsidRPr="00D4755D">
        <w:t xml:space="preserve">more recent treaties focus on the human rights of children, and people with </w:t>
      </w:r>
      <w:r>
        <w:t>disability</w:t>
      </w:r>
      <w:r w:rsidRPr="00D4755D">
        <w:t>.</w:t>
      </w:r>
      <w:r w:rsidRPr="00D4755D">
        <w:rPr>
          <w:rStyle w:val="FootnoteReference"/>
        </w:rPr>
        <w:footnoteReference w:id="26"/>
      </w:r>
      <w:r w:rsidRPr="00D4755D">
        <w:t xml:space="preserve"> The </w:t>
      </w:r>
      <w:r w:rsidRPr="00D4755D">
        <w:rPr>
          <w:i/>
          <w:iCs/>
        </w:rPr>
        <w:t>Convention on the Rights of Persons with Disabilities</w:t>
      </w:r>
      <w:r w:rsidRPr="00D4755D">
        <w:t xml:space="preserve"> goes further than other treaties in addressing equality and non-discrimination. Like the ICCPR, it refers to the right to the “equal protection of the law”. But it also refers to the right to “equal benefit of the law”.</w:t>
      </w:r>
      <w:r w:rsidRPr="00D4755D">
        <w:rPr>
          <w:rStyle w:val="FootnoteReference"/>
        </w:rPr>
        <w:footnoteReference w:id="27"/>
      </w:r>
      <w:r w:rsidRPr="00D4755D">
        <w:t xml:space="preserve"> This aspect of the right requires States </w:t>
      </w:r>
      <w:r>
        <w:t xml:space="preserve">Parties </w:t>
      </w:r>
      <w:r w:rsidRPr="00D4755D">
        <w:t>to take positive actions, such as by providing reasonable accommodation and ensuring accessibility.</w:t>
      </w:r>
      <w:r w:rsidRPr="00D4755D">
        <w:rPr>
          <w:rStyle w:val="FootnoteReference"/>
        </w:rPr>
        <w:footnoteReference w:id="28"/>
      </w:r>
    </w:p>
    <w:p w14:paraId="4E634970" w14:textId="5E7FEC3B" w:rsidR="001F30E2" w:rsidRPr="00D4755D" w:rsidRDefault="001F30E2" w:rsidP="001F30E2">
      <w:pPr>
        <w:pStyle w:val="Heading2"/>
      </w:pPr>
      <w:bookmarkStart w:id="56" w:name="_Toc196729829"/>
      <w:bookmarkStart w:id="57" w:name="_Toc196826806"/>
      <w:r w:rsidRPr="00D4755D">
        <w:t>Equality and non-discrimination and the ADA</w:t>
      </w:r>
      <w:bookmarkEnd w:id="56"/>
      <w:bookmarkEnd w:id="57"/>
    </w:p>
    <w:p w14:paraId="520527C0" w14:textId="77777777" w:rsidR="001F30E2" w:rsidRPr="00D4755D" w:rsidRDefault="001F30E2" w:rsidP="001F30E2">
      <w:pPr>
        <w:pStyle w:val="NormalAutoChapter"/>
        <w:rPr>
          <w:lang w:eastAsia="en-US"/>
        </w:rPr>
      </w:pPr>
      <w:r w:rsidRPr="00D4755D">
        <w:rPr>
          <w:lang w:eastAsia="en-US"/>
        </w:rPr>
        <w:t xml:space="preserve">Throughout this consultation paper, we refer to different ways of understanding and giving effect to the rights to equality and non-discrimination. These understandings have evolved since the ADA was enacted and may continue to do so. A significant issue in this review is whether the ADA has kept pace with these changes, and whether it appropriately addresses issues of intersecting and competing rights.  </w:t>
      </w:r>
    </w:p>
    <w:p w14:paraId="2AD2D754" w14:textId="77777777" w:rsidR="001F30E2" w:rsidRPr="00D4755D" w:rsidRDefault="001F30E2" w:rsidP="001F30E2">
      <w:pPr>
        <w:pStyle w:val="Heading3"/>
      </w:pPr>
      <w:r w:rsidRPr="00D4755D">
        <w:lastRenderedPageBreak/>
        <w:t>Formal and substantive equality</w:t>
      </w:r>
    </w:p>
    <w:p w14:paraId="759B7E8A" w14:textId="77777777" w:rsidR="001F30E2" w:rsidRPr="00D4755D" w:rsidRDefault="001F30E2" w:rsidP="001F30E2">
      <w:pPr>
        <w:pStyle w:val="NormalAutoChapter"/>
      </w:pPr>
      <w:r w:rsidRPr="00D4755D">
        <w:t>Two common understandings of equality are “formal” and “substantive” equality.</w:t>
      </w:r>
    </w:p>
    <w:p w14:paraId="695269D8" w14:textId="77777777" w:rsidR="001F30E2" w:rsidRPr="00D4755D" w:rsidRDefault="001F30E2" w:rsidP="001F30E2">
      <w:pPr>
        <w:pStyle w:val="NormalAutoChapter"/>
      </w:pPr>
      <w:r w:rsidRPr="00D4755D">
        <w:t>As originally enacted, the ADA promoted what is known as “</w:t>
      </w:r>
      <w:r w:rsidRPr="00D4755D">
        <w:rPr>
          <w:lang w:eastAsia="en-US"/>
        </w:rPr>
        <w:t>formal equality”. This reflects the view that equality involves treating people the same way. It is also known as equality of opportunity.</w:t>
      </w:r>
      <w:r w:rsidRPr="00D4755D">
        <w:rPr>
          <w:rStyle w:val="FootnoteReference"/>
          <w:color w:val="auto"/>
        </w:rPr>
        <w:footnoteReference w:id="29"/>
      </w:r>
      <w:r w:rsidRPr="00D4755D">
        <w:rPr>
          <w:color w:val="auto"/>
        </w:rPr>
        <w:t xml:space="preserve"> </w:t>
      </w:r>
      <w:r w:rsidRPr="00D4755D">
        <w:rPr>
          <w:lang w:eastAsia="en-US"/>
        </w:rPr>
        <w:t xml:space="preserve"> </w:t>
      </w:r>
    </w:p>
    <w:p w14:paraId="19B36B19" w14:textId="77777777" w:rsidR="001F30E2" w:rsidRPr="00D4755D" w:rsidRDefault="001F30E2" w:rsidP="001F30E2">
      <w:pPr>
        <w:pStyle w:val="NormalAutoChapter"/>
      </w:pPr>
      <w:r w:rsidRPr="00D4755D">
        <w:t>While it does not contain a specific objectives clause, the long title of the ADA indicates the purpose of the Act. This has remained unchanged since the ADA was enacted in 1977: “An act to render unlawful racial, sex and other types of discrimination in certain circumstances and to promote equality of opportunity between all persons”.</w:t>
      </w:r>
    </w:p>
    <w:p w14:paraId="13205994" w14:textId="77777777" w:rsidR="001F30E2" w:rsidRPr="00D4755D" w:rsidRDefault="001F30E2" w:rsidP="001F30E2">
      <w:pPr>
        <w:pStyle w:val="NormalAutoChapter"/>
      </w:pPr>
      <w:r w:rsidRPr="00D4755D">
        <w:rPr>
          <w:lang w:eastAsia="en-US"/>
        </w:rPr>
        <w:t>Formal equality also underpins</w:t>
      </w:r>
      <w:r w:rsidRPr="00D4755D">
        <w:t xml:space="preserve"> the ADA’s test for “direct discrimination”. In summary, this recognises that it is discriminatory to treat someone less favourably compared to someone else because of an aspect of their identity (known as an attribute). </w:t>
      </w:r>
    </w:p>
    <w:p w14:paraId="5B193EC8" w14:textId="77777777" w:rsidR="001F30E2" w:rsidRPr="00D4755D" w:rsidRDefault="001F30E2" w:rsidP="001F30E2">
      <w:pPr>
        <w:pStyle w:val="NormalAutoChapter"/>
        <w:tabs>
          <w:tab w:val="left" w:pos="1418"/>
        </w:tabs>
        <w:rPr>
          <w:lang w:eastAsia="en-US"/>
        </w:rPr>
      </w:pPr>
      <w:r w:rsidRPr="00D4755D">
        <w:rPr>
          <w:color w:val="auto"/>
        </w:rPr>
        <w:t xml:space="preserve">However, equal treatment does not always result in equal outcomes. </w:t>
      </w:r>
      <w:r w:rsidRPr="00D4755D">
        <w:rPr>
          <w:lang w:eastAsia="en-US"/>
        </w:rPr>
        <w:t>Another concept of equality — “substantive equality” — recognises that some people need to be treated differently to promote an equal outcome or equal access to opportunities.</w:t>
      </w:r>
      <w:r w:rsidRPr="00D4755D">
        <w:rPr>
          <w:rStyle w:val="FootnoteReference"/>
          <w:color w:val="auto"/>
        </w:rPr>
        <w:footnoteReference w:id="30"/>
      </w:r>
      <w:r w:rsidRPr="00D4755D">
        <w:rPr>
          <w:color w:val="auto"/>
        </w:rPr>
        <w:t xml:space="preserve"> This requires an approach which extends beyond comparing the treatment of individuals, and addresses the adverse impact of broader practices, cultural norms, customs and attitudes, and unconscious bias. Addressing these barriers to equality means treating people or groups in a way that achieves equal outcomes or access to equal opportunities.</w:t>
      </w:r>
    </w:p>
    <w:p w14:paraId="728A6B73" w14:textId="77777777" w:rsidR="001F30E2" w:rsidRPr="00D4755D" w:rsidRDefault="001F30E2" w:rsidP="001F30E2">
      <w:pPr>
        <w:pStyle w:val="NormalAutoChapter"/>
        <w:tabs>
          <w:tab w:val="left" w:pos="1418"/>
        </w:tabs>
        <w:rPr>
          <w:color w:val="auto"/>
        </w:rPr>
      </w:pPr>
      <w:r w:rsidRPr="00D4755D">
        <w:rPr>
          <w:color w:val="auto"/>
        </w:rPr>
        <w:t xml:space="preserve">In </w:t>
      </w:r>
      <w:r w:rsidRPr="00CB29A7">
        <w:rPr>
          <w:color w:val="auto"/>
        </w:rPr>
        <w:t>1981</w:t>
      </w:r>
      <w:r w:rsidRPr="00D4755D">
        <w:rPr>
          <w:color w:val="auto"/>
        </w:rPr>
        <w:t xml:space="preserve">, the ADA was amended to also prohibit indirect discrimination. In doing so, the ADA moved towards addressing substantive </w:t>
      </w:r>
      <w:r>
        <w:rPr>
          <w:color w:val="auto"/>
        </w:rPr>
        <w:t>e</w:t>
      </w:r>
      <w:r w:rsidRPr="00D4755D">
        <w:rPr>
          <w:color w:val="auto"/>
        </w:rPr>
        <w:t>quality. Indirect discrimination looks at the adverse outcome of a seemingly neutral requirement or condition (in effect</w:t>
      </w:r>
      <w:r>
        <w:rPr>
          <w:color w:val="auto"/>
        </w:rPr>
        <w:t>,</w:t>
      </w:r>
      <w:r w:rsidRPr="00D4755D">
        <w:rPr>
          <w:color w:val="auto"/>
        </w:rPr>
        <w:t xml:space="preserve"> the same treatment) for people with different attributes. The requirement may have an unequal effect on certain groups, which is not reasonable. People with certain attributes may be unable to comply with that requirement, but people without those attributes can.</w:t>
      </w:r>
      <w:r w:rsidRPr="00D4755D">
        <w:rPr>
          <w:rStyle w:val="FootnoteReference"/>
          <w:color w:val="auto"/>
        </w:rPr>
        <w:footnoteReference w:id="31"/>
      </w:r>
      <w:r w:rsidRPr="00D4755D">
        <w:rPr>
          <w:color w:val="auto"/>
        </w:rPr>
        <w:t xml:space="preserve"> </w:t>
      </w:r>
    </w:p>
    <w:p w14:paraId="43491117" w14:textId="77777777" w:rsidR="001F30E2" w:rsidRPr="00D4755D" w:rsidRDefault="001F30E2" w:rsidP="001F30E2">
      <w:pPr>
        <w:pStyle w:val="NormalAutoChapter"/>
        <w:tabs>
          <w:tab w:val="left" w:pos="1418"/>
        </w:tabs>
        <w:rPr>
          <w:color w:val="auto"/>
        </w:rPr>
      </w:pPr>
      <w:r w:rsidRPr="00D4755D">
        <w:rPr>
          <w:color w:val="auto"/>
        </w:rPr>
        <w:t xml:space="preserve">Take, for example, a requirement that all job applicants attend an interview in a building that is only accessible by stairs. While the requirement applies equally to all applicants, this would not result in an equal outcome for an applicant who uses a </w:t>
      </w:r>
      <w:r w:rsidRPr="00D4755D">
        <w:rPr>
          <w:color w:val="auto"/>
        </w:rPr>
        <w:lastRenderedPageBreak/>
        <w:t>wheelchair. They would not be able to comply with this requirement without adjustments such as a lift, but other applicants who do not use wheelchairs may be able to comply.</w:t>
      </w:r>
    </w:p>
    <w:p w14:paraId="65217200" w14:textId="77777777" w:rsidR="001F30E2" w:rsidRPr="00D4755D" w:rsidRDefault="001F30E2" w:rsidP="001F30E2">
      <w:pPr>
        <w:pStyle w:val="NormalAutoChapter"/>
        <w:tabs>
          <w:tab w:val="left" w:pos="1418"/>
        </w:tabs>
      </w:pPr>
      <w:r w:rsidRPr="00D4755D">
        <w:rPr>
          <w:lang w:eastAsia="en-US"/>
        </w:rPr>
        <w:t xml:space="preserve">Some people think the ADA could do more to help achieve substantive equality. </w:t>
      </w:r>
      <w:r>
        <w:rPr>
          <w:lang w:eastAsia="en-US"/>
        </w:rPr>
        <w:t>For instance, s</w:t>
      </w:r>
      <w:r w:rsidRPr="00D4755D">
        <w:rPr>
          <w:lang w:eastAsia="en-US"/>
        </w:rPr>
        <w:t>ome other Australian discrimination laws express the objective of</w:t>
      </w:r>
    </w:p>
    <w:p w14:paraId="4F1F5140" w14:textId="77777777" w:rsidR="001F30E2" w:rsidRPr="00D4755D" w:rsidRDefault="001F30E2" w:rsidP="001F30E2">
      <w:pPr>
        <w:pStyle w:val="Quotationnormal"/>
        <w:rPr>
          <w:lang w:eastAsia="en-AU"/>
        </w:rPr>
      </w:pPr>
      <w:r w:rsidRPr="00D4755D">
        <w:t>promoting and facilitating the progressive realisation of equality, as far as reasonably practicable, by recognising that … the achievement of substantive equality may require the making of reasonable adjustments, reasonable accommodation and the taking of special measures.</w:t>
      </w:r>
      <w:r w:rsidRPr="00D4755D">
        <w:rPr>
          <w:rStyle w:val="FootnoteReference"/>
          <w:color w:val="auto"/>
        </w:rPr>
        <w:footnoteReference w:id="32"/>
      </w:r>
    </w:p>
    <w:p w14:paraId="7F7CE9A0" w14:textId="77777777" w:rsidR="001F30E2" w:rsidRPr="00D4755D" w:rsidRDefault="001F30E2" w:rsidP="001F30E2">
      <w:pPr>
        <w:pStyle w:val="NormalAutoChapter"/>
        <w:tabs>
          <w:tab w:val="left" w:pos="1418"/>
        </w:tabs>
      </w:pPr>
      <w:r w:rsidRPr="00D4755D">
        <w:rPr>
          <w:lang w:eastAsia="en-US"/>
        </w:rPr>
        <w:t xml:space="preserve">Examples of mechanisms to promote substantive equality include: </w:t>
      </w:r>
    </w:p>
    <w:p w14:paraId="761B961C" w14:textId="77777777" w:rsidR="001F30E2" w:rsidRPr="00D4755D" w:rsidRDefault="001F30E2" w:rsidP="001F30E2">
      <w:pPr>
        <w:pStyle w:val="Normalbullet"/>
      </w:pPr>
      <w:r w:rsidRPr="00D4755D">
        <w:t>requiring duty</w:t>
      </w:r>
      <w:r>
        <w:t xml:space="preserve"> </w:t>
      </w:r>
      <w:r w:rsidRPr="00D4755D">
        <w:t>holders to provide adjustments for some people with protected attributes</w:t>
      </w:r>
    </w:p>
    <w:p w14:paraId="1B5A9B19" w14:textId="77777777" w:rsidR="001F30E2" w:rsidRPr="00D4755D" w:rsidRDefault="001F30E2" w:rsidP="001F30E2">
      <w:pPr>
        <w:pStyle w:val="Normalbullet"/>
      </w:pPr>
      <w:r w:rsidRPr="00D4755D">
        <w:t>enabling duty</w:t>
      </w:r>
      <w:r>
        <w:t xml:space="preserve"> </w:t>
      </w:r>
      <w:r w:rsidRPr="00D4755D">
        <w:t>holders to adopt “special measures” for groups who have experienced disadvantage, which allow them to be treated differently to best promote their rights, and</w:t>
      </w:r>
    </w:p>
    <w:p w14:paraId="7DFCC959" w14:textId="77777777" w:rsidR="001F30E2" w:rsidRPr="00D4755D" w:rsidRDefault="001F30E2" w:rsidP="001F30E2">
      <w:pPr>
        <w:pStyle w:val="Normalbullet"/>
      </w:pPr>
      <w:r w:rsidRPr="00D4755D">
        <w:t>imposing a positive duty to prevent discrimination and other unlawful conduct.</w:t>
      </w:r>
      <w:r w:rsidRPr="00D4755D" w:rsidDel="00BD6762">
        <w:rPr>
          <w:strike/>
        </w:rPr>
        <w:t xml:space="preserve"> </w:t>
      </w:r>
    </w:p>
    <w:p w14:paraId="65C54F2B" w14:textId="77777777" w:rsidR="001F30E2" w:rsidRPr="00D4755D" w:rsidRDefault="001F30E2" w:rsidP="001F30E2">
      <w:pPr>
        <w:pStyle w:val="NormalAutoChapter"/>
        <w:tabs>
          <w:tab w:val="left" w:pos="1418"/>
        </w:tabs>
      </w:pPr>
      <w:r w:rsidRPr="00D4755D">
        <w:t xml:space="preserve">We consider these potential options for reform in </w:t>
      </w:r>
      <w:r w:rsidRPr="00CB29A7">
        <w:t>chapter 11</w:t>
      </w:r>
      <w:r w:rsidRPr="001F5DAE">
        <w:t>.</w:t>
      </w:r>
    </w:p>
    <w:p w14:paraId="5D7B1DEE" w14:textId="77777777" w:rsidR="001F30E2" w:rsidRPr="00D4755D" w:rsidRDefault="001F30E2" w:rsidP="001F30E2">
      <w:pPr>
        <w:pStyle w:val="Heading3"/>
      </w:pPr>
      <w:r w:rsidRPr="00D4755D">
        <w:t xml:space="preserve">When exceptions may be justified </w:t>
      </w:r>
    </w:p>
    <w:p w14:paraId="57381039" w14:textId="77777777" w:rsidR="001F30E2" w:rsidRPr="00D4755D" w:rsidRDefault="001F30E2" w:rsidP="001F30E2">
      <w:pPr>
        <w:pStyle w:val="NormalAutoChapter"/>
        <w:rPr>
          <w:lang w:eastAsia="en-US"/>
        </w:rPr>
      </w:pPr>
      <w:r w:rsidRPr="00D4755D">
        <w:rPr>
          <w:lang w:eastAsia="en-US"/>
        </w:rPr>
        <w:t>Across several chapters, we refer to the ADA’s complex and extensive exceptions that allow duty</w:t>
      </w:r>
      <w:r>
        <w:rPr>
          <w:lang w:eastAsia="en-US"/>
        </w:rPr>
        <w:t xml:space="preserve"> </w:t>
      </w:r>
      <w:r w:rsidRPr="00D4755D">
        <w:rPr>
          <w:lang w:eastAsia="en-US"/>
        </w:rPr>
        <w:t>holders to engage in what would otherwise be unlawful conduct. One of the most controversial issues in this review is whether these exceptions remain appropriate.</w:t>
      </w:r>
    </w:p>
    <w:p w14:paraId="1CD32F9A" w14:textId="77777777" w:rsidR="001F30E2" w:rsidRPr="00D4755D" w:rsidRDefault="001F30E2" w:rsidP="001F30E2">
      <w:pPr>
        <w:pStyle w:val="NormalAutoChapter"/>
        <w:rPr>
          <w:color w:val="auto"/>
        </w:rPr>
      </w:pPr>
      <w:r w:rsidRPr="00D4755D">
        <w:t>International human rights law recognises that the right to non-discrimination can be limited in certain circumstances. Generally, a policy or practice will not be considered discriminatory if it pursues a legitimate aim, and is appropriate, necessary and proportionate to that aim.</w:t>
      </w:r>
      <w:r w:rsidRPr="00D4755D">
        <w:rPr>
          <w:rStyle w:val="FootnoteReference"/>
        </w:rPr>
        <w:footnoteReference w:id="33"/>
      </w:r>
      <w:r w:rsidRPr="00D4755D">
        <w:t xml:space="preserve"> </w:t>
      </w:r>
      <w:r>
        <w:rPr>
          <w:color w:val="auto"/>
        </w:rPr>
        <w:t>A recent</w:t>
      </w:r>
      <w:r w:rsidRPr="00D4755D">
        <w:rPr>
          <w:color w:val="auto"/>
        </w:rPr>
        <w:t xml:space="preserve"> review</w:t>
      </w:r>
      <w:r>
        <w:rPr>
          <w:color w:val="auto"/>
        </w:rPr>
        <w:t xml:space="preserve"> considered that duty holders should meet similar tests before they can access an exception</w:t>
      </w:r>
      <w:r w:rsidRPr="00D4755D">
        <w:rPr>
          <w:color w:val="auto"/>
        </w:rPr>
        <w:t>.</w:t>
      </w:r>
      <w:r w:rsidRPr="00D4755D">
        <w:rPr>
          <w:rStyle w:val="FootnoteReference"/>
          <w:color w:val="auto"/>
        </w:rPr>
        <w:footnoteReference w:id="34"/>
      </w:r>
      <w:r w:rsidRPr="00D4755D">
        <w:rPr>
          <w:color w:val="auto"/>
        </w:rPr>
        <w:t xml:space="preserve"> An example is </w:t>
      </w:r>
      <w:r>
        <w:rPr>
          <w:color w:val="auto"/>
        </w:rPr>
        <w:t>the r</w:t>
      </w:r>
      <w:r w:rsidRPr="00D4755D">
        <w:rPr>
          <w:color w:val="auto"/>
        </w:rPr>
        <w:t xml:space="preserve">equirement </w:t>
      </w:r>
      <w:r>
        <w:rPr>
          <w:color w:val="auto"/>
        </w:rPr>
        <w:t xml:space="preserve">in the Australian Capital Territory (ACT) </w:t>
      </w:r>
      <w:r w:rsidRPr="00D4755D">
        <w:rPr>
          <w:color w:val="auto"/>
        </w:rPr>
        <w:t>that discrimination must be “reasonable, proportionate and justifiable in the circumstances” for a respondent to be able to rely on an exception.</w:t>
      </w:r>
      <w:r w:rsidRPr="00D4755D">
        <w:rPr>
          <w:rStyle w:val="FootnoteReference"/>
          <w:color w:val="auto"/>
        </w:rPr>
        <w:footnoteReference w:id="35"/>
      </w:r>
    </w:p>
    <w:p w14:paraId="6CD5F910" w14:textId="77777777" w:rsidR="001F30E2" w:rsidRPr="00D4755D" w:rsidRDefault="001F30E2" w:rsidP="001F30E2">
      <w:pPr>
        <w:pStyle w:val="NormalAutoChapter"/>
        <w:rPr>
          <w:color w:val="auto"/>
        </w:rPr>
      </w:pPr>
      <w:r w:rsidRPr="00D4755D">
        <w:rPr>
          <w:color w:val="auto"/>
        </w:rPr>
        <w:lastRenderedPageBreak/>
        <w:t>In its 1999 report on the ADA, the N</w:t>
      </w:r>
      <w:r>
        <w:rPr>
          <w:color w:val="auto"/>
        </w:rPr>
        <w:t xml:space="preserve">ew </w:t>
      </w:r>
      <w:r w:rsidRPr="00D4755D">
        <w:rPr>
          <w:color w:val="auto"/>
        </w:rPr>
        <w:t>S</w:t>
      </w:r>
      <w:r>
        <w:rPr>
          <w:color w:val="auto"/>
        </w:rPr>
        <w:t xml:space="preserve">outh </w:t>
      </w:r>
      <w:r w:rsidRPr="00D4755D">
        <w:rPr>
          <w:color w:val="auto"/>
        </w:rPr>
        <w:t>W</w:t>
      </w:r>
      <w:r>
        <w:rPr>
          <w:color w:val="auto"/>
        </w:rPr>
        <w:t xml:space="preserve">ales </w:t>
      </w:r>
      <w:r w:rsidRPr="00D4755D">
        <w:rPr>
          <w:color w:val="auto"/>
        </w:rPr>
        <w:t>L</w:t>
      </w:r>
      <w:r>
        <w:rPr>
          <w:color w:val="auto"/>
        </w:rPr>
        <w:t xml:space="preserve">aw </w:t>
      </w:r>
      <w:r w:rsidRPr="00D4755D">
        <w:rPr>
          <w:color w:val="auto"/>
        </w:rPr>
        <w:t>R</w:t>
      </w:r>
      <w:r>
        <w:rPr>
          <w:color w:val="auto"/>
        </w:rPr>
        <w:t xml:space="preserve">eform </w:t>
      </w:r>
      <w:r w:rsidRPr="00D4755D">
        <w:rPr>
          <w:color w:val="auto"/>
        </w:rPr>
        <w:t>C</w:t>
      </w:r>
      <w:r>
        <w:rPr>
          <w:color w:val="auto"/>
        </w:rPr>
        <w:t>ommission</w:t>
      </w:r>
      <w:r w:rsidRPr="00D4755D">
        <w:rPr>
          <w:color w:val="auto"/>
        </w:rPr>
        <w:t xml:space="preserve"> observed that “because discrimination law protects fundamental human rights, the prohibitions should not be lightly displaced. There must be good justification for any genuine exception”.</w:t>
      </w:r>
      <w:r w:rsidRPr="00D4755D">
        <w:rPr>
          <w:rStyle w:val="FootnoteReference"/>
          <w:color w:val="auto"/>
        </w:rPr>
        <w:footnoteReference w:id="36"/>
      </w:r>
      <w:r w:rsidRPr="00D4755D">
        <w:rPr>
          <w:color w:val="auto"/>
        </w:rPr>
        <w:t xml:space="preserve"> </w:t>
      </w:r>
    </w:p>
    <w:p w14:paraId="67C0DE03" w14:textId="77777777" w:rsidR="001F30E2" w:rsidRPr="00D4755D" w:rsidRDefault="001F30E2" w:rsidP="001F30E2">
      <w:pPr>
        <w:pStyle w:val="NormalAutoChapter"/>
        <w:rPr>
          <w:color w:val="auto"/>
        </w:rPr>
      </w:pPr>
      <w:r w:rsidRPr="00D4755D">
        <w:rPr>
          <w:color w:val="auto"/>
        </w:rPr>
        <w:t xml:space="preserve">Throughout this report, we invite consideration of whether the existing exceptions in the ADA meet this description. </w:t>
      </w:r>
    </w:p>
    <w:p w14:paraId="6D11F506" w14:textId="77777777" w:rsidR="001F30E2" w:rsidRPr="00D4755D" w:rsidRDefault="001F30E2" w:rsidP="001F30E2">
      <w:pPr>
        <w:pStyle w:val="Heading3"/>
      </w:pPr>
      <w:r w:rsidRPr="00D4755D">
        <w:t xml:space="preserve">Intersectionality </w:t>
      </w:r>
    </w:p>
    <w:p w14:paraId="64F1E282" w14:textId="77777777" w:rsidR="001F30E2" w:rsidRPr="005073FD" w:rsidRDefault="001F30E2" w:rsidP="001F30E2">
      <w:pPr>
        <w:pStyle w:val="NormalAutoChapter"/>
        <w:tabs>
          <w:tab w:val="left" w:pos="1418"/>
        </w:tabs>
      </w:pPr>
      <w:r w:rsidRPr="00D4755D">
        <w:rPr>
          <w:color w:val="auto"/>
        </w:rPr>
        <w:t xml:space="preserve">Another important concept is “intersectionality”. The ADA only prohibits discrimination, vilification and harassment that occurs because of a limited range of protected attributes. It does not prohibit unlawful conduct that is based on </w:t>
      </w:r>
      <w:r>
        <w:rPr>
          <w:color w:val="auto"/>
        </w:rPr>
        <w:t>more than one</w:t>
      </w:r>
      <w:r w:rsidRPr="00D4755D">
        <w:rPr>
          <w:color w:val="auto"/>
        </w:rPr>
        <w:t xml:space="preserve">, or a combination of, protected attributes. </w:t>
      </w:r>
    </w:p>
    <w:p w14:paraId="2E8B94D5" w14:textId="77777777" w:rsidR="001F30E2" w:rsidRPr="00D4755D" w:rsidRDefault="001F30E2" w:rsidP="001F30E2">
      <w:pPr>
        <w:pStyle w:val="NormalAutoChapter"/>
        <w:tabs>
          <w:tab w:val="left" w:pos="1418"/>
        </w:tabs>
      </w:pPr>
      <w:r w:rsidRPr="00D4755D">
        <w:rPr>
          <w:color w:val="auto"/>
        </w:rPr>
        <w:t xml:space="preserve">However, this does not always reflect the realities of how discrimination, vilification and harassment are experienced. Nor does it acknowledge that people may </w:t>
      </w:r>
      <w:r>
        <w:rPr>
          <w:color w:val="auto"/>
        </w:rPr>
        <w:t xml:space="preserve">have </w:t>
      </w:r>
      <w:r w:rsidRPr="00D4755D">
        <w:rPr>
          <w:color w:val="auto"/>
        </w:rPr>
        <w:t>more than one attribute.</w:t>
      </w:r>
    </w:p>
    <w:p w14:paraId="3BD96FAB" w14:textId="77777777" w:rsidR="001F30E2" w:rsidRPr="00D4755D" w:rsidRDefault="001F30E2" w:rsidP="001F30E2">
      <w:pPr>
        <w:pStyle w:val="NormalAutoChapter"/>
        <w:tabs>
          <w:tab w:val="left" w:pos="1418"/>
        </w:tabs>
      </w:pPr>
      <w:r w:rsidRPr="00D4755D">
        <w:rPr>
          <w:color w:val="auto"/>
        </w:rPr>
        <w:t xml:space="preserve">Some have argued that the ADA needs to recognise and address “intersectional” forms of discrimination, vilification and harassment. This is conduct that occurs because of </w:t>
      </w:r>
      <w:r>
        <w:rPr>
          <w:color w:val="auto"/>
        </w:rPr>
        <w:t>more than one</w:t>
      </w:r>
      <w:r w:rsidRPr="00D4755D">
        <w:rPr>
          <w:color w:val="auto"/>
        </w:rPr>
        <w:t xml:space="preserve"> attribute that a person identifies with. </w:t>
      </w:r>
    </w:p>
    <w:p w14:paraId="1F9DC71E" w14:textId="77777777" w:rsidR="001F30E2" w:rsidRPr="00D4755D" w:rsidRDefault="001F30E2" w:rsidP="001F30E2">
      <w:pPr>
        <w:pStyle w:val="Heading3"/>
      </w:pPr>
      <w:r w:rsidRPr="00D4755D">
        <w:t>Systemic discrimination</w:t>
      </w:r>
    </w:p>
    <w:p w14:paraId="02EC9521" w14:textId="6D35B398" w:rsidR="001F30E2" w:rsidRPr="00D4755D" w:rsidRDefault="001F30E2" w:rsidP="001F30E2">
      <w:pPr>
        <w:pStyle w:val="NormalAutoChapter"/>
        <w:tabs>
          <w:tab w:val="left" w:pos="1418"/>
        </w:tabs>
        <w:rPr>
          <w:color w:val="auto"/>
        </w:rPr>
      </w:pPr>
      <w:r w:rsidRPr="00D4755D">
        <w:rPr>
          <w:color w:val="auto"/>
        </w:rPr>
        <w:t>The concept of “systemic discrimination” focuses on the structural aspects and causes of discrimination. It regards discrimination as a social</w:t>
      </w:r>
      <w:r>
        <w:rPr>
          <w:color w:val="auto"/>
        </w:rPr>
        <w:t>,</w:t>
      </w:r>
      <w:r w:rsidRPr="00D4755D">
        <w:rPr>
          <w:color w:val="auto"/>
        </w:rPr>
        <w:t xml:space="preserve"> rather than simply an individual issue</w:t>
      </w:r>
      <w:r>
        <w:rPr>
          <w:color w:val="auto"/>
        </w:rPr>
        <w:t>,</w:t>
      </w:r>
      <w:r w:rsidRPr="00D4755D">
        <w:rPr>
          <w:color w:val="auto"/>
        </w:rPr>
        <w:t xml:space="preserve"> to address. This moves beyond examining an individual’s experiences of discrimination to consider the policies, practices and patterns of behaviour which create or perpetuate disadvantage for people with certain attributes.</w:t>
      </w:r>
      <w:r w:rsidRPr="00D4755D">
        <w:rPr>
          <w:rStyle w:val="FootnoteReference"/>
          <w:color w:val="auto"/>
        </w:rPr>
        <w:footnoteReference w:id="37"/>
      </w:r>
      <w:r w:rsidRPr="00D4755D">
        <w:rPr>
          <w:color w:val="auto"/>
        </w:rPr>
        <w:t xml:space="preserve"> </w:t>
      </w:r>
    </w:p>
    <w:p w14:paraId="4921D48D" w14:textId="77777777" w:rsidR="001F30E2" w:rsidRPr="00D4755D" w:rsidRDefault="001F30E2" w:rsidP="001F30E2">
      <w:pPr>
        <w:pStyle w:val="NormalAutoChapter"/>
        <w:tabs>
          <w:tab w:val="left" w:pos="1418"/>
        </w:tabs>
        <w:rPr>
          <w:color w:val="auto"/>
        </w:rPr>
      </w:pPr>
      <w:r w:rsidRPr="00D4755D">
        <w:rPr>
          <w:color w:val="auto"/>
        </w:rPr>
        <w:t>Some other discrimination laws express the objective of encouraging “the identification and elimination of systemic causes of discrimination”, sexual harassment and victimisation.</w:t>
      </w:r>
      <w:r w:rsidRPr="00D4755D">
        <w:rPr>
          <w:rStyle w:val="FootnoteReference"/>
          <w:color w:val="auto"/>
        </w:rPr>
        <w:footnoteReference w:id="38"/>
      </w:r>
      <w:r w:rsidRPr="00D4755D">
        <w:rPr>
          <w:color w:val="auto"/>
        </w:rPr>
        <w:t xml:space="preserve"> </w:t>
      </w:r>
      <w:r>
        <w:rPr>
          <w:color w:val="auto"/>
        </w:rPr>
        <w:t xml:space="preserve">Victoria recently enacted changes to its vilification laws, with one of the purposes being “to protect Aboriginal </w:t>
      </w:r>
      <w:r w:rsidRPr="00EB4AD8">
        <w:rPr>
          <w:color w:val="auto"/>
        </w:rPr>
        <w:t>and Torres Strait Islander people and others experiencing systemic injustice and structural oppression</w:t>
      </w:r>
      <w:r>
        <w:rPr>
          <w:color w:val="auto"/>
        </w:rPr>
        <w:t>”.</w:t>
      </w:r>
      <w:r>
        <w:rPr>
          <w:rStyle w:val="FootnoteReference"/>
          <w:color w:val="auto"/>
        </w:rPr>
        <w:footnoteReference w:id="39"/>
      </w:r>
      <w:r w:rsidRPr="00D4755D">
        <w:rPr>
          <w:color w:val="auto"/>
        </w:rPr>
        <w:t xml:space="preserve"> </w:t>
      </w:r>
    </w:p>
    <w:p w14:paraId="31E3FC98" w14:textId="77777777" w:rsidR="001F30E2" w:rsidRPr="00D4755D" w:rsidRDefault="001F30E2" w:rsidP="001F30E2">
      <w:pPr>
        <w:pStyle w:val="NormalAutoChapter"/>
        <w:tabs>
          <w:tab w:val="left" w:pos="1418"/>
        </w:tabs>
        <w:rPr>
          <w:color w:val="auto"/>
        </w:rPr>
      </w:pPr>
      <w:r w:rsidRPr="00D4755D">
        <w:rPr>
          <w:color w:val="auto"/>
        </w:rPr>
        <w:lastRenderedPageBreak/>
        <w:t xml:space="preserve">One issue is whether the ADA’s individual complaints model can address these wider structural causes of discrimination and other unlawful conduct. Some say more proactive, regulatory mechanisms are needed. </w:t>
      </w:r>
    </w:p>
    <w:p w14:paraId="125E15C2" w14:textId="77777777" w:rsidR="001F30E2" w:rsidRPr="00D4755D" w:rsidRDefault="001F30E2" w:rsidP="001F30E2">
      <w:pPr>
        <w:pStyle w:val="NormalAutoChapter"/>
        <w:tabs>
          <w:tab w:val="left" w:pos="1418"/>
        </w:tabs>
        <w:rPr>
          <w:color w:val="auto"/>
        </w:rPr>
      </w:pPr>
      <w:r w:rsidRPr="00D4755D">
        <w:rPr>
          <w:color w:val="auto"/>
        </w:rPr>
        <w:t>For example, the Australian Human Rights Commission (AHRC) has the power to inquire into any matter that may relate to “systemic unlawful discrimination”. This means unlawful discrimination that affects a class or group of people, and is continuous, repetitive or forms a pattern.</w:t>
      </w:r>
      <w:r w:rsidRPr="00D4755D">
        <w:rPr>
          <w:rStyle w:val="FootnoteReference"/>
          <w:color w:val="auto"/>
        </w:rPr>
        <w:footnoteReference w:id="40"/>
      </w:r>
      <w:r w:rsidRPr="00D4755D">
        <w:rPr>
          <w:color w:val="auto"/>
        </w:rPr>
        <w:t xml:space="preserve"> We will examine these issues in our second consultation paper.</w:t>
      </w:r>
    </w:p>
    <w:p w14:paraId="3E757258" w14:textId="77777777" w:rsidR="001F30E2" w:rsidRPr="00D4755D" w:rsidRDefault="001F30E2" w:rsidP="001F30E2">
      <w:pPr>
        <w:pStyle w:val="Heading1"/>
      </w:pPr>
      <w:bookmarkStart w:id="59" w:name="_Toc196729830"/>
      <w:bookmarkStart w:id="60" w:name="_Toc196826807"/>
      <w:r w:rsidRPr="00D4755D">
        <w:t>The wider Australian context</w:t>
      </w:r>
      <w:bookmarkEnd w:id="59"/>
      <w:bookmarkEnd w:id="60"/>
      <w:r w:rsidRPr="00D4755D">
        <w:t xml:space="preserve"> </w:t>
      </w:r>
    </w:p>
    <w:p w14:paraId="3AB05CA8" w14:textId="77777777" w:rsidR="001F30E2" w:rsidRPr="00D4755D" w:rsidRDefault="001F30E2" w:rsidP="001F30E2">
      <w:pPr>
        <w:pStyle w:val="NormalAutoChapter"/>
      </w:pPr>
      <w:r w:rsidRPr="00D4755D">
        <w:t xml:space="preserve">The ADA cannot be considered in isolation from other protections against discrimination, vilification and sexual harassment that exist across Australia. While some laws cover the same or similar conduct, there are important differences in coverage. </w:t>
      </w:r>
    </w:p>
    <w:p w14:paraId="1ADF65D6" w14:textId="77777777" w:rsidR="001F30E2" w:rsidRPr="00D4755D" w:rsidRDefault="001F30E2" w:rsidP="001F30E2">
      <w:pPr>
        <w:pStyle w:val="NormalAutoChapter"/>
      </w:pPr>
      <w:r w:rsidRPr="00D4755D">
        <w:t xml:space="preserve">It can be extremely difficult to determine which laws, protections and processes apply in different situations. Where there are similarities or overlaps, it can be challenging to choose the most appropriate forum for bringing a complaint. </w:t>
      </w:r>
    </w:p>
    <w:p w14:paraId="07527D31" w14:textId="77777777" w:rsidR="001F30E2" w:rsidRPr="00D4755D" w:rsidRDefault="001F30E2" w:rsidP="001F30E2">
      <w:pPr>
        <w:pStyle w:val="NormalAutoChapter"/>
      </w:pPr>
      <w:r w:rsidRPr="00D4755D">
        <w:t xml:space="preserve">It is important to consider the interactions between these laws when considering reforms to the ADA’s coverage. Throughout this consultation paper, we compare the ADA to other relevant laws. We ask if the way they define the scope of the various categories of unlawful conduct could inform any changes to the ADA. </w:t>
      </w:r>
    </w:p>
    <w:p w14:paraId="029967FE" w14:textId="77777777" w:rsidR="001F30E2" w:rsidRPr="00D4755D" w:rsidRDefault="001F30E2" w:rsidP="001F30E2">
      <w:pPr>
        <w:pStyle w:val="NormalAutoChapter"/>
      </w:pPr>
      <w:r w:rsidRPr="00D4755D">
        <w:t xml:space="preserve">In our second consultation paper in this review, we will consider the various NSW and federal complaint pathways in greater detail. </w:t>
      </w:r>
    </w:p>
    <w:p w14:paraId="52372EAC" w14:textId="77777777" w:rsidR="001F30E2" w:rsidRPr="00D4755D" w:rsidRDefault="001F30E2" w:rsidP="001F30E2">
      <w:pPr>
        <w:pStyle w:val="Heading2"/>
        <w:ind w:left="357" w:firstLine="357"/>
      </w:pPr>
      <w:bookmarkStart w:id="61" w:name="_Toc196729831"/>
      <w:bookmarkStart w:id="62" w:name="_Toc196826808"/>
      <w:r w:rsidRPr="00D4755D">
        <w:t>Australian discrimination laws</w:t>
      </w:r>
      <w:bookmarkEnd w:id="61"/>
      <w:bookmarkEnd w:id="62"/>
      <w:r w:rsidRPr="00D4755D">
        <w:t xml:space="preserve"> </w:t>
      </w:r>
    </w:p>
    <w:p w14:paraId="2A066D8E" w14:textId="77777777" w:rsidR="001F30E2" w:rsidRPr="00D4755D" w:rsidRDefault="001F30E2" w:rsidP="001F30E2">
      <w:pPr>
        <w:pStyle w:val="NormalAutoChapter"/>
      </w:pPr>
      <w:r w:rsidRPr="00D4755D">
        <w:t xml:space="preserve">The </w:t>
      </w:r>
      <w:r w:rsidRPr="006904C9">
        <w:t>ADA</w:t>
      </w:r>
      <w:r w:rsidRPr="00D4755D">
        <w:t xml:space="preserve"> is part of the system of anti-discrimination and equal opportunity laws that apply across Australia. </w:t>
      </w:r>
    </w:p>
    <w:p w14:paraId="53A5AEBC" w14:textId="77777777" w:rsidR="001F30E2" w:rsidRPr="00D4755D" w:rsidRDefault="001F30E2" w:rsidP="001F30E2">
      <w:pPr>
        <w:pStyle w:val="Heading3"/>
      </w:pPr>
      <w:r w:rsidRPr="00D4755D">
        <w:t>Federal law</w:t>
      </w:r>
    </w:p>
    <w:p w14:paraId="162D4D72" w14:textId="77777777" w:rsidR="001F30E2" w:rsidRPr="00D4755D" w:rsidRDefault="001F30E2" w:rsidP="001F30E2">
      <w:pPr>
        <w:pStyle w:val="NormalAutoChapter"/>
      </w:pPr>
      <w:r w:rsidRPr="00D4755D">
        <w:t xml:space="preserve">Four federal discrimination laws operate concurrently with the ADA: </w:t>
      </w:r>
    </w:p>
    <w:p w14:paraId="6300DE83" w14:textId="77777777" w:rsidR="001F30E2" w:rsidRPr="00D4755D" w:rsidRDefault="001F30E2" w:rsidP="001F30E2">
      <w:pPr>
        <w:pStyle w:val="Normalbullet"/>
      </w:pPr>
      <w:r w:rsidRPr="00D4755D">
        <w:rPr>
          <w:i/>
          <w:iCs/>
        </w:rPr>
        <w:t>Age Discrimination Act 2004</w:t>
      </w:r>
      <w:r w:rsidRPr="00D4755D">
        <w:t xml:space="preserve"> (Cth) </w:t>
      </w:r>
    </w:p>
    <w:p w14:paraId="33652819" w14:textId="77777777" w:rsidR="001F30E2" w:rsidRPr="00D4755D" w:rsidRDefault="001F30E2" w:rsidP="001F30E2">
      <w:pPr>
        <w:pStyle w:val="Normalbullet"/>
      </w:pPr>
      <w:bookmarkStart w:id="63" w:name="_Hlk193898467"/>
      <w:r w:rsidRPr="00D4755D">
        <w:rPr>
          <w:i/>
          <w:iCs/>
        </w:rPr>
        <w:t>Disability Discrimination Act 1992</w:t>
      </w:r>
      <w:r w:rsidRPr="00D4755D">
        <w:t xml:space="preserve"> (Cth)  </w:t>
      </w:r>
    </w:p>
    <w:bookmarkEnd w:id="63"/>
    <w:p w14:paraId="4AC01F1F" w14:textId="77777777" w:rsidR="001F30E2" w:rsidRPr="00D4755D" w:rsidRDefault="001F30E2" w:rsidP="001F30E2">
      <w:pPr>
        <w:pStyle w:val="Normalbullet"/>
      </w:pPr>
      <w:r w:rsidRPr="00D4755D">
        <w:rPr>
          <w:i/>
          <w:iCs/>
        </w:rPr>
        <w:t xml:space="preserve">Racial Discrimination Act 1975 </w:t>
      </w:r>
      <w:r w:rsidRPr="00D4755D">
        <w:t>(Cth), and</w:t>
      </w:r>
    </w:p>
    <w:p w14:paraId="4776D283" w14:textId="77777777" w:rsidR="001F30E2" w:rsidRPr="00D4755D" w:rsidRDefault="001F30E2" w:rsidP="001F30E2">
      <w:pPr>
        <w:pStyle w:val="Normalbullet"/>
      </w:pPr>
      <w:r w:rsidRPr="00D4755D">
        <w:rPr>
          <w:i/>
          <w:iCs/>
        </w:rPr>
        <w:lastRenderedPageBreak/>
        <w:t xml:space="preserve">Sex Discrimination Act 1984 </w:t>
      </w:r>
      <w:r w:rsidRPr="00D4755D">
        <w:t>(Cth).</w:t>
      </w:r>
      <w:r w:rsidRPr="00D4755D">
        <w:rPr>
          <w:rStyle w:val="FootnoteReference"/>
        </w:rPr>
        <w:footnoteReference w:id="41"/>
      </w:r>
    </w:p>
    <w:p w14:paraId="3476B4CC" w14:textId="77777777" w:rsidR="001F30E2" w:rsidRPr="00D4755D" w:rsidRDefault="001F30E2" w:rsidP="001F30E2">
      <w:pPr>
        <w:pStyle w:val="NormalAutoChapter"/>
        <w:rPr>
          <w:lang w:eastAsia="en-US"/>
        </w:rPr>
      </w:pPr>
      <w:r w:rsidRPr="00D4755D">
        <w:rPr>
          <w:lang w:eastAsia="en-US"/>
        </w:rPr>
        <w:t>A person can make a complaint under these Acts to the AHRC. I</w:t>
      </w:r>
      <w:r w:rsidRPr="00D4755D">
        <w:t xml:space="preserve">f it is not resolved by conciliation at the AHRC, the person may seek a judicial remedy </w:t>
      </w:r>
      <w:r w:rsidRPr="00D4755D">
        <w:rPr>
          <w:color w:val="auto"/>
          <w:lang w:eastAsia="en-US"/>
        </w:rPr>
        <w:t xml:space="preserve">in the Federal Court of Australia or </w:t>
      </w:r>
      <w:r>
        <w:rPr>
          <w:color w:val="auto"/>
          <w:lang w:eastAsia="en-US"/>
        </w:rPr>
        <w:t xml:space="preserve">the </w:t>
      </w:r>
      <w:r w:rsidRPr="00D4755D">
        <w:rPr>
          <w:color w:val="auto"/>
          <w:lang w:eastAsia="en-US"/>
        </w:rPr>
        <w:t>Federal Circuit and Family Court of Australia.</w:t>
      </w:r>
      <w:r w:rsidRPr="00D4755D">
        <w:rPr>
          <w:rStyle w:val="FootnoteReference"/>
          <w:color w:val="auto"/>
          <w:lang w:eastAsia="en-US"/>
        </w:rPr>
        <w:footnoteReference w:id="42"/>
      </w:r>
    </w:p>
    <w:p w14:paraId="4902BB58" w14:textId="77777777" w:rsidR="001F30E2" w:rsidRPr="00D4755D" w:rsidRDefault="001F30E2" w:rsidP="001F30E2">
      <w:pPr>
        <w:pStyle w:val="NormalAutoChapter"/>
        <w:rPr>
          <w:lang w:eastAsia="en-US"/>
        </w:rPr>
      </w:pPr>
      <w:r w:rsidRPr="00D4755D">
        <w:t xml:space="preserve">This consultation paper highlights gaps and overlaps between the ADA and federal law. Sometimes, the same or similar conduct is covered by both federal law and the ADA. When that happens, people can choose whether to seek a remedy through federal discrimination law or the ADA. </w:t>
      </w:r>
      <w:r w:rsidRPr="00D4755D">
        <w:rPr>
          <w:lang w:eastAsia="en-US"/>
        </w:rPr>
        <w:t>The ADA does not prevent a person from making a complaint under the ADA just because they have made a complaint based on the same facts elsewhere.</w:t>
      </w:r>
      <w:r w:rsidRPr="00D4755D">
        <w:rPr>
          <w:rStyle w:val="FootnoteReference"/>
          <w:lang w:eastAsia="en-US"/>
        </w:rPr>
        <w:footnoteReference w:id="43"/>
      </w:r>
    </w:p>
    <w:p w14:paraId="08D9F284" w14:textId="77777777" w:rsidR="001F30E2" w:rsidRPr="00D4755D" w:rsidRDefault="001F30E2" w:rsidP="001F30E2">
      <w:pPr>
        <w:pStyle w:val="NormalAutoChapter"/>
        <w:rPr>
          <w:lang w:eastAsia="en-US"/>
        </w:rPr>
      </w:pPr>
      <w:r w:rsidRPr="00D4755D">
        <w:t xml:space="preserve">For example, depending on the circumstances, </w:t>
      </w:r>
      <w:r w:rsidRPr="00D4755D">
        <w:rPr>
          <w:noProof/>
        </w:rPr>
        <w:t xml:space="preserve">a person may be able to make a complaint alleging racial discrimination to </w:t>
      </w:r>
      <w:r w:rsidRPr="00D4755D">
        <w:t xml:space="preserve">the AHRC under the </w:t>
      </w:r>
      <w:r w:rsidRPr="00D4755D">
        <w:rPr>
          <w:i/>
          <w:iCs/>
        </w:rPr>
        <w:t>Racial Discrimination Act</w:t>
      </w:r>
      <w:r w:rsidRPr="00D4755D">
        <w:t>. Or they may make a complaint to ADNSW un</w:t>
      </w:r>
      <w:r w:rsidRPr="00D4755D">
        <w:rPr>
          <w:noProof/>
        </w:rPr>
        <w:t>der the ADA.</w:t>
      </w:r>
      <w:r w:rsidRPr="00D4755D">
        <w:rPr>
          <w:rStyle w:val="FootnoteReference"/>
          <w:noProof/>
        </w:rPr>
        <w:footnoteReference w:id="44"/>
      </w:r>
      <w:r w:rsidRPr="00D4755D">
        <w:rPr>
          <w:noProof/>
        </w:rPr>
        <w:t xml:space="preserve"> </w:t>
      </w:r>
    </w:p>
    <w:p w14:paraId="2C3979BC" w14:textId="77777777" w:rsidR="001F30E2" w:rsidRPr="00D4755D" w:rsidRDefault="001F30E2" w:rsidP="001F30E2">
      <w:pPr>
        <w:pStyle w:val="NormalAutoChapter"/>
        <w:rPr>
          <w:lang w:eastAsia="en-US"/>
        </w:rPr>
      </w:pPr>
      <w:r w:rsidRPr="00D4755D">
        <w:t xml:space="preserve">In some areas, there are differences in coverage between the ADA and federal discrimination law. For example, some attributes, such as bisexuality and gender identity, are protected under the </w:t>
      </w:r>
      <w:r w:rsidRPr="00D4755D">
        <w:rPr>
          <w:i/>
          <w:iCs/>
        </w:rPr>
        <w:t>Sex Discrimination Act</w:t>
      </w:r>
      <w:r w:rsidRPr="00D4755D">
        <w:t xml:space="preserve"> but not the ADA.</w:t>
      </w:r>
      <w:r w:rsidRPr="00D4755D">
        <w:rPr>
          <w:rStyle w:val="FootnoteReference"/>
        </w:rPr>
        <w:footnoteReference w:id="45"/>
      </w:r>
      <w:r w:rsidRPr="00D4755D">
        <w:t xml:space="preserve"> This will affect where a complaint can be made.</w:t>
      </w:r>
    </w:p>
    <w:p w14:paraId="33FFFB96" w14:textId="77777777" w:rsidR="001F30E2" w:rsidRPr="00D4755D" w:rsidRDefault="001F30E2" w:rsidP="001F30E2">
      <w:pPr>
        <w:pStyle w:val="NormalAutoChapter"/>
        <w:tabs>
          <w:tab w:val="clear" w:pos="720"/>
          <w:tab w:val="num" w:pos="2564"/>
        </w:tabs>
      </w:pPr>
      <w:r w:rsidRPr="00D4755D">
        <w:rPr>
          <w:lang w:eastAsia="en-US"/>
        </w:rPr>
        <w:t xml:space="preserve">Other mechanisms of making a complaint to the AHRC exist, but these do not provide a pathway to a judicial remedy. </w:t>
      </w:r>
      <w:r w:rsidRPr="00D4755D">
        <w:t>The AHRC has separate powers to inquire into, and attempt to conciliate, complaints alleging:</w:t>
      </w:r>
    </w:p>
    <w:p w14:paraId="7E637E9B" w14:textId="77777777" w:rsidR="001F30E2" w:rsidRPr="00D4755D" w:rsidRDefault="001F30E2" w:rsidP="001F30E2">
      <w:pPr>
        <w:pStyle w:val="Normalbullet"/>
      </w:pPr>
      <w:r w:rsidRPr="00D4755D">
        <w:t>discrimination in employment and occupation, as part of its functions relating to equal opportunity in employment</w:t>
      </w:r>
      <w:r w:rsidRPr="00D4755D">
        <w:rPr>
          <w:rStyle w:val="FootnoteReference"/>
        </w:rPr>
        <w:footnoteReference w:id="46"/>
      </w:r>
    </w:p>
    <w:p w14:paraId="49FD0DB3" w14:textId="77777777" w:rsidR="001F30E2" w:rsidRPr="00D4755D" w:rsidRDefault="001F30E2" w:rsidP="001F30E2">
      <w:pPr>
        <w:pStyle w:val="Normalbullet"/>
      </w:pPr>
      <w:r w:rsidRPr="00D4755D">
        <w:t>systemic discrimination,</w:t>
      </w:r>
      <w:r w:rsidRPr="00D4755D">
        <w:rPr>
          <w:rStyle w:val="FootnoteReference"/>
        </w:rPr>
        <w:footnoteReference w:id="47"/>
      </w:r>
      <w:r w:rsidRPr="00D4755D">
        <w:t xml:space="preserve"> and</w:t>
      </w:r>
    </w:p>
    <w:p w14:paraId="0C035C94" w14:textId="77777777" w:rsidR="001F30E2" w:rsidRPr="00D4755D" w:rsidRDefault="001F30E2" w:rsidP="001F30E2">
      <w:pPr>
        <w:pStyle w:val="Normalbullet"/>
      </w:pPr>
      <w:r w:rsidRPr="00D4755D">
        <w:t xml:space="preserve">acts or practices of the Commonwealth that breach </w:t>
      </w:r>
      <w:proofErr w:type="gramStart"/>
      <w:r w:rsidRPr="00D4755D">
        <w:t>particular human</w:t>
      </w:r>
      <w:proofErr w:type="gramEnd"/>
      <w:r w:rsidRPr="00D4755D">
        <w:t xml:space="preserve"> rights.</w:t>
      </w:r>
      <w:r w:rsidRPr="00D4755D">
        <w:rPr>
          <w:rStyle w:val="FootnoteReference"/>
        </w:rPr>
        <w:footnoteReference w:id="48"/>
      </w:r>
      <w:r w:rsidRPr="00D4755D">
        <w:t xml:space="preserve"> </w:t>
      </w:r>
    </w:p>
    <w:p w14:paraId="7803575B" w14:textId="77777777" w:rsidR="001F30E2" w:rsidRPr="00D4755D" w:rsidRDefault="001F30E2" w:rsidP="001F30E2">
      <w:pPr>
        <w:pStyle w:val="NormalAutoChapter"/>
        <w:rPr>
          <w:lang w:eastAsia="en-US"/>
        </w:rPr>
      </w:pPr>
      <w:r w:rsidRPr="00D4755D">
        <w:lastRenderedPageBreak/>
        <w:t xml:space="preserve">These powers cover a wide range of attributes recognised in international human rights </w:t>
      </w:r>
      <w:r>
        <w:t xml:space="preserve">law </w:t>
      </w:r>
      <w:r w:rsidRPr="00D4755D">
        <w:t>and labour law instruments, many of which are not covered in federal discrimination law or the ADA.</w:t>
      </w:r>
      <w:r w:rsidRPr="00D4755D">
        <w:rPr>
          <w:rStyle w:val="FootnoteReference"/>
          <w:color w:val="auto"/>
        </w:rPr>
        <w:footnoteReference w:id="49"/>
      </w:r>
      <w:r w:rsidRPr="00D4755D">
        <w:t xml:space="preserve"> </w:t>
      </w:r>
      <w:r w:rsidRPr="00D4755D">
        <w:rPr>
          <w:lang w:eastAsia="en-US"/>
        </w:rPr>
        <w:t xml:space="preserve"> </w:t>
      </w:r>
    </w:p>
    <w:p w14:paraId="333B23BD" w14:textId="77777777" w:rsidR="001F30E2" w:rsidRPr="00D4755D" w:rsidRDefault="001F30E2" w:rsidP="001F30E2">
      <w:pPr>
        <w:pStyle w:val="Heading3"/>
      </w:pPr>
      <w:r w:rsidRPr="00D4755D">
        <w:t xml:space="preserve">Other states and territories  </w:t>
      </w:r>
    </w:p>
    <w:p w14:paraId="7ED6CFDD" w14:textId="77777777" w:rsidR="001F30E2" w:rsidRPr="00D4755D" w:rsidRDefault="001F30E2" w:rsidP="001F30E2">
      <w:pPr>
        <w:pStyle w:val="NormalAutoChapter"/>
        <w:rPr>
          <w:lang w:eastAsia="en-US"/>
        </w:rPr>
      </w:pPr>
      <w:r w:rsidRPr="00D4755D">
        <w:rPr>
          <w:lang w:eastAsia="en-US"/>
        </w:rPr>
        <w:t>Other states and territories in Australia have their own discrimination laws.</w:t>
      </w:r>
      <w:r w:rsidRPr="00D4755D">
        <w:rPr>
          <w:rStyle w:val="FootnoteReference"/>
          <w:lang w:eastAsia="en-US"/>
        </w:rPr>
        <w:footnoteReference w:id="50"/>
      </w:r>
      <w:r w:rsidRPr="00D4755D">
        <w:rPr>
          <w:rStyle w:val="FootnoteReference"/>
          <w:lang w:eastAsia="en-US"/>
        </w:rPr>
        <w:t xml:space="preserve"> </w:t>
      </w:r>
      <w:r w:rsidRPr="00D4755D">
        <w:rPr>
          <w:lang w:eastAsia="en-US"/>
        </w:rPr>
        <w:t>There are similarities in coverage between them. However, many of these laws offer more protections and apply more widely (including by protecting more attributes and covering more areas) than the ADA. We provide examples of the approaches adopted in other states and territories in this consultation paper.</w:t>
      </w:r>
    </w:p>
    <w:p w14:paraId="11F1590F" w14:textId="77777777" w:rsidR="001F30E2" w:rsidRPr="00D4755D" w:rsidRDefault="001F30E2" w:rsidP="001F30E2">
      <w:pPr>
        <w:pStyle w:val="NormalAutoChapter"/>
      </w:pPr>
      <w:r w:rsidRPr="00D4755D">
        <w:rPr>
          <w:lang w:eastAsia="en-US"/>
        </w:rPr>
        <w:t>The ACT, Victoria and Queensland have human rights legislation that exists alongside dedicated discrimination legislation. These Human Rights Acts recognise, protect and promote the right</w:t>
      </w:r>
      <w:r>
        <w:rPr>
          <w:lang w:eastAsia="en-US"/>
        </w:rPr>
        <w:t>s</w:t>
      </w:r>
      <w:r w:rsidRPr="00D4755D">
        <w:rPr>
          <w:lang w:eastAsia="en-US"/>
        </w:rPr>
        <w:t xml:space="preserve"> to equality and non-discrimination.</w:t>
      </w:r>
      <w:r w:rsidRPr="00D4755D">
        <w:rPr>
          <w:rStyle w:val="FootnoteReference"/>
          <w:lang w:eastAsia="en-US"/>
        </w:rPr>
        <w:footnoteReference w:id="51"/>
      </w:r>
      <w:r w:rsidRPr="00D4755D">
        <w:rPr>
          <w:lang w:eastAsia="en-US"/>
        </w:rPr>
        <w:t xml:space="preserve"> However, they also cover a much wider range of human rights recognised in international human rights treaties than discrimination laws do. </w:t>
      </w:r>
    </w:p>
    <w:p w14:paraId="72F24D04" w14:textId="77777777" w:rsidR="001F30E2" w:rsidRPr="00D4755D" w:rsidRDefault="001F30E2" w:rsidP="001F30E2">
      <w:pPr>
        <w:pStyle w:val="NormalAutoChapter"/>
        <w:rPr>
          <w:lang w:eastAsia="en-US"/>
        </w:rPr>
      </w:pPr>
      <w:r w:rsidRPr="00D4755D">
        <w:t xml:space="preserve">There is no such Act in NSW or federally, although a parliamentary committee recently recommended the enactment of a federal </w:t>
      </w:r>
      <w:r>
        <w:t>H</w:t>
      </w:r>
      <w:r w:rsidRPr="00D4755D">
        <w:t xml:space="preserve">uman </w:t>
      </w:r>
      <w:r>
        <w:t>R</w:t>
      </w:r>
      <w:r w:rsidRPr="00D4755D">
        <w:t>ights Act.</w:t>
      </w:r>
      <w:r w:rsidRPr="00D4755D">
        <w:rPr>
          <w:rStyle w:val="FootnoteReference"/>
        </w:rPr>
        <w:footnoteReference w:id="52"/>
      </w:r>
      <w:r w:rsidRPr="00D4755D">
        <w:t xml:space="preserve"> Additionally, </w:t>
      </w:r>
      <w:bookmarkStart w:id="65" w:name="_Hlk194590412"/>
      <w:r w:rsidRPr="00D4755D">
        <w:t>the Australian Constitution provides limited rights protection</w:t>
      </w:r>
      <w:bookmarkEnd w:id="65"/>
      <w:r w:rsidRPr="00D4755D">
        <w:t>.</w:t>
      </w:r>
      <w:r w:rsidRPr="00D4755D">
        <w:rPr>
          <w:rStyle w:val="FootnoteReference"/>
        </w:rPr>
        <w:footnoteReference w:id="53"/>
      </w:r>
      <w:r w:rsidRPr="00D4755D">
        <w:rPr>
          <w:lang w:eastAsia="en-US"/>
        </w:rPr>
        <w:t xml:space="preserve"> </w:t>
      </w:r>
    </w:p>
    <w:p w14:paraId="548197F9" w14:textId="77777777" w:rsidR="001F30E2" w:rsidRPr="00D4755D" w:rsidRDefault="001F30E2" w:rsidP="001F30E2">
      <w:pPr>
        <w:pStyle w:val="NormalAutoChapter"/>
      </w:pPr>
      <w:r w:rsidRPr="00D4755D">
        <w:rPr>
          <w:lang w:eastAsia="en-US"/>
        </w:rPr>
        <w:t xml:space="preserve">Whether NSW should have a Human Rights Act is beyond the scope of our review of the ADA. </w:t>
      </w:r>
      <w:r w:rsidRPr="00D4755D">
        <w:t xml:space="preserve"> </w:t>
      </w:r>
    </w:p>
    <w:p w14:paraId="0AB01FAD" w14:textId="77777777" w:rsidR="001F30E2" w:rsidRPr="00D4755D" w:rsidRDefault="001F30E2" w:rsidP="001F30E2">
      <w:pPr>
        <w:pStyle w:val="Heading2"/>
      </w:pPr>
      <w:bookmarkStart w:id="67" w:name="_Toc196729832"/>
      <w:bookmarkStart w:id="68" w:name="_Toc196826809"/>
      <w:r w:rsidRPr="00D4755D">
        <w:t>Workplace protections</w:t>
      </w:r>
      <w:bookmarkEnd w:id="67"/>
      <w:bookmarkEnd w:id="68"/>
      <w:r w:rsidRPr="00D4755D">
        <w:t xml:space="preserve"> </w:t>
      </w:r>
    </w:p>
    <w:p w14:paraId="21BBD8C3" w14:textId="77777777" w:rsidR="001F30E2" w:rsidRPr="00D4755D" w:rsidRDefault="001F30E2" w:rsidP="001F30E2">
      <w:pPr>
        <w:pStyle w:val="NormalAutoChapter"/>
        <w:rPr>
          <w:lang w:eastAsia="en-US"/>
        </w:rPr>
      </w:pPr>
      <w:r w:rsidRPr="00D4755D">
        <w:rPr>
          <w:lang w:eastAsia="en-US"/>
        </w:rPr>
        <w:t xml:space="preserve">The ADA also operates alongside specific employment law protections against discrimination and sexual harassment at work. </w:t>
      </w:r>
    </w:p>
    <w:p w14:paraId="3E776B0F" w14:textId="77777777" w:rsidR="001F30E2" w:rsidRPr="00D4755D" w:rsidRDefault="001F30E2" w:rsidP="001F30E2">
      <w:pPr>
        <w:pStyle w:val="NormalAutoChapter"/>
        <w:rPr>
          <w:lang w:eastAsia="en-US"/>
        </w:rPr>
      </w:pPr>
      <w:r w:rsidRPr="00D4755D">
        <w:rPr>
          <w:lang w:eastAsia="en-US"/>
        </w:rPr>
        <w:t xml:space="preserve">In particular, the </w:t>
      </w:r>
      <w:r w:rsidRPr="00D4755D">
        <w:rPr>
          <w:i/>
          <w:iCs/>
          <w:lang w:eastAsia="en-US"/>
        </w:rPr>
        <w:t>Fair Work Act 2009</w:t>
      </w:r>
      <w:r w:rsidRPr="00D4755D">
        <w:rPr>
          <w:lang w:eastAsia="en-US"/>
        </w:rPr>
        <w:t xml:space="preserve"> (Cth)</w:t>
      </w:r>
      <w:r>
        <w:rPr>
          <w:lang w:eastAsia="en-US"/>
        </w:rPr>
        <w:t xml:space="preserve"> (</w:t>
      </w:r>
      <w:r w:rsidRPr="00D4755D">
        <w:rPr>
          <w:i/>
          <w:iCs/>
          <w:lang w:eastAsia="en-US"/>
        </w:rPr>
        <w:t>Fair Work Act</w:t>
      </w:r>
      <w:r w:rsidRPr="005061B3">
        <w:rPr>
          <w:lang w:eastAsia="en-US"/>
        </w:rPr>
        <w:t>)</w:t>
      </w:r>
      <w:r w:rsidRPr="00D4755D">
        <w:rPr>
          <w:lang w:eastAsia="en-US"/>
        </w:rPr>
        <w:t xml:space="preserve"> </w:t>
      </w:r>
      <w:r w:rsidRPr="00D4755D">
        <w:t>protects against adverse action in employment, and against the termination of employment, based on a wide range of protected attributes.</w:t>
      </w:r>
      <w:r w:rsidRPr="00D4755D">
        <w:rPr>
          <w:rStyle w:val="FootnoteReference"/>
        </w:rPr>
        <w:footnoteReference w:id="54"/>
      </w:r>
      <w:r w:rsidRPr="00D4755D">
        <w:t xml:space="preserve"> It also protects against sexual harassment at work.</w:t>
      </w:r>
      <w:r w:rsidRPr="00D4755D">
        <w:rPr>
          <w:rStyle w:val="FootnoteReference"/>
        </w:rPr>
        <w:footnoteReference w:id="55"/>
      </w:r>
      <w:r w:rsidRPr="00D4755D">
        <w:t xml:space="preserve"> </w:t>
      </w:r>
    </w:p>
    <w:p w14:paraId="0652FD76" w14:textId="77777777" w:rsidR="001F30E2" w:rsidRPr="00D4755D" w:rsidRDefault="001F30E2" w:rsidP="001F30E2">
      <w:pPr>
        <w:pStyle w:val="NormalAutoChapter"/>
        <w:rPr>
          <w:lang w:eastAsia="en-US"/>
        </w:rPr>
      </w:pPr>
      <w:r w:rsidRPr="00D4755D">
        <w:lastRenderedPageBreak/>
        <w:t xml:space="preserve">The </w:t>
      </w:r>
      <w:r w:rsidRPr="00D4755D">
        <w:rPr>
          <w:i/>
          <w:iCs/>
          <w:lang w:eastAsia="en-US"/>
        </w:rPr>
        <w:t xml:space="preserve">Fair Work Act </w:t>
      </w:r>
      <w:r w:rsidRPr="00D4755D">
        <w:t>applies across Australia, including to many workplaces in NSW. However, it does not apply to the NSW public sector and local government.</w:t>
      </w:r>
      <w:r w:rsidRPr="00D4755D">
        <w:rPr>
          <w:rStyle w:val="FootnoteReference"/>
        </w:rPr>
        <w:footnoteReference w:id="56"/>
      </w:r>
      <w:r w:rsidRPr="00D4755D">
        <w:t xml:space="preserve"> Other limits also apply to some forms of protection, as we explain in chapter </w:t>
      </w:r>
      <w:r>
        <w:t>5.</w:t>
      </w:r>
      <w:r w:rsidRPr="00D4755D">
        <w:t xml:space="preserve"> </w:t>
      </w:r>
    </w:p>
    <w:p w14:paraId="38D257A2" w14:textId="77777777" w:rsidR="001F30E2" w:rsidRPr="00D4755D" w:rsidRDefault="001F30E2" w:rsidP="001F30E2">
      <w:pPr>
        <w:pStyle w:val="NormalAutoChapter"/>
      </w:pPr>
      <w:r w:rsidRPr="00D4755D">
        <w:rPr>
          <w:lang w:eastAsia="en-US"/>
        </w:rPr>
        <w:t xml:space="preserve">In NSW, the </w:t>
      </w:r>
      <w:r w:rsidRPr="00D4755D">
        <w:rPr>
          <w:i/>
          <w:iCs/>
          <w:lang w:eastAsia="en-US"/>
        </w:rPr>
        <w:t xml:space="preserve">Work Health and Safety Act 2011 </w:t>
      </w:r>
      <w:r w:rsidRPr="00D4755D">
        <w:rPr>
          <w:lang w:eastAsia="en-US"/>
        </w:rPr>
        <w:t>(NSW)</w:t>
      </w:r>
      <w:r w:rsidRPr="00D4755D">
        <w:rPr>
          <w:i/>
          <w:iCs/>
          <w:lang w:eastAsia="en-US"/>
        </w:rPr>
        <w:t xml:space="preserve"> </w:t>
      </w:r>
      <w:r w:rsidRPr="00D4755D">
        <w:rPr>
          <w:lang w:eastAsia="en-US"/>
        </w:rPr>
        <w:t xml:space="preserve">prohibits workplace discrimination based on a person’s work health and safety activities. It </w:t>
      </w:r>
      <w:r w:rsidRPr="00D4755D">
        <w:t>requires employers to make workplaces safe, including to manage risks from hazards that can cause psychological harm, by eliminating or minimising reasonably foreseeable hazards.</w:t>
      </w:r>
      <w:r w:rsidRPr="00D4755D">
        <w:rPr>
          <w:rStyle w:val="FootnoteReference"/>
        </w:rPr>
        <w:footnoteReference w:id="57"/>
      </w:r>
      <w:r w:rsidRPr="00D4755D">
        <w:t xml:space="preserve"> Harassment and unfair decision-making are recognised as common hazards</w:t>
      </w:r>
      <w:r w:rsidRPr="00D4755D">
        <w:rPr>
          <w:lang w:eastAsia="en-US"/>
        </w:rPr>
        <w:t>.</w:t>
      </w:r>
      <w:r w:rsidRPr="00D4755D">
        <w:rPr>
          <w:rStyle w:val="FootnoteReference"/>
          <w:lang w:eastAsia="en-US"/>
        </w:rPr>
        <w:footnoteReference w:id="58"/>
      </w:r>
      <w:r w:rsidRPr="00D4755D">
        <w:rPr>
          <w:lang w:eastAsia="en-US"/>
        </w:rPr>
        <w:t xml:space="preserve"> </w:t>
      </w:r>
    </w:p>
    <w:p w14:paraId="7878AB6E" w14:textId="77777777" w:rsidR="001F30E2" w:rsidRPr="00D4755D" w:rsidRDefault="001F30E2" w:rsidP="001F30E2">
      <w:pPr>
        <w:pStyle w:val="Heading2"/>
      </w:pPr>
      <w:bookmarkStart w:id="69" w:name="_Toc196729833"/>
      <w:bookmarkStart w:id="70" w:name="_Toc196826810"/>
      <w:r w:rsidRPr="00D4755D">
        <w:t>Other potential complaints mechanisms</w:t>
      </w:r>
      <w:bookmarkEnd w:id="69"/>
      <w:bookmarkEnd w:id="70"/>
    </w:p>
    <w:p w14:paraId="48558309" w14:textId="77777777" w:rsidR="001F30E2" w:rsidRPr="00D4755D" w:rsidRDefault="001F30E2" w:rsidP="001F30E2">
      <w:pPr>
        <w:pStyle w:val="NormalAutoChapter"/>
      </w:pPr>
      <w:bookmarkStart w:id="71" w:name="_Hlk196312366"/>
      <w:r w:rsidRPr="00D4755D">
        <w:t>In the second consultation paper, we will outline other complaint pathways in related legal areas. For instance, complaints of unfair treatment or discrimination by NSW Government agencies, local councils, and government-funded service providers can be made to the NSW Ombudsman</w:t>
      </w:r>
      <w:bookmarkEnd w:id="71"/>
      <w:r w:rsidRPr="00D4755D">
        <w:t>.</w:t>
      </w:r>
      <w:r w:rsidRPr="00D4755D">
        <w:rPr>
          <w:rStyle w:val="FootnoteReference"/>
          <w:lang w:eastAsia="en-US"/>
        </w:rPr>
        <w:footnoteReference w:id="59"/>
      </w:r>
    </w:p>
    <w:p w14:paraId="1390D5A7" w14:textId="77777777" w:rsidR="001F30E2" w:rsidRPr="00D4755D" w:rsidRDefault="001F30E2" w:rsidP="001F30E2">
      <w:pPr>
        <w:pStyle w:val="Heading2"/>
      </w:pPr>
      <w:bookmarkStart w:id="72" w:name="_Toc196729834"/>
      <w:bookmarkStart w:id="73" w:name="_Toc196826811"/>
      <w:r w:rsidRPr="00D4755D">
        <w:t>Criminal vilification offences</w:t>
      </w:r>
      <w:bookmarkEnd w:id="72"/>
      <w:bookmarkEnd w:id="73"/>
      <w:r w:rsidRPr="00D4755D">
        <w:t xml:space="preserve"> </w:t>
      </w:r>
    </w:p>
    <w:p w14:paraId="366111EE" w14:textId="77777777" w:rsidR="001F30E2" w:rsidRPr="00D4755D" w:rsidRDefault="001F30E2" w:rsidP="001F30E2">
      <w:pPr>
        <w:pStyle w:val="NormalAutoChapter"/>
        <w:rPr>
          <w:lang w:eastAsia="en-US"/>
        </w:rPr>
      </w:pPr>
      <w:r w:rsidRPr="00D4755D">
        <w:rPr>
          <w:lang w:eastAsia="en-US"/>
        </w:rPr>
        <w:t xml:space="preserve">NSW has both civil and criminal protections against vilification. The ADA protects against </w:t>
      </w:r>
      <w:bookmarkStart w:id="74" w:name="_Hlk193967652"/>
      <w:r w:rsidRPr="00D4755D">
        <w:t>public acts that incite</w:t>
      </w:r>
      <w:r w:rsidRPr="00D4755D">
        <w:rPr>
          <w:rFonts w:ascii="Times New Roman" w:hAnsi="Times New Roman" w:cs="Times New Roman"/>
        </w:rPr>
        <w:t> </w:t>
      </w:r>
      <w:r w:rsidRPr="00D4755D">
        <w:t>hatred, serious contempt or severe ridicule towards a person or group</w:t>
      </w:r>
      <w:bookmarkEnd w:id="74"/>
      <w:r w:rsidRPr="00D4755D">
        <w:t>, based on specific protected attributes.</w:t>
      </w:r>
    </w:p>
    <w:p w14:paraId="44F99C05" w14:textId="77777777" w:rsidR="001F30E2" w:rsidRPr="00D4755D" w:rsidRDefault="001F30E2" w:rsidP="001F30E2">
      <w:pPr>
        <w:pStyle w:val="NormalAutoChapter"/>
        <w:rPr>
          <w:lang w:eastAsia="en-US"/>
        </w:rPr>
      </w:pPr>
      <w:r w:rsidRPr="00D4755D">
        <w:rPr>
          <w:lang w:eastAsia="en-US"/>
        </w:rPr>
        <w:t xml:space="preserve">The ADA’s civil protections operate alongside the criminal law. </w:t>
      </w:r>
      <w:r w:rsidRPr="00D4755D">
        <w:t xml:space="preserve">Section 93Z of the </w:t>
      </w:r>
      <w:r w:rsidRPr="00D4755D">
        <w:rPr>
          <w:i/>
          <w:iCs/>
        </w:rPr>
        <w:t>Crimes Act 1900</w:t>
      </w:r>
      <w:r w:rsidRPr="00D4755D">
        <w:t xml:space="preserve"> (NSW) makes it an offence to publicly threaten or incite violence based on specific protected attributes. NSW Parliament recently passed amendments to create a new offence of inciting racial hatred by public act, but this offence has not come into effect yet.</w:t>
      </w:r>
      <w:r w:rsidRPr="00D4755D">
        <w:rPr>
          <w:rStyle w:val="FootnoteReference"/>
        </w:rPr>
        <w:footnoteReference w:id="60"/>
      </w:r>
      <w:r w:rsidRPr="00D4755D">
        <w:rPr>
          <w:lang w:eastAsia="en-US"/>
        </w:rPr>
        <w:t xml:space="preserve"> </w:t>
      </w:r>
    </w:p>
    <w:p w14:paraId="36E34D60" w14:textId="77777777" w:rsidR="001F30E2" w:rsidRPr="00D4755D" w:rsidRDefault="001F30E2" w:rsidP="001F30E2">
      <w:pPr>
        <w:pStyle w:val="NormalAutoChapter"/>
        <w:rPr>
          <w:lang w:eastAsia="en-US"/>
        </w:rPr>
      </w:pPr>
      <w:r w:rsidRPr="00D4755D">
        <w:rPr>
          <w:lang w:eastAsia="en-US"/>
        </w:rPr>
        <w:t xml:space="preserve">Federal vilification offences, and the civil protections in the </w:t>
      </w:r>
      <w:r w:rsidRPr="00D4755D">
        <w:rPr>
          <w:i/>
          <w:iCs/>
          <w:lang w:eastAsia="en-US"/>
        </w:rPr>
        <w:t>Racial Discrimination Act</w:t>
      </w:r>
      <w:r w:rsidRPr="00D4755D">
        <w:rPr>
          <w:lang w:eastAsia="en-US"/>
        </w:rPr>
        <w:t>, also operate to protect people in NSW.</w:t>
      </w:r>
      <w:r w:rsidRPr="00D4755D">
        <w:rPr>
          <w:rStyle w:val="FootnoteReference"/>
          <w:lang w:eastAsia="en-US"/>
        </w:rPr>
        <w:footnoteReference w:id="61"/>
      </w:r>
      <w:r w:rsidRPr="00D4755D">
        <w:rPr>
          <w:lang w:eastAsia="en-US"/>
        </w:rPr>
        <w:t xml:space="preserve"> </w:t>
      </w:r>
    </w:p>
    <w:p w14:paraId="44EB3FAF" w14:textId="41FCC202" w:rsidR="001F30E2" w:rsidRDefault="001F30E2" w:rsidP="00FB23F6">
      <w:pPr>
        <w:pStyle w:val="NormalAutoChapter"/>
        <w:sectPr w:rsidR="001F30E2" w:rsidSect="00744F61">
          <w:footnotePr>
            <w:numRestart w:val="eachSect"/>
          </w:footnotePr>
          <w:pgSz w:w="11906" w:h="16838" w:code="9"/>
          <w:pgMar w:top="1701" w:right="1304" w:bottom="1021" w:left="1304" w:header="567" w:footer="567" w:gutter="0"/>
          <w:cols w:space="708"/>
          <w:docGrid w:linePitch="360"/>
        </w:sectPr>
      </w:pPr>
      <w:r w:rsidRPr="00D4755D">
        <w:rPr>
          <w:lang w:eastAsia="en-US"/>
        </w:rPr>
        <w:t xml:space="preserve">One issue in this review is whether there should be greater alignment between the NSW civil and criminal vilification laws in terms of the attributes they protect and </w:t>
      </w:r>
      <w:r w:rsidRPr="00D4755D">
        <w:rPr>
          <w:lang w:eastAsia="en-US"/>
        </w:rPr>
        <w:lastRenderedPageBreak/>
        <w:t xml:space="preserve">certain aspects of their tests. We consider this, along with other issues about the ADA’s vilification protections, in </w:t>
      </w:r>
      <w:r w:rsidRPr="001C3E52">
        <w:rPr>
          <w:lang w:eastAsia="en-US"/>
        </w:rPr>
        <w:t xml:space="preserve">chapter </w:t>
      </w:r>
      <w:r w:rsidRPr="00CD51AF">
        <w:rPr>
          <w:lang w:eastAsia="en-US"/>
        </w:rPr>
        <w:t>8</w:t>
      </w:r>
      <w:r w:rsidRPr="001C3E52">
        <w:rPr>
          <w:lang w:eastAsia="en-US"/>
        </w:rPr>
        <w:t>.</w:t>
      </w:r>
      <w:r w:rsidRPr="00D4755D">
        <w:rPr>
          <w:lang w:eastAsia="en-US"/>
        </w:rPr>
        <w:t xml:space="preserve">  </w:t>
      </w:r>
    </w:p>
    <w:p w14:paraId="7AAAF1B8" w14:textId="77777777" w:rsidR="008D695B" w:rsidRPr="00EF6FDA" w:rsidRDefault="008D695B" w:rsidP="008D695B">
      <w:pPr>
        <w:pStyle w:val="ChapterHeading"/>
      </w:pPr>
      <w:bookmarkStart w:id="76" w:name="_Toc196826812"/>
      <w:r w:rsidRPr="00EF6FDA">
        <w:lastRenderedPageBreak/>
        <w:t>Tests for discrimination</w:t>
      </w:r>
      <w:bookmarkEnd w:id="76"/>
    </w:p>
    <w:p w14:paraId="0B0816FC" w14:textId="77777777" w:rsidR="008D695B" w:rsidRDefault="008D695B" w:rsidP="008D695B">
      <w:pPr>
        <w:pStyle w:val="InBriefHeading"/>
        <w:spacing w:after="0"/>
      </w:pPr>
      <w:r>
        <w:t xml:space="preserve">In brief </w:t>
      </w:r>
    </w:p>
    <w:p w14:paraId="50666DD4" w14:textId="77777777" w:rsidR="008D695B" w:rsidRPr="00406951" w:rsidRDefault="008D695B" w:rsidP="008D695B">
      <w:pPr>
        <w:pStyle w:val="InBriefText"/>
        <w:spacing w:before="0"/>
      </w:pPr>
      <w:r w:rsidRPr="004B4ABC">
        <w:t>Th</w:t>
      </w:r>
      <w:r>
        <w:t xml:space="preserve">e </w:t>
      </w:r>
      <w:r w:rsidRPr="00D16AEA">
        <w:rPr>
          <w:i/>
          <w:iCs/>
        </w:rPr>
        <w:t>Anti-Discrimination Act 1977</w:t>
      </w:r>
      <w:r>
        <w:t xml:space="preserve"> (NSW) (ADA) prohibits direct and indirect discrimination. We ask if the tests for discrimination are working as they should and, if not, how they could be changed. We also consider the burden of proof and whether the distinction between direct and indirect discrimination should remain. Finally, we ask if the ADA should cover intended future discrimination and intersectional discrimination.</w:t>
      </w:r>
    </w:p>
    <w:p w14:paraId="04904545" w14:textId="0A4F681B" w:rsidR="008D695B" w:rsidRPr="00B55200" w:rsidRDefault="008D695B" w:rsidP="008D695B">
      <w:pPr>
        <w:pStyle w:val="TOC2"/>
        <w:rPr>
          <w:rFonts w:cstheme="minorBidi"/>
          <w:b w:val="0"/>
          <w:color w:val="auto"/>
          <w:kern w:val="2"/>
          <w:sz w:val="24"/>
          <w:u w:val="none"/>
          <w14:ligatures w14:val="standardContextual"/>
        </w:rPr>
      </w:pPr>
      <w:r>
        <w:fldChar w:fldCharType="begin"/>
      </w:r>
      <w:r>
        <w:instrText xml:space="preserve"> TOC \h \z \t "Heading 1,2,Heading 2,3,Heading - Major,1,Heading default,1,Title page 1,1" </w:instrText>
      </w:r>
      <w:r>
        <w:fldChar w:fldCharType="separate"/>
      </w:r>
      <w:hyperlink w:anchor="_Toc196749507" w:history="1">
        <w:r w:rsidRPr="00B55200">
          <w:rPr>
            <w:rStyle w:val="Hyperlink"/>
            <w:rFonts w:ascii="Public Sans" w:hAnsi="Public Sans"/>
          </w:rPr>
          <w:t>Direct discrimination</w:t>
        </w:r>
        <w:r w:rsidRPr="00B55200">
          <w:rPr>
            <w:webHidden/>
          </w:rPr>
          <w:tab/>
        </w:r>
        <w:r w:rsidRPr="00B55200">
          <w:rPr>
            <w:webHidden/>
          </w:rPr>
          <w:fldChar w:fldCharType="begin"/>
        </w:r>
        <w:r w:rsidRPr="00B55200">
          <w:rPr>
            <w:webHidden/>
          </w:rPr>
          <w:instrText xml:space="preserve"> PAGEREF _Toc196749507 \h </w:instrText>
        </w:r>
        <w:r w:rsidRPr="00B55200">
          <w:rPr>
            <w:webHidden/>
          </w:rPr>
        </w:r>
        <w:r w:rsidRPr="00B55200">
          <w:rPr>
            <w:webHidden/>
          </w:rPr>
          <w:fldChar w:fldCharType="separate"/>
        </w:r>
        <w:r w:rsidR="00F44BFC">
          <w:rPr>
            <w:webHidden/>
          </w:rPr>
          <w:t>22</w:t>
        </w:r>
        <w:r w:rsidRPr="00B55200">
          <w:rPr>
            <w:webHidden/>
          </w:rPr>
          <w:fldChar w:fldCharType="end"/>
        </w:r>
      </w:hyperlink>
    </w:p>
    <w:p w14:paraId="2DBE2715" w14:textId="3E907735" w:rsidR="008D695B" w:rsidRPr="00B55200" w:rsidRDefault="008D695B" w:rsidP="008D695B">
      <w:pPr>
        <w:pStyle w:val="TOC3"/>
        <w:rPr>
          <w:rFonts w:cstheme="minorBidi"/>
          <w:color w:val="auto"/>
          <w:kern w:val="2"/>
          <w:sz w:val="24"/>
          <w:u w:val="none"/>
          <w14:ligatures w14:val="standardContextual"/>
        </w:rPr>
      </w:pPr>
      <w:hyperlink w:anchor="_Toc196749508" w:history="1">
        <w:r w:rsidRPr="00B55200">
          <w:rPr>
            <w:rStyle w:val="Hyperlink"/>
            <w:rFonts w:ascii="Public Sans" w:hAnsi="Public Sans"/>
          </w:rPr>
          <w:t>The comparator test</w:t>
        </w:r>
        <w:r w:rsidRPr="00B55200">
          <w:rPr>
            <w:webHidden/>
          </w:rPr>
          <w:tab/>
        </w:r>
        <w:r w:rsidRPr="00B55200">
          <w:rPr>
            <w:webHidden/>
          </w:rPr>
          <w:fldChar w:fldCharType="begin"/>
        </w:r>
        <w:r w:rsidRPr="00B55200">
          <w:rPr>
            <w:webHidden/>
          </w:rPr>
          <w:instrText xml:space="preserve"> PAGEREF _Toc196749508 \h </w:instrText>
        </w:r>
        <w:r w:rsidRPr="00B55200">
          <w:rPr>
            <w:webHidden/>
          </w:rPr>
        </w:r>
        <w:r w:rsidRPr="00B55200">
          <w:rPr>
            <w:webHidden/>
          </w:rPr>
          <w:fldChar w:fldCharType="separate"/>
        </w:r>
        <w:r w:rsidR="00F44BFC">
          <w:rPr>
            <w:webHidden/>
          </w:rPr>
          <w:t>23</w:t>
        </w:r>
        <w:r w:rsidRPr="00B55200">
          <w:rPr>
            <w:webHidden/>
          </w:rPr>
          <w:fldChar w:fldCharType="end"/>
        </w:r>
      </w:hyperlink>
    </w:p>
    <w:p w14:paraId="72EE2140" w14:textId="16762A80" w:rsidR="008D695B" w:rsidRPr="00B55200" w:rsidRDefault="008D695B" w:rsidP="008D695B">
      <w:pPr>
        <w:pStyle w:val="TOC3"/>
        <w:rPr>
          <w:rFonts w:cstheme="minorBidi"/>
          <w:color w:val="auto"/>
          <w:kern w:val="2"/>
          <w:sz w:val="24"/>
          <w:u w:val="none"/>
          <w14:ligatures w14:val="standardContextual"/>
        </w:rPr>
      </w:pPr>
      <w:hyperlink w:anchor="_Toc196749509" w:history="1">
        <w:r w:rsidRPr="00B55200">
          <w:rPr>
            <w:rStyle w:val="Hyperlink"/>
            <w:rFonts w:ascii="Public Sans" w:hAnsi="Public Sans"/>
          </w:rPr>
          <w:t>Causation</w:t>
        </w:r>
        <w:r w:rsidRPr="00B55200">
          <w:rPr>
            <w:webHidden/>
          </w:rPr>
          <w:tab/>
        </w:r>
        <w:r w:rsidRPr="00B55200">
          <w:rPr>
            <w:webHidden/>
          </w:rPr>
          <w:fldChar w:fldCharType="begin"/>
        </w:r>
        <w:r w:rsidRPr="00B55200">
          <w:rPr>
            <w:webHidden/>
          </w:rPr>
          <w:instrText xml:space="preserve"> PAGEREF _Toc196749509 \h </w:instrText>
        </w:r>
        <w:r w:rsidRPr="00B55200">
          <w:rPr>
            <w:webHidden/>
          </w:rPr>
        </w:r>
        <w:r w:rsidRPr="00B55200">
          <w:rPr>
            <w:webHidden/>
          </w:rPr>
          <w:fldChar w:fldCharType="separate"/>
        </w:r>
        <w:r w:rsidR="00F44BFC">
          <w:rPr>
            <w:webHidden/>
          </w:rPr>
          <w:t>25</w:t>
        </w:r>
        <w:r w:rsidRPr="00B55200">
          <w:rPr>
            <w:webHidden/>
          </w:rPr>
          <w:fldChar w:fldCharType="end"/>
        </w:r>
      </w:hyperlink>
    </w:p>
    <w:p w14:paraId="347E7F2C" w14:textId="671E3DAE" w:rsidR="008D695B" w:rsidRPr="00B55200" w:rsidRDefault="008D695B" w:rsidP="008D695B">
      <w:pPr>
        <w:pStyle w:val="TOC2"/>
        <w:rPr>
          <w:rFonts w:cstheme="minorBidi"/>
          <w:b w:val="0"/>
          <w:color w:val="auto"/>
          <w:kern w:val="2"/>
          <w:sz w:val="24"/>
          <w:u w:val="none"/>
          <w14:ligatures w14:val="standardContextual"/>
        </w:rPr>
      </w:pPr>
      <w:hyperlink w:anchor="_Toc196749510" w:history="1">
        <w:r w:rsidRPr="00B55200">
          <w:rPr>
            <w:rStyle w:val="Hyperlink"/>
            <w:rFonts w:ascii="Public Sans" w:hAnsi="Public Sans"/>
          </w:rPr>
          <w:t>Indirect discrimination</w:t>
        </w:r>
        <w:r w:rsidRPr="00B55200">
          <w:rPr>
            <w:webHidden/>
          </w:rPr>
          <w:tab/>
        </w:r>
        <w:r w:rsidRPr="00B55200">
          <w:rPr>
            <w:webHidden/>
          </w:rPr>
          <w:fldChar w:fldCharType="begin"/>
        </w:r>
        <w:r w:rsidRPr="00B55200">
          <w:rPr>
            <w:webHidden/>
          </w:rPr>
          <w:instrText xml:space="preserve"> PAGEREF _Toc196749510 \h </w:instrText>
        </w:r>
        <w:r w:rsidRPr="00B55200">
          <w:rPr>
            <w:webHidden/>
          </w:rPr>
        </w:r>
        <w:r w:rsidRPr="00B55200">
          <w:rPr>
            <w:webHidden/>
          </w:rPr>
          <w:fldChar w:fldCharType="separate"/>
        </w:r>
        <w:r w:rsidR="00F44BFC">
          <w:rPr>
            <w:webHidden/>
          </w:rPr>
          <w:t>27</w:t>
        </w:r>
        <w:r w:rsidRPr="00B55200">
          <w:rPr>
            <w:webHidden/>
          </w:rPr>
          <w:fldChar w:fldCharType="end"/>
        </w:r>
      </w:hyperlink>
    </w:p>
    <w:p w14:paraId="73E19C9D" w14:textId="0EF0A253" w:rsidR="008D695B" w:rsidRPr="00B55200" w:rsidRDefault="008D695B" w:rsidP="008D695B">
      <w:pPr>
        <w:pStyle w:val="TOC3"/>
        <w:rPr>
          <w:rFonts w:cstheme="minorBidi"/>
          <w:color w:val="auto"/>
          <w:kern w:val="2"/>
          <w:sz w:val="24"/>
          <w:u w:val="none"/>
          <w14:ligatures w14:val="standardContextual"/>
        </w:rPr>
      </w:pPr>
      <w:hyperlink w:anchor="_Toc196749511" w:history="1">
        <w:r w:rsidRPr="00B55200">
          <w:rPr>
            <w:rStyle w:val="Hyperlink"/>
            <w:rFonts w:ascii="Public Sans" w:hAnsi="Public Sans"/>
          </w:rPr>
          <w:t>The comparative “disproportionate impact” test</w:t>
        </w:r>
        <w:r w:rsidRPr="00B55200">
          <w:rPr>
            <w:webHidden/>
          </w:rPr>
          <w:tab/>
        </w:r>
        <w:r w:rsidRPr="00B55200">
          <w:rPr>
            <w:webHidden/>
          </w:rPr>
          <w:fldChar w:fldCharType="begin"/>
        </w:r>
        <w:r w:rsidRPr="00B55200">
          <w:rPr>
            <w:webHidden/>
          </w:rPr>
          <w:instrText xml:space="preserve"> PAGEREF _Toc196749511 \h </w:instrText>
        </w:r>
        <w:r w:rsidRPr="00B55200">
          <w:rPr>
            <w:webHidden/>
          </w:rPr>
        </w:r>
        <w:r w:rsidRPr="00B55200">
          <w:rPr>
            <w:webHidden/>
          </w:rPr>
          <w:fldChar w:fldCharType="separate"/>
        </w:r>
        <w:r w:rsidR="00F44BFC">
          <w:rPr>
            <w:webHidden/>
          </w:rPr>
          <w:t>27</w:t>
        </w:r>
        <w:r w:rsidRPr="00B55200">
          <w:rPr>
            <w:webHidden/>
          </w:rPr>
          <w:fldChar w:fldCharType="end"/>
        </w:r>
      </w:hyperlink>
    </w:p>
    <w:p w14:paraId="314226E0" w14:textId="71018423" w:rsidR="008D695B" w:rsidRPr="00B55200" w:rsidRDefault="008D695B" w:rsidP="008D695B">
      <w:pPr>
        <w:pStyle w:val="TOC3"/>
        <w:rPr>
          <w:rFonts w:cstheme="minorBidi"/>
          <w:color w:val="auto"/>
          <w:kern w:val="2"/>
          <w:sz w:val="24"/>
          <w:u w:val="none"/>
          <w14:ligatures w14:val="standardContextual"/>
        </w:rPr>
      </w:pPr>
      <w:hyperlink w:anchor="_Toc196749512" w:history="1">
        <w:r w:rsidRPr="00B55200">
          <w:rPr>
            <w:rStyle w:val="Hyperlink"/>
            <w:rFonts w:ascii="Public Sans" w:hAnsi="Public Sans"/>
          </w:rPr>
          <w:t>The “inability to comply” element</w:t>
        </w:r>
        <w:r w:rsidRPr="00B55200">
          <w:rPr>
            <w:webHidden/>
          </w:rPr>
          <w:tab/>
        </w:r>
        <w:r w:rsidRPr="00B55200">
          <w:rPr>
            <w:webHidden/>
          </w:rPr>
          <w:fldChar w:fldCharType="begin"/>
        </w:r>
        <w:r w:rsidRPr="00B55200">
          <w:rPr>
            <w:webHidden/>
          </w:rPr>
          <w:instrText xml:space="preserve"> PAGEREF _Toc196749512 \h </w:instrText>
        </w:r>
        <w:r w:rsidRPr="00B55200">
          <w:rPr>
            <w:webHidden/>
          </w:rPr>
        </w:r>
        <w:r w:rsidRPr="00B55200">
          <w:rPr>
            <w:webHidden/>
          </w:rPr>
          <w:fldChar w:fldCharType="separate"/>
        </w:r>
        <w:r w:rsidR="00F44BFC">
          <w:rPr>
            <w:webHidden/>
          </w:rPr>
          <w:t>30</w:t>
        </w:r>
        <w:r w:rsidRPr="00B55200">
          <w:rPr>
            <w:webHidden/>
          </w:rPr>
          <w:fldChar w:fldCharType="end"/>
        </w:r>
      </w:hyperlink>
    </w:p>
    <w:p w14:paraId="51DA3252" w14:textId="79E5BBE9" w:rsidR="008D695B" w:rsidRPr="00B55200" w:rsidRDefault="008D695B" w:rsidP="008D695B">
      <w:pPr>
        <w:pStyle w:val="TOC3"/>
        <w:rPr>
          <w:rFonts w:cstheme="minorBidi"/>
          <w:color w:val="auto"/>
          <w:kern w:val="2"/>
          <w:sz w:val="24"/>
          <w:u w:val="none"/>
          <w14:ligatures w14:val="standardContextual"/>
        </w:rPr>
      </w:pPr>
      <w:hyperlink w:anchor="_Toc196749513" w:history="1">
        <w:r w:rsidRPr="00B55200">
          <w:rPr>
            <w:rStyle w:val="Hyperlink"/>
            <w:rFonts w:ascii="Public Sans" w:hAnsi="Public Sans"/>
          </w:rPr>
          <w:t>The “reasonableness” standard</w:t>
        </w:r>
        <w:r w:rsidRPr="00B55200">
          <w:rPr>
            <w:webHidden/>
          </w:rPr>
          <w:tab/>
        </w:r>
        <w:r w:rsidRPr="00B55200">
          <w:rPr>
            <w:webHidden/>
          </w:rPr>
          <w:fldChar w:fldCharType="begin"/>
        </w:r>
        <w:r w:rsidRPr="00B55200">
          <w:rPr>
            <w:webHidden/>
          </w:rPr>
          <w:instrText xml:space="preserve"> PAGEREF _Toc196749513 \h </w:instrText>
        </w:r>
        <w:r w:rsidRPr="00B55200">
          <w:rPr>
            <w:webHidden/>
          </w:rPr>
        </w:r>
        <w:r w:rsidRPr="00B55200">
          <w:rPr>
            <w:webHidden/>
          </w:rPr>
          <w:fldChar w:fldCharType="separate"/>
        </w:r>
        <w:r w:rsidR="00F44BFC">
          <w:rPr>
            <w:webHidden/>
          </w:rPr>
          <w:t>31</w:t>
        </w:r>
        <w:r w:rsidRPr="00B55200">
          <w:rPr>
            <w:webHidden/>
          </w:rPr>
          <w:fldChar w:fldCharType="end"/>
        </w:r>
      </w:hyperlink>
    </w:p>
    <w:p w14:paraId="3AC9508D" w14:textId="6ABAEE71" w:rsidR="008D695B" w:rsidRPr="00B55200" w:rsidRDefault="008D695B" w:rsidP="008D695B">
      <w:pPr>
        <w:pStyle w:val="TOC3"/>
        <w:rPr>
          <w:rFonts w:cstheme="minorBidi"/>
          <w:color w:val="auto"/>
          <w:kern w:val="2"/>
          <w:sz w:val="24"/>
          <w:u w:val="none"/>
          <w14:ligatures w14:val="standardContextual"/>
        </w:rPr>
      </w:pPr>
      <w:hyperlink w:anchor="_Toc196749514" w:history="1">
        <w:r w:rsidRPr="00B55200">
          <w:rPr>
            <w:rStyle w:val="Hyperlink"/>
            <w:rFonts w:ascii="Public Sans" w:hAnsi="Public Sans"/>
          </w:rPr>
          <w:t>Indirect discrimination based on characteristics</w:t>
        </w:r>
        <w:r w:rsidRPr="00B55200">
          <w:rPr>
            <w:webHidden/>
          </w:rPr>
          <w:tab/>
        </w:r>
        <w:r w:rsidRPr="00B55200">
          <w:rPr>
            <w:webHidden/>
          </w:rPr>
          <w:fldChar w:fldCharType="begin"/>
        </w:r>
        <w:r w:rsidRPr="00B55200">
          <w:rPr>
            <w:webHidden/>
          </w:rPr>
          <w:instrText xml:space="preserve"> PAGEREF _Toc196749514 \h </w:instrText>
        </w:r>
        <w:r w:rsidRPr="00B55200">
          <w:rPr>
            <w:webHidden/>
          </w:rPr>
        </w:r>
        <w:r w:rsidRPr="00B55200">
          <w:rPr>
            <w:webHidden/>
          </w:rPr>
          <w:fldChar w:fldCharType="separate"/>
        </w:r>
        <w:r w:rsidR="00F44BFC">
          <w:rPr>
            <w:webHidden/>
          </w:rPr>
          <w:t>33</w:t>
        </w:r>
        <w:r w:rsidRPr="00B55200">
          <w:rPr>
            <w:webHidden/>
          </w:rPr>
          <w:fldChar w:fldCharType="end"/>
        </w:r>
      </w:hyperlink>
    </w:p>
    <w:p w14:paraId="5824061E" w14:textId="429B71F2" w:rsidR="008D695B" w:rsidRPr="00B55200" w:rsidRDefault="008D695B" w:rsidP="008D695B">
      <w:pPr>
        <w:pStyle w:val="TOC2"/>
        <w:rPr>
          <w:rFonts w:cstheme="minorBidi"/>
          <w:b w:val="0"/>
          <w:color w:val="auto"/>
          <w:kern w:val="2"/>
          <w:sz w:val="24"/>
          <w:u w:val="none"/>
          <w14:ligatures w14:val="standardContextual"/>
        </w:rPr>
      </w:pPr>
      <w:hyperlink w:anchor="_Toc196749515" w:history="1">
        <w:r w:rsidRPr="00B55200">
          <w:rPr>
            <w:rStyle w:val="Hyperlink"/>
            <w:rFonts w:ascii="Public Sans" w:hAnsi="Public Sans"/>
          </w:rPr>
          <w:t>The burden of proof</w:t>
        </w:r>
        <w:r w:rsidRPr="00B55200">
          <w:rPr>
            <w:webHidden/>
          </w:rPr>
          <w:tab/>
        </w:r>
        <w:r w:rsidRPr="00B55200">
          <w:rPr>
            <w:webHidden/>
          </w:rPr>
          <w:fldChar w:fldCharType="begin"/>
        </w:r>
        <w:r w:rsidRPr="00B55200">
          <w:rPr>
            <w:webHidden/>
          </w:rPr>
          <w:instrText xml:space="preserve"> PAGEREF _Toc196749515 \h </w:instrText>
        </w:r>
        <w:r w:rsidRPr="00B55200">
          <w:rPr>
            <w:webHidden/>
          </w:rPr>
        </w:r>
        <w:r w:rsidRPr="00B55200">
          <w:rPr>
            <w:webHidden/>
          </w:rPr>
          <w:fldChar w:fldCharType="separate"/>
        </w:r>
        <w:r w:rsidR="00F44BFC">
          <w:rPr>
            <w:webHidden/>
          </w:rPr>
          <w:t>34</w:t>
        </w:r>
        <w:r w:rsidRPr="00B55200">
          <w:rPr>
            <w:webHidden/>
          </w:rPr>
          <w:fldChar w:fldCharType="end"/>
        </w:r>
      </w:hyperlink>
    </w:p>
    <w:p w14:paraId="790B7F04" w14:textId="2526B002" w:rsidR="008D695B" w:rsidRPr="00B55200" w:rsidRDefault="008D695B" w:rsidP="008D695B">
      <w:pPr>
        <w:pStyle w:val="TOC3"/>
        <w:rPr>
          <w:rFonts w:cstheme="minorBidi"/>
          <w:color w:val="auto"/>
          <w:kern w:val="2"/>
          <w:sz w:val="24"/>
          <w:u w:val="none"/>
          <w14:ligatures w14:val="standardContextual"/>
        </w:rPr>
      </w:pPr>
      <w:hyperlink w:anchor="_Toc196749516" w:history="1">
        <w:r w:rsidRPr="00B55200">
          <w:rPr>
            <w:rStyle w:val="Hyperlink"/>
            <w:rFonts w:ascii="Public Sans" w:hAnsi="Public Sans"/>
          </w:rPr>
          <w:t>Direct discrimination</w:t>
        </w:r>
        <w:r w:rsidRPr="00B55200">
          <w:rPr>
            <w:webHidden/>
          </w:rPr>
          <w:tab/>
        </w:r>
        <w:r w:rsidRPr="00B55200">
          <w:rPr>
            <w:webHidden/>
          </w:rPr>
          <w:fldChar w:fldCharType="begin"/>
        </w:r>
        <w:r w:rsidRPr="00B55200">
          <w:rPr>
            <w:webHidden/>
          </w:rPr>
          <w:instrText xml:space="preserve"> PAGEREF _Toc196749516 \h </w:instrText>
        </w:r>
        <w:r w:rsidRPr="00B55200">
          <w:rPr>
            <w:webHidden/>
          </w:rPr>
        </w:r>
        <w:r w:rsidRPr="00B55200">
          <w:rPr>
            <w:webHidden/>
          </w:rPr>
          <w:fldChar w:fldCharType="separate"/>
        </w:r>
        <w:r w:rsidR="00F44BFC">
          <w:rPr>
            <w:webHidden/>
          </w:rPr>
          <w:t>35</w:t>
        </w:r>
        <w:r w:rsidRPr="00B55200">
          <w:rPr>
            <w:webHidden/>
          </w:rPr>
          <w:fldChar w:fldCharType="end"/>
        </w:r>
      </w:hyperlink>
    </w:p>
    <w:p w14:paraId="4914BFA7" w14:textId="6D31121B" w:rsidR="008D695B" w:rsidRPr="00B55200" w:rsidRDefault="008D695B" w:rsidP="008D695B">
      <w:pPr>
        <w:pStyle w:val="TOC3"/>
        <w:rPr>
          <w:rFonts w:cstheme="minorBidi"/>
          <w:color w:val="auto"/>
          <w:kern w:val="2"/>
          <w:sz w:val="24"/>
          <w:u w:val="none"/>
          <w14:ligatures w14:val="standardContextual"/>
        </w:rPr>
      </w:pPr>
      <w:hyperlink w:anchor="_Toc196749517" w:history="1">
        <w:r w:rsidRPr="00B55200">
          <w:rPr>
            <w:rStyle w:val="Hyperlink"/>
            <w:rFonts w:ascii="Public Sans" w:hAnsi="Public Sans"/>
          </w:rPr>
          <w:t>Indirect discrimination</w:t>
        </w:r>
        <w:r w:rsidRPr="00B55200">
          <w:rPr>
            <w:webHidden/>
          </w:rPr>
          <w:tab/>
        </w:r>
        <w:r w:rsidRPr="00B55200">
          <w:rPr>
            <w:webHidden/>
          </w:rPr>
          <w:fldChar w:fldCharType="begin"/>
        </w:r>
        <w:r w:rsidRPr="00B55200">
          <w:rPr>
            <w:webHidden/>
          </w:rPr>
          <w:instrText xml:space="preserve"> PAGEREF _Toc196749517 \h </w:instrText>
        </w:r>
        <w:r w:rsidRPr="00B55200">
          <w:rPr>
            <w:webHidden/>
          </w:rPr>
        </w:r>
        <w:r w:rsidRPr="00B55200">
          <w:rPr>
            <w:webHidden/>
          </w:rPr>
          <w:fldChar w:fldCharType="separate"/>
        </w:r>
        <w:r w:rsidR="00F44BFC">
          <w:rPr>
            <w:webHidden/>
          </w:rPr>
          <w:t>35</w:t>
        </w:r>
        <w:r w:rsidRPr="00B55200">
          <w:rPr>
            <w:webHidden/>
          </w:rPr>
          <w:fldChar w:fldCharType="end"/>
        </w:r>
      </w:hyperlink>
    </w:p>
    <w:p w14:paraId="3C09459B" w14:textId="58962857" w:rsidR="008D695B" w:rsidRPr="00B55200" w:rsidRDefault="008D695B" w:rsidP="008D695B">
      <w:pPr>
        <w:pStyle w:val="TOC2"/>
        <w:rPr>
          <w:rFonts w:cstheme="minorBidi"/>
          <w:b w:val="0"/>
          <w:color w:val="auto"/>
          <w:kern w:val="2"/>
          <w:sz w:val="24"/>
          <w:u w:val="none"/>
          <w14:ligatures w14:val="standardContextual"/>
        </w:rPr>
      </w:pPr>
      <w:hyperlink w:anchor="_Toc196749518" w:history="1">
        <w:r w:rsidRPr="00B55200">
          <w:rPr>
            <w:rStyle w:val="Hyperlink"/>
            <w:rFonts w:ascii="Public Sans" w:hAnsi="Public Sans"/>
          </w:rPr>
          <w:t>Some overarching issues</w:t>
        </w:r>
        <w:r w:rsidRPr="00B55200">
          <w:rPr>
            <w:webHidden/>
          </w:rPr>
          <w:tab/>
        </w:r>
        <w:r w:rsidRPr="00B55200">
          <w:rPr>
            <w:webHidden/>
          </w:rPr>
          <w:fldChar w:fldCharType="begin"/>
        </w:r>
        <w:r w:rsidRPr="00B55200">
          <w:rPr>
            <w:webHidden/>
          </w:rPr>
          <w:instrText xml:space="preserve"> PAGEREF _Toc196749518 \h </w:instrText>
        </w:r>
        <w:r w:rsidRPr="00B55200">
          <w:rPr>
            <w:webHidden/>
          </w:rPr>
        </w:r>
        <w:r w:rsidRPr="00B55200">
          <w:rPr>
            <w:webHidden/>
          </w:rPr>
          <w:fldChar w:fldCharType="separate"/>
        </w:r>
        <w:r w:rsidR="00F44BFC">
          <w:rPr>
            <w:webHidden/>
          </w:rPr>
          <w:t>36</w:t>
        </w:r>
        <w:r w:rsidRPr="00B55200">
          <w:rPr>
            <w:webHidden/>
          </w:rPr>
          <w:fldChar w:fldCharType="end"/>
        </w:r>
      </w:hyperlink>
    </w:p>
    <w:p w14:paraId="4AC02047" w14:textId="0E7F10C0" w:rsidR="008D695B" w:rsidRPr="00B55200" w:rsidRDefault="008D695B" w:rsidP="008D695B">
      <w:pPr>
        <w:pStyle w:val="TOC3"/>
        <w:rPr>
          <w:rFonts w:cstheme="minorBidi"/>
          <w:color w:val="auto"/>
          <w:kern w:val="2"/>
          <w:sz w:val="24"/>
          <w:u w:val="none"/>
          <w14:ligatures w14:val="standardContextual"/>
        </w:rPr>
      </w:pPr>
      <w:hyperlink w:anchor="_Toc196749519" w:history="1">
        <w:r w:rsidRPr="00B55200">
          <w:rPr>
            <w:rStyle w:val="Hyperlink"/>
            <w:rFonts w:ascii="Public Sans" w:hAnsi="Public Sans"/>
          </w:rPr>
          <w:t>Overlapping forms of discrimination</w:t>
        </w:r>
        <w:r w:rsidRPr="00B55200">
          <w:rPr>
            <w:webHidden/>
          </w:rPr>
          <w:tab/>
        </w:r>
        <w:r w:rsidRPr="00B55200">
          <w:rPr>
            <w:webHidden/>
          </w:rPr>
          <w:fldChar w:fldCharType="begin"/>
        </w:r>
        <w:r w:rsidRPr="00B55200">
          <w:rPr>
            <w:webHidden/>
          </w:rPr>
          <w:instrText xml:space="preserve"> PAGEREF _Toc196749519 \h </w:instrText>
        </w:r>
        <w:r w:rsidRPr="00B55200">
          <w:rPr>
            <w:webHidden/>
          </w:rPr>
        </w:r>
        <w:r w:rsidRPr="00B55200">
          <w:rPr>
            <w:webHidden/>
          </w:rPr>
          <w:fldChar w:fldCharType="separate"/>
        </w:r>
        <w:r w:rsidR="00F44BFC">
          <w:rPr>
            <w:webHidden/>
          </w:rPr>
          <w:t>36</w:t>
        </w:r>
        <w:r w:rsidRPr="00B55200">
          <w:rPr>
            <w:webHidden/>
          </w:rPr>
          <w:fldChar w:fldCharType="end"/>
        </w:r>
      </w:hyperlink>
    </w:p>
    <w:p w14:paraId="47A31CE2" w14:textId="43341649" w:rsidR="008D695B" w:rsidRPr="00B55200" w:rsidRDefault="008D695B" w:rsidP="008D695B">
      <w:pPr>
        <w:pStyle w:val="TOC3"/>
        <w:rPr>
          <w:rFonts w:cstheme="minorBidi"/>
          <w:color w:val="auto"/>
          <w:kern w:val="2"/>
          <w:sz w:val="24"/>
          <w:u w:val="none"/>
          <w14:ligatures w14:val="standardContextual"/>
        </w:rPr>
      </w:pPr>
      <w:hyperlink w:anchor="_Toc196749520" w:history="1">
        <w:r w:rsidRPr="00B55200">
          <w:rPr>
            <w:rStyle w:val="Hyperlink"/>
            <w:rFonts w:ascii="Public Sans" w:hAnsi="Public Sans"/>
          </w:rPr>
          <w:t>Intersectional discrimination</w:t>
        </w:r>
        <w:r w:rsidRPr="00B55200">
          <w:rPr>
            <w:webHidden/>
          </w:rPr>
          <w:tab/>
        </w:r>
        <w:r w:rsidRPr="00B55200">
          <w:rPr>
            <w:webHidden/>
          </w:rPr>
          <w:fldChar w:fldCharType="begin"/>
        </w:r>
        <w:r w:rsidRPr="00B55200">
          <w:rPr>
            <w:webHidden/>
          </w:rPr>
          <w:instrText xml:space="preserve"> PAGEREF _Toc196749520 \h </w:instrText>
        </w:r>
        <w:r w:rsidRPr="00B55200">
          <w:rPr>
            <w:webHidden/>
          </w:rPr>
        </w:r>
        <w:r w:rsidRPr="00B55200">
          <w:rPr>
            <w:webHidden/>
          </w:rPr>
          <w:fldChar w:fldCharType="separate"/>
        </w:r>
        <w:r w:rsidR="00F44BFC">
          <w:rPr>
            <w:webHidden/>
          </w:rPr>
          <w:t>37</w:t>
        </w:r>
        <w:r w:rsidRPr="00B55200">
          <w:rPr>
            <w:webHidden/>
          </w:rPr>
          <w:fldChar w:fldCharType="end"/>
        </w:r>
      </w:hyperlink>
    </w:p>
    <w:p w14:paraId="5797E2D1" w14:textId="19EA451C" w:rsidR="008D695B" w:rsidRPr="00B55200" w:rsidRDefault="008D695B" w:rsidP="008D695B">
      <w:pPr>
        <w:pStyle w:val="TOC3"/>
        <w:rPr>
          <w:rFonts w:cstheme="minorBidi"/>
          <w:color w:val="auto"/>
          <w:kern w:val="2"/>
          <w:sz w:val="24"/>
          <w:u w:val="none"/>
          <w14:ligatures w14:val="standardContextual"/>
        </w:rPr>
      </w:pPr>
      <w:hyperlink w:anchor="_Toc196749521" w:history="1">
        <w:r w:rsidRPr="00B55200">
          <w:rPr>
            <w:rStyle w:val="Hyperlink"/>
            <w:rFonts w:ascii="Public Sans" w:hAnsi="Public Sans"/>
          </w:rPr>
          <w:t>Intended future discrimination</w:t>
        </w:r>
        <w:r w:rsidRPr="00B55200">
          <w:rPr>
            <w:webHidden/>
          </w:rPr>
          <w:tab/>
        </w:r>
        <w:r w:rsidRPr="00B55200">
          <w:rPr>
            <w:webHidden/>
          </w:rPr>
          <w:fldChar w:fldCharType="begin"/>
        </w:r>
        <w:r w:rsidRPr="00B55200">
          <w:rPr>
            <w:webHidden/>
          </w:rPr>
          <w:instrText xml:space="preserve"> PAGEREF _Toc196749521 \h </w:instrText>
        </w:r>
        <w:r w:rsidRPr="00B55200">
          <w:rPr>
            <w:webHidden/>
          </w:rPr>
        </w:r>
        <w:r w:rsidRPr="00B55200">
          <w:rPr>
            <w:webHidden/>
          </w:rPr>
          <w:fldChar w:fldCharType="separate"/>
        </w:r>
        <w:r w:rsidR="00F44BFC">
          <w:rPr>
            <w:webHidden/>
          </w:rPr>
          <w:t>39</w:t>
        </w:r>
        <w:r w:rsidRPr="00B55200">
          <w:rPr>
            <w:webHidden/>
          </w:rPr>
          <w:fldChar w:fldCharType="end"/>
        </w:r>
      </w:hyperlink>
    </w:p>
    <w:p w14:paraId="78E54829" w14:textId="77777777" w:rsidR="008D695B" w:rsidRDefault="008D695B" w:rsidP="008D695B">
      <w:pPr>
        <w:pStyle w:val="TOC4"/>
      </w:pPr>
      <w:r>
        <w:fldChar w:fldCharType="end"/>
      </w:r>
    </w:p>
    <w:p w14:paraId="0F0E3DBD" w14:textId="77777777" w:rsidR="008D695B" w:rsidRDefault="008D695B" w:rsidP="008D695B">
      <w:pPr>
        <w:pStyle w:val="NormalAutoChapter"/>
      </w:pPr>
      <w:r>
        <w:t>In the previous chapter, we consider the different concepts of equality</w:t>
      </w:r>
      <w:r w:rsidRPr="007D7B77">
        <w:rPr>
          <w:color w:val="000000" w:themeColor="text1"/>
        </w:rPr>
        <w:t xml:space="preserve">. We now build on that discussion by outlining the two ways the </w:t>
      </w:r>
      <w:r w:rsidRPr="007D7B77">
        <w:rPr>
          <w:i/>
          <w:iCs/>
          <w:color w:val="000000" w:themeColor="text1"/>
        </w:rPr>
        <w:t>Anti-Discrimination Act 1977</w:t>
      </w:r>
      <w:r w:rsidRPr="007D7B77">
        <w:rPr>
          <w:color w:val="000000" w:themeColor="text1"/>
        </w:rPr>
        <w:t xml:space="preserve"> (NSW) (ADA)</w:t>
      </w:r>
      <w:r>
        <w:rPr>
          <w:color w:val="000000" w:themeColor="text1"/>
        </w:rPr>
        <w:t xml:space="preserve"> defines discrimination. </w:t>
      </w:r>
      <w:r w:rsidRPr="007D7B77">
        <w:rPr>
          <w:color w:val="000000" w:themeColor="text1"/>
        </w:rPr>
        <w:t xml:space="preserve"> </w:t>
      </w:r>
    </w:p>
    <w:p w14:paraId="3063446B" w14:textId="77777777" w:rsidR="008D695B" w:rsidRDefault="008D695B" w:rsidP="008D695B">
      <w:pPr>
        <w:pStyle w:val="NormalAutoChapter"/>
      </w:pPr>
      <w:r>
        <w:t>The ADA prohibits what is commonly known as “direct discrimination” and “indirect discrimination” (although the ADA does not use these expressions</w:t>
      </w:r>
      <w:r w:rsidRPr="00A17343">
        <w:rPr>
          <w:color w:val="000000" w:themeColor="text1"/>
        </w:rPr>
        <w:t xml:space="preserve">). The </w:t>
      </w:r>
      <w:r>
        <w:rPr>
          <w:color w:val="000000" w:themeColor="text1"/>
        </w:rPr>
        <w:t xml:space="preserve">ADA </w:t>
      </w:r>
      <w:r w:rsidRPr="00A17343">
        <w:rPr>
          <w:color w:val="000000" w:themeColor="text1"/>
        </w:rPr>
        <w:t>set</w:t>
      </w:r>
      <w:r>
        <w:rPr>
          <w:color w:val="000000" w:themeColor="text1"/>
        </w:rPr>
        <w:t>s</w:t>
      </w:r>
      <w:r w:rsidRPr="00A17343">
        <w:rPr>
          <w:color w:val="000000" w:themeColor="text1"/>
        </w:rPr>
        <w:t xml:space="preserve"> out the tests for these types of discrimination. These tests have multiple steps or “elements”. </w:t>
      </w:r>
    </w:p>
    <w:p w14:paraId="6B447EA8" w14:textId="77777777" w:rsidR="008D695B" w:rsidRDefault="008D695B" w:rsidP="008D695B">
      <w:pPr>
        <w:pStyle w:val="NormalAutoChapter"/>
      </w:pPr>
      <w:r>
        <w:t xml:space="preserve">Even if these tests are satisfied, discrimination is only unlawful if the conduct in question is based on a protected attribute and occurs in one of the areas in which the ADA prohibits discrimination. Certain exceptions may also apply, permitting </w:t>
      </w:r>
      <w:r>
        <w:lastRenderedPageBreak/>
        <w:t xml:space="preserve">what would otherwise amount to unlawful discrimination. We discuss these aspects of the ADA in later chapters. </w:t>
      </w:r>
    </w:p>
    <w:p w14:paraId="3DBBDF4E" w14:textId="77777777" w:rsidR="008D695B" w:rsidRDefault="008D695B" w:rsidP="008D695B">
      <w:pPr>
        <w:pStyle w:val="NormalAutoChapter"/>
      </w:pPr>
      <w:r>
        <w:t>There are mixed views on the tests for discrimination in the ADA. Some think they are appropriate, while others think they are too complicated and outdated.</w:t>
      </w:r>
    </w:p>
    <w:p w14:paraId="6B7278F1" w14:textId="77777777" w:rsidR="008D695B" w:rsidRDefault="008D695B" w:rsidP="008D695B">
      <w:pPr>
        <w:pStyle w:val="NormalAutoChapter"/>
      </w:pPr>
      <w:r>
        <w:t xml:space="preserve">In this chapter, we ask for your views about: </w:t>
      </w:r>
    </w:p>
    <w:p w14:paraId="2196ABF1" w14:textId="77777777" w:rsidR="008D695B" w:rsidRDefault="008D695B" w:rsidP="008D695B">
      <w:pPr>
        <w:pStyle w:val="Normalbullet"/>
      </w:pPr>
      <w:r>
        <w:t xml:space="preserve">whether the tests to prove direct or indirect discrimination should be changed </w:t>
      </w:r>
    </w:p>
    <w:p w14:paraId="2C4EEFBA" w14:textId="77777777" w:rsidR="008D695B" w:rsidRDefault="008D695B" w:rsidP="008D695B">
      <w:pPr>
        <w:pStyle w:val="Normalbullet"/>
      </w:pPr>
      <w:r>
        <w:t xml:space="preserve">who should prove that discrimination occurred </w:t>
      </w:r>
    </w:p>
    <w:p w14:paraId="6B4F8EBB" w14:textId="77777777" w:rsidR="008D695B" w:rsidRDefault="008D695B" w:rsidP="008D695B">
      <w:pPr>
        <w:pStyle w:val="Normalbullet"/>
      </w:pPr>
      <w:r>
        <w:t xml:space="preserve">whether the ADA should also capture intersectional and future discrimination, and </w:t>
      </w:r>
    </w:p>
    <w:p w14:paraId="662385CE" w14:textId="77777777" w:rsidR="008D695B" w:rsidRDefault="008D695B" w:rsidP="008D695B">
      <w:pPr>
        <w:pStyle w:val="Normalbullet"/>
      </w:pPr>
      <w:r>
        <w:t>whether the distinction between direct and indirect discrimination should remain.</w:t>
      </w:r>
    </w:p>
    <w:p w14:paraId="7BD122FF" w14:textId="77777777" w:rsidR="008D695B" w:rsidRDefault="008D695B" w:rsidP="008D695B">
      <w:pPr>
        <w:pStyle w:val="NormalAutoChapter"/>
      </w:pPr>
      <w:r w:rsidRPr="00235879">
        <w:t>Throughout this chapter, we use the term “complainant” to mean a person with a protected attribute who is making a discrimination complaint. We use the term “respondent” to mean the person or organisation who is responding to a discrimination complaint about them.</w:t>
      </w:r>
    </w:p>
    <w:p w14:paraId="213897CF" w14:textId="77777777" w:rsidR="008D695B" w:rsidRDefault="008D695B" w:rsidP="008D695B">
      <w:pPr>
        <w:pStyle w:val="Heading1"/>
      </w:pPr>
      <w:bookmarkStart w:id="77" w:name="_Toc196749507"/>
      <w:bookmarkStart w:id="78" w:name="_Toc196826813"/>
      <w:r>
        <w:t xml:space="preserve">Direct </w:t>
      </w:r>
      <w:r w:rsidRPr="0016530B">
        <w:t>discrimination</w:t>
      </w:r>
      <w:bookmarkEnd w:id="77"/>
      <w:bookmarkEnd w:id="78"/>
    </w:p>
    <w:p w14:paraId="1324ADC1" w14:textId="77777777" w:rsidR="008D695B" w:rsidRDefault="008D695B" w:rsidP="008D695B">
      <w:pPr>
        <w:pStyle w:val="NormalAutoChapter"/>
      </w:pPr>
      <w:r>
        <w:t xml:space="preserve">In summary, direct discrimination happens when someone is treated less favourably compared to how someone else is treated </w:t>
      </w:r>
      <w:r w:rsidRPr="00C47932">
        <w:t>because</w:t>
      </w:r>
      <w:r>
        <w:t xml:space="preserve"> they have a protected attribute. Protected attributes are characteristics about a person or group that are protected from discrimination, such as race, sex and age. We consider the existing protected attributes in </w:t>
      </w:r>
      <w:r w:rsidRPr="00EC279D">
        <w:t>chapter 4.</w:t>
      </w:r>
      <w:r>
        <w:t xml:space="preserve"> </w:t>
      </w:r>
    </w:p>
    <w:p w14:paraId="012A7885" w14:textId="77777777" w:rsidR="008D695B" w:rsidRDefault="008D695B" w:rsidP="008D695B">
      <w:pPr>
        <w:pStyle w:val="NormalAutoChapter"/>
      </w:pPr>
      <w:r>
        <w:t>An example of direct discrimination is where</w:t>
      </w:r>
      <w:r w:rsidRPr="00FF281B">
        <w:rPr>
          <w:color w:val="auto"/>
        </w:rPr>
        <w:t xml:space="preserve"> an employer </w:t>
      </w:r>
      <w:r>
        <w:rPr>
          <w:color w:val="auto"/>
        </w:rPr>
        <w:t xml:space="preserve">decides </w:t>
      </w:r>
      <w:r w:rsidRPr="00FF281B">
        <w:rPr>
          <w:color w:val="auto"/>
        </w:rPr>
        <w:t xml:space="preserve">an employee </w:t>
      </w:r>
      <w:r>
        <w:rPr>
          <w:color w:val="auto"/>
        </w:rPr>
        <w:t>will</w:t>
      </w:r>
      <w:r w:rsidRPr="00FF281B">
        <w:rPr>
          <w:color w:val="auto"/>
        </w:rPr>
        <w:t xml:space="preserve"> not be </w:t>
      </w:r>
      <w:r w:rsidRPr="003E486C">
        <w:rPr>
          <w:color w:val="auto"/>
        </w:rPr>
        <w:t xml:space="preserve">trained to work on new machinery because they </w:t>
      </w:r>
      <w:r>
        <w:rPr>
          <w:color w:val="auto"/>
        </w:rPr>
        <w:t xml:space="preserve">say the employee is </w:t>
      </w:r>
      <w:r w:rsidRPr="003E486C">
        <w:rPr>
          <w:color w:val="auto"/>
        </w:rPr>
        <w:t>too old to learn new skills.</w:t>
      </w:r>
      <w:r w:rsidRPr="003E486C">
        <w:rPr>
          <w:rStyle w:val="FootnoteReference"/>
          <w:color w:val="auto"/>
        </w:rPr>
        <w:footnoteReference w:id="62"/>
      </w:r>
      <w:r>
        <w:rPr>
          <w:color w:val="auto"/>
        </w:rPr>
        <w:t xml:space="preserve"> It is unlawful for an employer to discriminate against an employee by preventing them from accessing training opportunities because of their age, if the employer prefers younger workers and the employee’s age is a reason for the decision.</w:t>
      </w:r>
      <w:r>
        <w:rPr>
          <w:rStyle w:val="FootnoteReference"/>
          <w:color w:val="auto"/>
        </w:rPr>
        <w:footnoteReference w:id="63"/>
      </w:r>
      <w:r w:rsidRPr="00EC26B4">
        <w:rPr>
          <w:rStyle w:val="FootnoteReference"/>
          <w:color w:val="auto"/>
        </w:rPr>
        <w:t xml:space="preserve"> </w:t>
      </w:r>
    </w:p>
    <w:p w14:paraId="555E2AA8" w14:textId="77777777" w:rsidR="008D695B" w:rsidRDefault="008D695B" w:rsidP="008D695B">
      <w:pPr>
        <w:pStyle w:val="NormalAutoChapter"/>
      </w:pPr>
      <w:r>
        <w:t xml:space="preserve">Direct discrimination relates to the concept of formal equality, which we explain in </w:t>
      </w:r>
      <w:r w:rsidRPr="00EC279D">
        <w:t>chapter 2.</w:t>
      </w:r>
    </w:p>
    <w:p w14:paraId="18974C8C" w14:textId="77777777" w:rsidR="008D695B" w:rsidRPr="00610AEB" w:rsidRDefault="008D695B" w:rsidP="008D695B">
      <w:pPr>
        <w:pStyle w:val="NormalAutoChapter"/>
      </w:pPr>
      <w:r>
        <w:lastRenderedPageBreak/>
        <w:t xml:space="preserve">Under the ADA, direct discrimination has two elements: the comparator test and the causation test. Discrimination laws in some other parts of </w:t>
      </w:r>
      <w:r w:rsidRPr="0022340A">
        <w:t>Australia</w:t>
      </w:r>
      <w:r>
        <w:t xml:space="preserve"> have a similar test for direct discrimination.</w:t>
      </w:r>
      <w:r w:rsidRPr="0029220C">
        <w:rPr>
          <w:rStyle w:val="FootnoteReference"/>
          <w:color w:val="auto"/>
        </w:rPr>
        <w:footnoteReference w:id="64"/>
      </w:r>
      <w:r>
        <w:t xml:space="preserve"> </w:t>
      </w:r>
    </w:p>
    <w:p w14:paraId="7F6049CF" w14:textId="77777777" w:rsidR="008D695B" w:rsidRDefault="008D695B" w:rsidP="008D695B">
      <w:pPr>
        <w:pStyle w:val="NormalAutoChapter"/>
      </w:pPr>
      <w:r>
        <w:rPr>
          <w:color w:val="auto"/>
        </w:rPr>
        <w:t xml:space="preserve">The test for direct discrimination based on race is slightly different. In addition to the standard test, the ADA </w:t>
      </w:r>
      <w:r>
        <w:t>covers a situation where, based on their race, someone is segregated, or separated, from people of a different race</w:t>
      </w:r>
      <w:r>
        <w:rPr>
          <w:color w:val="auto"/>
        </w:rPr>
        <w:t>.</w:t>
      </w:r>
      <w:r>
        <w:rPr>
          <w:rStyle w:val="FootnoteReference"/>
          <w:color w:val="auto"/>
        </w:rPr>
        <w:footnoteReference w:id="65"/>
      </w:r>
      <w:r>
        <w:rPr>
          <w:color w:val="auto"/>
        </w:rPr>
        <w:t xml:space="preserve"> </w:t>
      </w:r>
    </w:p>
    <w:p w14:paraId="2BFC77D2" w14:textId="77777777" w:rsidR="008D695B" w:rsidRPr="00A2677A" w:rsidRDefault="008D695B" w:rsidP="008D695B">
      <w:pPr>
        <w:pStyle w:val="NormalAutoChapter"/>
      </w:pPr>
      <w:r>
        <w:t>Direct discrimination also occurs when someone is treated less favourably because of a protected attribute of their relative or associate.</w:t>
      </w:r>
      <w:r>
        <w:rPr>
          <w:rStyle w:val="FootnoteReference"/>
          <w:color w:val="auto"/>
        </w:rPr>
        <w:footnoteReference w:id="66"/>
      </w:r>
      <w:r>
        <w:t xml:space="preserve"> However, this does not apply where the discrimination is based on an individual’s responsibilities as a </w:t>
      </w:r>
      <w:proofErr w:type="spellStart"/>
      <w:r>
        <w:t>carer</w:t>
      </w:r>
      <w:proofErr w:type="spellEnd"/>
      <w:r>
        <w:t>.</w:t>
      </w:r>
      <w:r>
        <w:rPr>
          <w:rStyle w:val="FootnoteReference"/>
          <w:color w:val="auto"/>
        </w:rPr>
        <w:footnoteReference w:id="67"/>
      </w:r>
    </w:p>
    <w:p w14:paraId="0F8D833E" w14:textId="77777777" w:rsidR="008D695B" w:rsidRDefault="008D695B" w:rsidP="008D695B">
      <w:pPr>
        <w:pStyle w:val="Heading2"/>
      </w:pPr>
      <w:bookmarkStart w:id="79" w:name="_Toc196749508"/>
      <w:bookmarkStart w:id="80" w:name="_Toc196826814"/>
      <w:bookmarkStart w:id="81" w:name="_Hlk165368124"/>
      <w:r>
        <w:t>The comparator test</w:t>
      </w:r>
      <w:bookmarkEnd w:id="79"/>
      <w:bookmarkEnd w:id="80"/>
    </w:p>
    <w:p w14:paraId="42F08DBB" w14:textId="77777777" w:rsidR="008D695B" w:rsidRDefault="008D695B" w:rsidP="008D695B">
      <w:pPr>
        <w:pStyle w:val="NormalAutoChapter"/>
      </w:pPr>
      <w:r>
        <w:t xml:space="preserve">To show direct discrimination has occurred, a complainant must prove </w:t>
      </w:r>
      <w:r w:rsidRPr="00470CDD">
        <w:t>they were</w:t>
      </w:r>
      <w:r>
        <w:t>,</w:t>
      </w:r>
      <w:r w:rsidRPr="00470CDD">
        <w:t xml:space="preserve"> </w:t>
      </w:r>
      <w:r>
        <w:t xml:space="preserve">or would have </w:t>
      </w:r>
      <w:r w:rsidRPr="006D6807">
        <w:t xml:space="preserve">been, </w:t>
      </w:r>
      <w:r>
        <w:t xml:space="preserve">treated </w:t>
      </w:r>
      <w:r w:rsidRPr="00992387">
        <w:rPr>
          <w:color w:val="auto"/>
        </w:rPr>
        <w:t xml:space="preserve">differently compared to another person without that attribute </w:t>
      </w:r>
      <w:r w:rsidRPr="006D6807">
        <w:t>(the “comparator”).</w:t>
      </w:r>
      <w:r>
        <w:t xml:space="preserve"> </w:t>
      </w:r>
    </w:p>
    <w:p w14:paraId="217A1F38" w14:textId="77777777" w:rsidR="008D695B" w:rsidRPr="005D61CF" w:rsidRDefault="008D695B" w:rsidP="008D695B">
      <w:pPr>
        <w:pStyle w:val="NormalAutoChapter"/>
      </w:pPr>
      <w:r w:rsidRPr="006D6807">
        <w:t xml:space="preserve">The different treatment must be less favourable, in the sense of being undesirable, disadvantageous or unfair. The focus </w:t>
      </w:r>
      <w:r>
        <w:t xml:space="preserve">is </w:t>
      </w:r>
      <w:r w:rsidRPr="006D6807">
        <w:t>on the treatment, not how a person feels when they believe they have been treated less favourabl</w:t>
      </w:r>
      <w:r w:rsidRPr="00992387">
        <w:rPr>
          <w:color w:val="auto"/>
        </w:rPr>
        <w:t xml:space="preserve">y. </w:t>
      </w:r>
    </w:p>
    <w:p w14:paraId="650C6A7A" w14:textId="77777777" w:rsidR="008D695B" w:rsidRPr="00470CDD" w:rsidRDefault="008D695B" w:rsidP="008D695B">
      <w:pPr>
        <w:pStyle w:val="NormalAutoChapter"/>
      </w:pPr>
      <w:r w:rsidRPr="00F10C4E">
        <w:rPr>
          <w:color w:val="auto"/>
        </w:rPr>
        <w:t xml:space="preserve">The comparison of the treatment must be undertaken by considering a comparator in the same, or mostly the same, circumstances. </w:t>
      </w:r>
      <w:r>
        <w:t xml:space="preserve">Where there is no real person to be a comparator, a hypothetical person </w:t>
      </w:r>
      <w:r w:rsidRPr="00565127">
        <w:t>in those same circumstances may be used</w:t>
      </w:r>
      <w:r>
        <w:t>.</w:t>
      </w:r>
      <w:r>
        <w:rPr>
          <w:rStyle w:val="FootnoteReference"/>
        </w:rPr>
        <w:footnoteReference w:id="68"/>
      </w:r>
    </w:p>
    <w:p w14:paraId="285DC0EF" w14:textId="77777777" w:rsidR="008D695B" w:rsidRDefault="008D695B" w:rsidP="008D695B">
      <w:pPr>
        <w:pStyle w:val="Heading3"/>
      </w:pPr>
      <w:r>
        <w:t>Concerns about the comparator test</w:t>
      </w:r>
    </w:p>
    <w:p w14:paraId="2FBF58E8" w14:textId="77777777" w:rsidR="008D695B" w:rsidRDefault="008D695B" w:rsidP="008D695B">
      <w:pPr>
        <w:pStyle w:val="NormalAutoChapter"/>
        <w:rPr>
          <w:color w:val="auto"/>
          <w:lang w:eastAsia="en-US"/>
        </w:rPr>
      </w:pPr>
      <w:r>
        <w:t>There are mixed views about the comparator test. Some think it is objective and appropriate</w:t>
      </w:r>
      <w:r w:rsidRPr="00FF3798">
        <w:rPr>
          <w:color w:val="auto"/>
        </w:rPr>
        <w:t>.</w:t>
      </w:r>
      <w:r>
        <w:rPr>
          <w:color w:val="auto"/>
        </w:rPr>
        <w:t xml:space="preserve"> </w:t>
      </w:r>
      <w:r w:rsidRPr="00FF3798">
        <w:rPr>
          <w:color w:val="auto"/>
          <w:lang w:eastAsia="en-US"/>
        </w:rPr>
        <w:t xml:space="preserve">However, </w:t>
      </w:r>
      <w:r>
        <w:rPr>
          <w:color w:val="auto"/>
          <w:lang w:eastAsia="en-US"/>
        </w:rPr>
        <w:t>others think it is confusing, outdated, difficult to prove and complex.</w:t>
      </w:r>
    </w:p>
    <w:p w14:paraId="5AC28C14" w14:textId="77777777" w:rsidR="008D695B" w:rsidRPr="008D695B" w:rsidRDefault="008D695B" w:rsidP="008D695B">
      <w:pPr>
        <w:pStyle w:val="NormalAutoChapter"/>
        <w:rPr>
          <w:color w:val="000000" w:themeColor="text1"/>
        </w:rPr>
      </w:pPr>
      <w:r w:rsidRPr="008D695B">
        <w:rPr>
          <w:color w:val="000000" w:themeColor="text1"/>
          <w:lang w:eastAsia="en-US"/>
        </w:rPr>
        <w:t xml:space="preserve">One reason for these concerns is that </w:t>
      </w:r>
      <w:r w:rsidRPr="008D695B">
        <w:rPr>
          <w:color w:val="000000" w:themeColor="text1"/>
        </w:rPr>
        <w:t>it can be hard to identify an appropriate comparator. For example, treating a woman unfavourably because she is pregnant can be a form of unlawful sex discrimination.</w:t>
      </w:r>
      <w:r w:rsidRPr="008D695B">
        <w:rPr>
          <w:rStyle w:val="FootnoteReference"/>
          <w:color w:val="000000" w:themeColor="text1"/>
        </w:rPr>
        <w:footnoteReference w:id="69"/>
      </w:r>
      <w:r w:rsidRPr="008D695B">
        <w:rPr>
          <w:color w:val="000000" w:themeColor="text1"/>
        </w:rPr>
        <w:t xml:space="preserve"> But it is unclear whether the </w:t>
      </w:r>
      <w:r w:rsidRPr="008D695B">
        <w:rPr>
          <w:color w:val="000000" w:themeColor="text1"/>
        </w:rPr>
        <w:lastRenderedPageBreak/>
        <w:t>appropriate comparator in this case would be a non-pregnant woman, a menopausal woman, or a man.</w:t>
      </w:r>
      <w:r w:rsidRPr="008D695B">
        <w:rPr>
          <w:rStyle w:val="FootnoteReference"/>
          <w:color w:val="000000" w:themeColor="text1"/>
        </w:rPr>
        <w:footnoteReference w:id="70"/>
      </w:r>
      <w:r w:rsidRPr="008D695B">
        <w:rPr>
          <w:color w:val="000000" w:themeColor="text1"/>
        </w:rPr>
        <w:t xml:space="preserve"> </w:t>
      </w:r>
    </w:p>
    <w:p w14:paraId="7484C643" w14:textId="77777777" w:rsidR="008D695B" w:rsidRPr="008D695B" w:rsidRDefault="008D695B" w:rsidP="008D695B">
      <w:pPr>
        <w:pStyle w:val="NormalAutoChapter"/>
        <w:rPr>
          <w:color w:val="000000" w:themeColor="text1"/>
        </w:rPr>
      </w:pPr>
      <w:r w:rsidRPr="008D695B">
        <w:rPr>
          <w:color w:val="000000" w:themeColor="text1"/>
        </w:rPr>
        <w:t xml:space="preserve">It may be especially difficult to prove someone was treated less favourably than someone else in the same or mostly the same circumstances. The circumstances focus on the context of the treatment given, or to be given, to the person with the protected attribute. This is a factual exercise. The circumstances are all the objective features which surround the actual or intended treatment of the person with the </w:t>
      </w:r>
      <w:proofErr w:type="gramStart"/>
      <w:r w:rsidRPr="008D695B">
        <w:rPr>
          <w:color w:val="000000" w:themeColor="text1"/>
        </w:rPr>
        <w:t>particular attribute</w:t>
      </w:r>
      <w:proofErr w:type="gramEnd"/>
      <w:r w:rsidRPr="008D695B">
        <w:rPr>
          <w:color w:val="000000" w:themeColor="text1"/>
        </w:rPr>
        <w:t>. The circumstances cannot be hypothetical.</w:t>
      </w:r>
      <w:r w:rsidRPr="008D695B">
        <w:rPr>
          <w:rStyle w:val="FootnoteReference"/>
          <w:color w:val="000000" w:themeColor="text1"/>
        </w:rPr>
        <w:footnoteReference w:id="71"/>
      </w:r>
      <w:r w:rsidRPr="008D695B">
        <w:rPr>
          <w:color w:val="000000" w:themeColor="text1"/>
        </w:rPr>
        <w:t xml:space="preserve"> </w:t>
      </w:r>
    </w:p>
    <w:p w14:paraId="24B6E0DE" w14:textId="77777777" w:rsidR="008D695B" w:rsidRPr="008D695B" w:rsidRDefault="008D695B" w:rsidP="008D695B">
      <w:pPr>
        <w:pStyle w:val="NormalAutoChapter"/>
        <w:rPr>
          <w:color w:val="000000" w:themeColor="text1"/>
        </w:rPr>
      </w:pPr>
      <w:r w:rsidRPr="008D695B">
        <w:rPr>
          <w:color w:val="000000" w:themeColor="text1"/>
        </w:rPr>
        <w:t>Once these circumstances have been identified, a comparison must be made with the treatment that was or would have been given to a person without the attribute in circumstances that were the same, or not materially different. The question is what would have been done in those circumstances if the person concerned did not have that attribute</w:t>
      </w:r>
      <w:bookmarkStart w:id="85" w:name="para224"/>
      <w:bookmarkEnd w:id="85"/>
      <w:r w:rsidRPr="008D695B">
        <w:rPr>
          <w:color w:val="000000" w:themeColor="text1"/>
        </w:rPr>
        <w:t xml:space="preserve">.  </w:t>
      </w:r>
    </w:p>
    <w:p w14:paraId="16DD671D" w14:textId="77777777" w:rsidR="008D695B" w:rsidRPr="00DB529C" w:rsidRDefault="008D695B" w:rsidP="008D695B">
      <w:pPr>
        <w:pStyle w:val="Heading3"/>
      </w:pPr>
      <w:r>
        <w:t>An “</w:t>
      </w:r>
      <w:r w:rsidRPr="007F2D1B">
        <w:t>unfavourable treatment</w:t>
      </w:r>
      <w:r>
        <w:t>” test</w:t>
      </w:r>
    </w:p>
    <w:p w14:paraId="46C97B6E" w14:textId="2D061903" w:rsidR="008D695B" w:rsidRDefault="008D695B" w:rsidP="008D695B">
      <w:pPr>
        <w:pStyle w:val="NormalAutoChapter"/>
        <w:rPr>
          <w:color w:val="auto"/>
        </w:rPr>
      </w:pPr>
      <w:r w:rsidRPr="00A328CA">
        <w:rPr>
          <w:color w:val="auto"/>
          <w:lang w:eastAsia="en-US"/>
        </w:rPr>
        <w:t xml:space="preserve">One option to address these concerns </w:t>
      </w:r>
      <w:r>
        <w:rPr>
          <w:color w:val="auto"/>
          <w:lang w:eastAsia="en-US"/>
        </w:rPr>
        <w:t xml:space="preserve">could be </w:t>
      </w:r>
      <w:r w:rsidRPr="00A328CA">
        <w:rPr>
          <w:color w:val="auto"/>
          <w:lang w:eastAsia="en-US"/>
        </w:rPr>
        <w:t xml:space="preserve">to </w:t>
      </w:r>
      <w:r>
        <w:rPr>
          <w:color w:val="auto"/>
          <w:lang w:eastAsia="en-US"/>
        </w:rPr>
        <w:t xml:space="preserve">replace the comparator test with an </w:t>
      </w:r>
      <w:r w:rsidRPr="00A328CA">
        <w:rPr>
          <w:color w:val="auto"/>
          <w:lang w:eastAsia="en-US"/>
        </w:rPr>
        <w:t>“unfavourable treatment” test. Victoria</w:t>
      </w:r>
      <w:r>
        <w:rPr>
          <w:color w:val="auto"/>
          <w:lang w:eastAsia="en-US"/>
        </w:rPr>
        <w:t xml:space="preserve"> </w:t>
      </w:r>
      <w:r w:rsidRPr="00A328CA">
        <w:rPr>
          <w:color w:val="auto"/>
          <w:lang w:eastAsia="en-US"/>
        </w:rPr>
        <w:t>and the Australian Capital Territory (ACT) take this approach.</w:t>
      </w:r>
      <w:r>
        <w:rPr>
          <w:rStyle w:val="FootnoteReference"/>
          <w:color w:val="auto"/>
          <w:lang w:eastAsia="en-US"/>
        </w:rPr>
        <w:footnoteReference w:id="72"/>
      </w:r>
      <w:r>
        <w:rPr>
          <w:color w:val="auto"/>
          <w:lang w:eastAsia="en-US"/>
        </w:rPr>
        <w:t xml:space="preserve"> In 2024, Queensland enacted reforms to introduce an unfavourable treatment test. </w:t>
      </w:r>
      <w:r w:rsidRPr="00A703C4">
        <w:rPr>
          <w:color w:val="auto"/>
          <w:lang w:eastAsia="en-US"/>
        </w:rPr>
        <w:t>Along with other reforms to Queensland’s discrimination law, this change was due to commence on 1 July 2025.</w:t>
      </w:r>
      <w:r w:rsidRPr="00A703C4">
        <w:rPr>
          <w:rStyle w:val="FootnoteReference"/>
          <w:color w:val="auto"/>
          <w:lang w:eastAsia="en-US"/>
        </w:rPr>
        <w:footnoteReference w:id="73"/>
      </w:r>
      <w:r w:rsidRPr="00A703C4">
        <w:rPr>
          <w:color w:val="auto"/>
          <w:lang w:eastAsia="en-US"/>
        </w:rPr>
        <w:t xml:space="preserve"> However, the Queensland Government </w:t>
      </w:r>
      <w:r w:rsidR="004E1E27">
        <w:rPr>
          <w:color w:val="auto"/>
          <w:lang w:eastAsia="en-US"/>
        </w:rPr>
        <w:t xml:space="preserve">decided to </w:t>
      </w:r>
      <w:r w:rsidRPr="00A703C4">
        <w:rPr>
          <w:color w:val="auto"/>
          <w:lang w:eastAsia="en-US"/>
        </w:rPr>
        <w:t>postpone the commencement of the amendments to conduct further consultations.</w:t>
      </w:r>
      <w:r w:rsidRPr="00A703C4">
        <w:rPr>
          <w:rStyle w:val="FootnoteReference"/>
          <w:color w:val="auto"/>
          <w:lang w:eastAsia="en-US"/>
        </w:rPr>
        <w:footnoteReference w:id="74"/>
      </w:r>
      <w:r w:rsidRPr="00A703C4">
        <w:rPr>
          <w:color w:val="auto"/>
          <w:lang w:eastAsia="en-US"/>
        </w:rPr>
        <w:t xml:space="preserve"> </w:t>
      </w:r>
      <w:r w:rsidRPr="00A703C4" w:rsidDel="00010205">
        <w:rPr>
          <w:rStyle w:val="FootnoteReference"/>
          <w:color w:val="auto"/>
          <w:lang w:eastAsia="en-US"/>
        </w:rPr>
        <w:t xml:space="preserve"> </w:t>
      </w:r>
    </w:p>
    <w:p w14:paraId="3A911822" w14:textId="77777777" w:rsidR="008D695B" w:rsidRPr="00A328CA" w:rsidRDefault="008D695B" w:rsidP="008D695B">
      <w:pPr>
        <w:pStyle w:val="NormalAutoChapter"/>
        <w:rPr>
          <w:color w:val="auto"/>
        </w:rPr>
      </w:pPr>
      <w:r w:rsidRPr="00A328CA">
        <w:rPr>
          <w:color w:val="auto"/>
        </w:rPr>
        <w:t xml:space="preserve">Instead of comparing the treatment of </w:t>
      </w:r>
      <w:r>
        <w:rPr>
          <w:color w:val="auto"/>
        </w:rPr>
        <w:t>a complainant</w:t>
      </w:r>
      <w:r w:rsidRPr="00A328CA">
        <w:rPr>
          <w:color w:val="auto"/>
        </w:rPr>
        <w:t xml:space="preserve"> with a</w:t>
      </w:r>
      <w:r>
        <w:rPr>
          <w:color w:val="auto"/>
        </w:rPr>
        <w:t>nother person</w:t>
      </w:r>
      <w:r w:rsidRPr="00A328CA">
        <w:rPr>
          <w:color w:val="auto"/>
        </w:rPr>
        <w:t xml:space="preserve">, </w:t>
      </w:r>
      <w:r>
        <w:rPr>
          <w:color w:val="auto"/>
        </w:rPr>
        <w:t xml:space="preserve">this test asks if </w:t>
      </w:r>
      <w:r w:rsidRPr="00A328CA">
        <w:rPr>
          <w:color w:val="auto"/>
        </w:rPr>
        <w:t xml:space="preserve">the </w:t>
      </w:r>
      <w:r>
        <w:rPr>
          <w:color w:val="auto"/>
        </w:rPr>
        <w:t>complainant</w:t>
      </w:r>
      <w:r w:rsidRPr="00A328CA">
        <w:rPr>
          <w:color w:val="auto"/>
        </w:rPr>
        <w:t xml:space="preserve"> was treated unfavourably because they have one or more protected attribute</w:t>
      </w:r>
      <w:r>
        <w:rPr>
          <w:color w:val="auto"/>
        </w:rPr>
        <w:t>s</w:t>
      </w:r>
      <w:r w:rsidRPr="00A328CA">
        <w:rPr>
          <w:color w:val="auto"/>
        </w:rPr>
        <w:t>.</w:t>
      </w:r>
      <w:r w:rsidRPr="002E1276">
        <w:rPr>
          <w:rStyle w:val="FootnoteReference"/>
        </w:rPr>
        <w:footnoteReference w:id="75"/>
      </w:r>
      <w:r w:rsidRPr="002E1276">
        <w:t xml:space="preserve"> </w:t>
      </w:r>
      <w:r>
        <w:rPr>
          <w:color w:val="auto"/>
        </w:rPr>
        <w:t>T</w:t>
      </w:r>
      <w:r w:rsidRPr="007C71D5">
        <w:t xml:space="preserve">his allows the effect or consequences of the treatment to be </w:t>
      </w:r>
      <w:proofErr w:type="gramStart"/>
      <w:r w:rsidRPr="007C71D5">
        <w:t>taken into account</w:t>
      </w:r>
      <w:proofErr w:type="gramEnd"/>
      <w:r>
        <w:t>.</w:t>
      </w:r>
    </w:p>
    <w:p w14:paraId="6B579CC7" w14:textId="77777777" w:rsidR="008D695B" w:rsidRPr="00095CD0" w:rsidRDefault="008D695B" w:rsidP="008D695B">
      <w:pPr>
        <w:pStyle w:val="NormalAutoChapter"/>
      </w:pPr>
      <w:r w:rsidRPr="00727043">
        <w:rPr>
          <w:color w:val="auto"/>
          <w:lang w:eastAsia="en-US"/>
        </w:rPr>
        <w:lastRenderedPageBreak/>
        <w:t xml:space="preserve">Many reviews of discrimination laws </w:t>
      </w:r>
      <w:r>
        <w:rPr>
          <w:color w:val="auto"/>
          <w:lang w:eastAsia="en-US"/>
        </w:rPr>
        <w:t xml:space="preserve">in Australia </w:t>
      </w:r>
      <w:r w:rsidRPr="00727043">
        <w:rPr>
          <w:color w:val="auto"/>
          <w:lang w:eastAsia="en-US"/>
        </w:rPr>
        <w:t>have recommended replacing the comparator test</w:t>
      </w:r>
      <w:r>
        <w:rPr>
          <w:color w:val="auto"/>
          <w:lang w:eastAsia="en-US"/>
        </w:rPr>
        <w:t xml:space="preserve"> </w:t>
      </w:r>
      <w:r w:rsidRPr="00727043">
        <w:rPr>
          <w:color w:val="auto"/>
          <w:lang w:eastAsia="en-US"/>
        </w:rPr>
        <w:t>with an unfavourable treatment test.</w:t>
      </w:r>
      <w:r w:rsidRPr="0029220C">
        <w:rPr>
          <w:rStyle w:val="FootnoteReference"/>
          <w:color w:val="auto"/>
        </w:rPr>
        <w:footnoteReference w:id="76"/>
      </w:r>
      <w:r w:rsidRPr="00727043">
        <w:rPr>
          <w:color w:val="auto"/>
          <w:lang w:eastAsia="en-US"/>
        </w:rPr>
        <w:t xml:space="preserve"> In </w:t>
      </w:r>
      <w:r>
        <w:rPr>
          <w:color w:val="auto"/>
          <w:lang w:eastAsia="en-US"/>
        </w:rPr>
        <w:t>1999, the NSW Law Reform Commission (NSWLRC) similarly re</w:t>
      </w:r>
      <w:r w:rsidRPr="00727043">
        <w:rPr>
          <w:color w:val="auto"/>
          <w:lang w:eastAsia="en-US"/>
        </w:rPr>
        <w:t xml:space="preserve">commended </w:t>
      </w:r>
      <w:r>
        <w:rPr>
          <w:color w:val="auto"/>
          <w:lang w:eastAsia="en-US"/>
        </w:rPr>
        <w:t>a</w:t>
      </w:r>
      <w:r w:rsidRPr="00727043">
        <w:rPr>
          <w:color w:val="auto"/>
          <w:lang w:eastAsia="en-US"/>
        </w:rPr>
        <w:t xml:space="preserve"> </w:t>
      </w:r>
      <w:r>
        <w:rPr>
          <w:color w:val="auto"/>
          <w:lang w:eastAsia="en-US"/>
        </w:rPr>
        <w:t xml:space="preserve">test </w:t>
      </w:r>
      <w:r w:rsidRPr="00727043">
        <w:rPr>
          <w:color w:val="auto"/>
          <w:lang w:eastAsia="en-US"/>
        </w:rPr>
        <w:t>that focuse</w:t>
      </w:r>
      <w:r>
        <w:rPr>
          <w:color w:val="auto"/>
          <w:lang w:eastAsia="en-US"/>
        </w:rPr>
        <w:t>d</w:t>
      </w:r>
      <w:r w:rsidRPr="00727043">
        <w:rPr>
          <w:color w:val="auto"/>
          <w:lang w:eastAsia="en-US"/>
        </w:rPr>
        <w:t xml:space="preserve"> on </w:t>
      </w:r>
      <w:r>
        <w:rPr>
          <w:color w:val="auto"/>
          <w:lang w:eastAsia="en-US"/>
        </w:rPr>
        <w:t>whether the conduct caused detriment based on an attribute.</w:t>
      </w:r>
      <w:r w:rsidRPr="00F83F70">
        <w:rPr>
          <w:rStyle w:val="FootnoteReference"/>
          <w:color w:val="auto"/>
          <w:lang w:eastAsia="en-US"/>
        </w:rPr>
        <w:footnoteReference w:id="77"/>
      </w:r>
      <w:r w:rsidRPr="00727043">
        <w:rPr>
          <w:color w:val="auto"/>
          <w:lang w:eastAsia="en-US"/>
        </w:rPr>
        <w:t xml:space="preserve"> </w:t>
      </w:r>
    </w:p>
    <w:p w14:paraId="1B2662A0" w14:textId="77777777" w:rsidR="008D695B" w:rsidRPr="008F6841" w:rsidRDefault="008D695B" w:rsidP="008D695B">
      <w:pPr>
        <w:pStyle w:val="NormalAutoChapter"/>
      </w:pPr>
      <w:r>
        <w:rPr>
          <w:color w:val="auto"/>
          <w:lang w:eastAsia="en-US"/>
        </w:rPr>
        <w:t>Some say this test is simpler, as it avoids the need to find a comparator. A simpler test, that is easier to understand, could improve access to justice. It could also account for intersectional discrimination, which we discuss below.</w:t>
      </w:r>
      <w:r>
        <w:rPr>
          <w:rStyle w:val="FootnoteReference"/>
          <w:color w:val="auto"/>
          <w:lang w:eastAsia="en-US"/>
        </w:rPr>
        <w:footnoteReference w:id="78"/>
      </w:r>
    </w:p>
    <w:p w14:paraId="2AA24FFF" w14:textId="77777777" w:rsidR="008D695B" w:rsidRDefault="008D695B" w:rsidP="008D695B">
      <w:pPr>
        <w:pStyle w:val="NormalAutoChapter"/>
        <w:rPr>
          <w:color w:val="auto"/>
        </w:rPr>
      </w:pPr>
      <w:r>
        <w:rPr>
          <w:color w:val="auto"/>
        </w:rPr>
        <w:t>Adopting this test would make the ADA inconsistent with the law in some other states and territories and in some federal laws.</w:t>
      </w:r>
      <w:r w:rsidRPr="002B3C9C">
        <w:rPr>
          <w:color w:val="auto"/>
        </w:rPr>
        <w:t xml:space="preserve"> </w:t>
      </w:r>
      <w:r>
        <w:rPr>
          <w:color w:val="auto"/>
        </w:rPr>
        <w:t>However, t</w:t>
      </w:r>
      <w:r w:rsidRPr="002B3C9C">
        <w:rPr>
          <w:color w:val="auto"/>
        </w:rPr>
        <w:t>h</w:t>
      </w:r>
      <w:r>
        <w:rPr>
          <w:color w:val="auto"/>
        </w:rPr>
        <w:t>is may not be an issue if the recommendations of the other law reform bodies, mentioned above, are implemented</w:t>
      </w:r>
      <w:r w:rsidRPr="002B3C9C">
        <w:rPr>
          <w:color w:val="auto"/>
        </w:rPr>
        <w:t>.</w:t>
      </w:r>
      <w:bookmarkEnd w:id="81"/>
      <w:r w:rsidRPr="002B3C9C">
        <w:rPr>
          <w:color w:val="auto"/>
        </w:rPr>
        <w:t xml:space="preserve"> </w:t>
      </w:r>
    </w:p>
    <w:p w14:paraId="2FE3A222" w14:textId="77777777" w:rsidR="008D695B" w:rsidRPr="006B4B46" w:rsidRDefault="008D695B" w:rsidP="008D695B">
      <w:pPr>
        <w:pStyle w:val="Heading2"/>
        <w:rPr>
          <w:color w:val="0070C0"/>
          <w:sz w:val="20"/>
        </w:rPr>
      </w:pPr>
      <w:bookmarkStart w:id="86" w:name="_Toc196749509"/>
      <w:bookmarkStart w:id="87" w:name="_Toc196826815"/>
      <w:r>
        <w:t>Causation</w:t>
      </w:r>
      <w:bookmarkEnd w:id="86"/>
      <w:bookmarkEnd w:id="87"/>
    </w:p>
    <w:p w14:paraId="4ACFCA8B" w14:textId="77777777" w:rsidR="008D695B" w:rsidRDefault="008D695B" w:rsidP="008D695B">
      <w:pPr>
        <w:pStyle w:val="NormalAutoChapter"/>
      </w:pPr>
      <w:r>
        <w:t xml:space="preserve">A complainant must also </w:t>
      </w:r>
      <w:r w:rsidRPr="00EE3629">
        <w:t>prove th</w:t>
      </w:r>
      <w:r>
        <w:t xml:space="preserve">at a reason they received the less favourable treatment was </w:t>
      </w:r>
      <w:r w:rsidRPr="008F30A5">
        <w:t xml:space="preserve">because </w:t>
      </w:r>
      <w:r>
        <w:t>they either had</w:t>
      </w:r>
    </w:p>
    <w:p w14:paraId="209A0852" w14:textId="77777777" w:rsidR="008D695B" w:rsidRDefault="008D695B" w:rsidP="008D695B">
      <w:pPr>
        <w:pStyle w:val="Normalbullet"/>
      </w:pPr>
      <w:r w:rsidRPr="00EE3629">
        <w:t>a protected attribute</w:t>
      </w:r>
      <w:r>
        <w:t>,</w:t>
      </w:r>
      <w:r w:rsidRPr="00026536">
        <w:rPr>
          <w:rStyle w:val="FootnoteReference"/>
        </w:rPr>
        <w:t xml:space="preserve"> </w:t>
      </w:r>
      <w:r>
        <w:t xml:space="preserve">or </w:t>
      </w:r>
    </w:p>
    <w:p w14:paraId="503DF2C0" w14:textId="77777777" w:rsidR="008D695B" w:rsidRDefault="008D695B" w:rsidP="008D695B">
      <w:pPr>
        <w:pStyle w:val="Normalbullet"/>
      </w:pPr>
      <w:r>
        <w:t>a characteristic that people with that attribute have or are presumed to have.</w:t>
      </w:r>
      <w:r w:rsidRPr="00EE3629">
        <w:rPr>
          <w:rStyle w:val="FootnoteReference"/>
        </w:rPr>
        <w:footnoteReference w:id="79"/>
      </w:r>
      <w:r w:rsidRPr="00EE3629">
        <w:t xml:space="preserve"> </w:t>
      </w:r>
    </w:p>
    <w:p w14:paraId="73969C18" w14:textId="77777777" w:rsidR="008D695B" w:rsidRPr="002C53D9" w:rsidRDefault="008D695B" w:rsidP="008D695B">
      <w:pPr>
        <w:pStyle w:val="NormalAutoChapter"/>
        <w:rPr>
          <w:color w:val="000000" w:themeColor="text1"/>
          <w:sz w:val="20"/>
        </w:rPr>
      </w:pPr>
      <w:r w:rsidRPr="002C53D9">
        <w:rPr>
          <w:color w:val="000000" w:themeColor="text1"/>
        </w:rPr>
        <w:t>In summary, the issues are:</w:t>
      </w:r>
    </w:p>
    <w:p w14:paraId="73EF3795" w14:textId="77777777" w:rsidR="008D695B" w:rsidRPr="002C53D9" w:rsidRDefault="008D695B" w:rsidP="008D695B">
      <w:pPr>
        <w:pStyle w:val="Normalbullet"/>
        <w:rPr>
          <w:color w:val="000000" w:themeColor="text1"/>
          <w:sz w:val="20"/>
        </w:rPr>
      </w:pPr>
      <w:r w:rsidRPr="002C53D9">
        <w:rPr>
          <w:color w:val="000000" w:themeColor="text1"/>
        </w:rPr>
        <w:t xml:space="preserve">Why did the less favourable treatment occur? </w:t>
      </w:r>
    </w:p>
    <w:p w14:paraId="3B343A80" w14:textId="77777777" w:rsidR="008D695B" w:rsidRPr="002C53D9" w:rsidRDefault="008D695B" w:rsidP="008D695B">
      <w:pPr>
        <w:pStyle w:val="Normalbullet"/>
        <w:rPr>
          <w:color w:val="000000" w:themeColor="text1"/>
          <w:sz w:val="20"/>
        </w:rPr>
      </w:pPr>
      <w:r w:rsidRPr="002C53D9">
        <w:rPr>
          <w:color w:val="000000" w:themeColor="text1"/>
        </w:rPr>
        <w:t xml:space="preserve">Did it occur because of the person’s attribute (or related characteristic)? </w:t>
      </w:r>
    </w:p>
    <w:p w14:paraId="5DB52594" w14:textId="77777777" w:rsidR="008D695B" w:rsidRPr="002C53D9" w:rsidRDefault="008D695B" w:rsidP="008D695B">
      <w:pPr>
        <w:pStyle w:val="NormalAutoChapter"/>
        <w:rPr>
          <w:color w:val="000000" w:themeColor="text1"/>
          <w:sz w:val="20"/>
        </w:rPr>
      </w:pPr>
      <w:r w:rsidRPr="002C53D9">
        <w:rPr>
          <w:color w:val="000000" w:themeColor="text1"/>
        </w:rPr>
        <w:t xml:space="preserve">It does not matter if there was more than one reason why the complainant was treated unfavourably, some of which do not amount to unlawful discrimination. It is </w:t>
      </w:r>
      <w:r w:rsidRPr="002C53D9">
        <w:rPr>
          <w:color w:val="000000" w:themeColor="text1"/>
        </w:rPr>
        <w:lastRenderedPageBreak/>
        <w:t xml:space="preserve">enough if one the </w:t>
      </w:r>
      <w:proofErr w:type="gramStart"/>
      <w:r w:rsidRPr="002C53D9">
        <w:rPr>
          <w:color w:val="000000" w:themeColor="text1"/>
        </w:rPr>
        <w:t>reasons</w:t>
      </w:r>
      <w:proofErr w:type="gramEnd"/>
      <w:r w:rsidRPr="002C53D9">
        <w:rPr>
          <w:color w:val="000000" w:themeColor="text1"/>
        </w:rPr>
        <w:t xml:space="preserve"> for the treatment amounts to unlawful discrimination, even if this is not the “dominant or a substantial reason”.</w:t>
      </w:r>
      <w:r w:rsidRPr="002C53D9">
        <w:rPr>
          <w:rStyle w:val="FootnoteReference"/>
          <w:color w:val="000000" w:themeColor="text1"/>
        </w:rPr>
        <w:footnoteReference w:id="80"/>
      </w:r>
      <w:r w:rsidRPr="002C53D9">
        <w:rPr>
          <w:color w:val="000000" w:themeColor="text1"/>
        </w:rPr>
        <w:t xml:space="preserve"> </w:t>
      </w:r>
    </w:p>
    <w:p w14:paraId="096F79E2" w14:textId="77777777" w:rsidR="008D695B" w:rsidRPr="002C53D9" w:rsidRDefault="008D695B" w:rsidP="008D695B">
      <w:pPr>
        <w:pStyle w:val="NormalAutoChapter"/>
        <w:rPr>
          <w:color w:val="000000" w:themeColor="text1"/>
          <w:sz w:val="20"/>
        </w:rPr>
      </w:pPr>
      <w:r w:rsidRPr="002C53D9">
        <w:rPr>
          <w:color w:val="000000" w:themeColor="text1"/>
        </w:rPr>
        <w:t xml:space="preserve">Causation can be hard to prove. The complainant may experience and feel they have been treated less </w:t>
      </w:r>
      <w:proofErr w:type="gramStart"/>
      <w:r w:rsidRPr="002C53D9">
        <w:rPr>
          <w:color w:val="000000" w:themeColor="text1"/>
        </w:rPr>
        <w:t>favourably, and</w:t>
      </w:r>
      <w:proofErr w:type="gramEnd"/>
      <w:r w:rsidRPr="002C53D9">
        <w:rPr>
          <w:color w:val="000000" w:themeColor="text1"/>
        </w:rPr>
        <w:t xml:space="preserve"> genuinely believe it must be because of their personal attribute. However, the test is not subjective. It requires objective proof of the reason for the treatment. </w:t>
      </w:r>
    </w:p>
    <w:p w14:paraId="14A381C9" w14:textId="77777777" w:rsidR="008D695B" w:rsidRPr="002C53D9" w:rsidRDefault="008D695B" w:rsidP="008D695B">
      <w:pPr>
        <w:pStyle w:val="NormalAutoChapter"/>
        <w:rPr>
          <w:color w:val="000000" w:themeColor="text1"/>
          <w:sz w:val="20"/>
        </w:rPr>
      </w:pPr>
      <w:r w:rsidRPr="002C53D9">
        <w:rPr>
          <w:color w:val="000000" w:themeColor="text1"/>
        </w:rPr>
        <w:t>This does not mean the complainant has to prove a respondent deliberately discriminated or intended to discriminate. Rather, the complainant must prove that their attribute was a reason for the treatment. The central question is: “why was the person with the attribute treated as they were?”.</w:t>
      </w:r>
      <w:r w:rsidRPr="002C53D9">
        <w:rPr>
          <w:rStyle w:val="FootnoteReference"/>
          <w:color w:val="000000" w:themeColor="text1"/>
        </w:rPr>
        <w:footnoteReference w:id="81"/>
      </w:r>
    </w:p>
    <w:p w14:paraId="5FB6B5B6" w14:textId="77777777" w:rsidR="008D695B" w:rsidRDefault="008D695B" w:rsidP="008D695B">
      <w:pPr>
        <w:pStyle w:val="NormalAutoChapter"/>
      </w:pPr>
      <w:r>
        <w:t>The complainant often does not have evidence to prove why the respondent treated them this way and may have to rely on an inference being drawn. Later in this chapter, we discuss this issue in relation to the burden of proof.</w:t>
      </w:r>
    </w:p>
    <w:p w14:paraId="7F660212" w14:textId="77777777" w:rsidR="008D695B" w:rsidRDefault="008D695B" w:rsidP="008D695B">
      <w:pPr>
        <w:pStyle w:val="NormalAutoChapter"/>
      </w:pPr>
      <w:r>
        <w:t>Also, many people are not fully aware of the factors that influence the decisions they make.</w:t>
      </w:r>
      <w:r>
        <w:rPr>
          <w:rStyle w:val="FootnoteReference"/>
        </w:rPr>
        <w:footnoteReference w:id="82"/>
      </w:r>
      <w:r>
        <w:t xml:space="preserve"> This might cause difficulties in proving discrimination if the respondent’s actions are influenced by unconscious bias.</w:t>
      </w:r>
    </w:p>
    <w:p w14:paraId="076A6F84" w14:textId="77777777" w:rsidR="008D695B" w:rsidRDefault="008D695B" w:rsidP="008D695B">
      <w:pPr>
        <w:pStyle w:val="NormalAutoChapter"/>
      </w:pPr>
      <w:r>
        <w:t>T</w:t>
      </w:r>
      <w:r w:rsidRPr="00760A2E">
        <w:t xml:space="preserve">he ADA </w:t>
      </w:r>
      <w:r>
        <w:t>does not say whether the</w:t>
      </w:r>
      <w:r w:rsidRPr="00760A2E">
        <w:t xml:space="preserve"> </w:t>
      </w:r>
      <w:r>
        <w:t xml:space="preserve">respondent </w:t>
      </w:r>
      <w:r w:rsidRPr="00760A2E">
        <w:t xml:space="preserve">must have made a conscious decision </w:t>
      </w:r>
      <w:r>
        <w:t>to treat the complainant less favourably</w:t>
      </w:r>
      <w:r w:rsidRPr="00760A2E">
        <w:t xml:space="preserve">. </w:t>
      </w:r>
      <w:r>
        <w:t xml:space="preserve">Potentially, this could be clarified by adopting an aspect of the Victorian approach to causation. </w:t>
      </w:r>
    </w:p>
    <w:p w14:paraId="1944E1EA" w14:textId="77777777" w:rsidR="008D695B" w:rsidRDefault="008D695B" w:rsidP="008D695B">
      <w:pPr>
        <w:pStyle w:val="NormalAutoChapter"/>
      </w:pPr>
      <w:r>
        <w:t>Victorian discrimination law states that it is not relevant whether the respondent was aware of the discrimination or if they considered the treatment to be unfavourable</w:t>
      </w:r>
      <w:r w:rsidRPr="00760A2E">
        <w:t>.</w:t>
      </w:r>
      <w:r w:rsidRPr="006B4B46">
        <w:rPr>
          <w:rStyle w:val="FootnoteReference"/>
        </w:rPr>
        <w:footnoteReference w:id="83"/>
      </w:r>
      <w:r>
        <w:t xml:space="preserve"> It may still be discrimination if the respondent acted out of unconscious bias, but did not intend to discriminate.</w:t>
      </w:r>
      <w:r>
        <w:rPr>
          <w:rStyle w:val="FootnoteReference"/>
        </w:rPr>
        <w:footnoteReference w:id="84"/>
      </w:r>
    </w:p>
    <w:p w14:paraId="029B8203" w14:textId="77777777" w:rsidR="008D695B" w:rsidRPr="00E020E0" w:rsidRDefault="008D695B" w:rsidP="008D695B">
      <w:pPr>
        <w:pStyle w:val="Recommendationheading"/>
      </w:pPr>
      <w:r w:rsidRPr="00E020E0">
        <w:t>Question 3.1: Direct discrimination</w:t>
      </w:r>
    </w:p>
    <w:p w14:paraId="22D762D1" w14:textId="77777777" w:rsidR="008D695B" w:rsidRPr="00E020E0" w:rsidRDefault="008D695B" w:rsidP="008D695B">
      <w:pPr>
        <w:pStyle w:val="Recommendationnormal"/>
      </w:pPr>
      <w:r w:rsidRPr="00E020E0">
        <w:t xml:space="preserve">Could the test for direct discrimination be improved or simplified? If so, how? </w:t>
      </w:r>
    </w:p>
    <w:p w14:paraId="3BF6A879" w14:textId="77777777" w:rsidR="008D695B" w:rsidRDefault="008D695B" w:rsidP="008D695B">
      <w:pPr>
        <w:pStyle w:val="Heading1"/>
      </w:pPr>
      <w:bookmarkStart w:id="88" w:name="_Toc196749510"/>
      <w:bookmarkStart w:id="89" w:name="_Toc196826816"/>
      <w:r>
        <w:lastRenderedPageBreak/>
        <w:t>Indirect discrimination</w:t>
      </w:r>
      <w:bookmarkEnd w:id="88"/>
      <w:bookmarkEnd w:id="89"/>
    </w:p>
    <w:p w14:paraId="00A9EB73" w14:textId="77777777" w:rsidR="008D695B" w:rsidRPr="001F6C24" w:rsidRDefault="008D695B" w:rsidP="008D695B">
      <w:pPr>
        <w:pStyle w:val="NormalAutoChapter"/>
        <w:rPr>
          <w:strike/>
          <w:color w:val="auto"/>
          <w:lang w:eastAsia="en-US"/>
        </w:rPr>
      </w:pPr>
      <w:r>
        <w:rPr>
          <w:color w:val="auto"/>
          <w:lang w:eastAsia="en-US"/>
        </w:rPr>
        <w:t>“Indirect discrimination” was added to the ADA in 1981.</w:t>
      </w:r>
      <w:r w:rsidRPr="00670FC5">
        <w:rPr>
          <w:rStyle w:val="FootnoteReference"/>
          <w:color w:val="auto"/>
        </w:rPr>
        <w:footnoteReference w:id="85"/>
      </w:r>
      <w:r w:rsidRPr="00670FC5">
        <w:rPr>
          <w:color w:val="auto"/>
        </w:rPr>
        <w:t xml:space="preserve"> </w:t>
      </w:r>
      <w:r w:rsidRPr="002E0731">
        <w:rPr>
          <w:color w:val="auto"/>
        </w:rPr>
        <w:t xml:space="preserve">Other </w:t>
      </w:r>
      <w:r>
        <w:rPr>
          <w:color w:val="auto"/>
        </w:rPr>
        <w:t xml:space="preserve">discrimination laws across </w:t>
      </w:r>
      <w:r w:rsidRPr="002E0731">
        <w:rPr>
          <w:color w:val="auto"/>
        </w:rPr>
        <w:t xml:space="preserve">Australia also prohibit indirect </w:t>
      </w:r>
      <w:proofErr w:type="gramStart"/>
      <w:r w:rsidRPr="002E0731">
        <w:rPr>
          <w:color w:val="auto"/>
        </w:rPr>
        <w:t>discrimination</w:t>
      </w:r>
      <w:r>
        <w:rPr>
          <w:color w:val="auto"/>
        </w:rPr>
        <w:t>, but</w:t>
      </w:r>
      <w:proofErr w:type="gramEnd"/>
      <w:r>
        <w:rPr>
          <w:color w:val="auto"/>
        </w:rPr>
        <w:t xml:space="preserve"> use slightly different and more contemporary </w:t>
      </w:r>
      <w:r w:rsidRPr="002E0731">
        <w:rPr>
          <w:color w:val="auto"/>
        </w:rPr>
        <w:t xml:space="preserve">tests. </w:t>
      </w:r>
    </w:p>
    <w:p w14:paraId="11BA44D1" w14:textId="77777777" w:rsidR="008D695B" w:rsidRDefault="008D695B" w:rsidP="008D695B">
      <w:pPr>
        <w:pStyle w:val="NormalAutoChapter"/>
      </w:pPr>
      <w:r>
        <w:t xml:space="preserve">Indirect discrimination occurs when a rule or requirement that applies to everyone, unfairly disadvantages a person or group with a protected attribute. This moves beyond formal equality and towards substantive equality. We discuss these concepts </w:t>
      </w:r>
      <w:r w:rsidRPr="00BB4BB0">
        <w:t>in chapter 2.</w:t>
      </w:r>
      <w:r>
        <w:t xml:space="preserve"> </w:t>
      </w:r>
    </w:p>
    <w:p w14:paraId="31EEB595" w14:textId="77777777" w:rsidR="008D695B" w:rsidRPr="00670FC5" w:rsidRDefault="008D695B" w:rsidP="008D695B">
      <w:pPr>
        <w:pStyle w:val="NormalAutoChapter"/>
        <w:rPr>
          <w:color w:val="auto"/>
          <w:lang w:eastAsia="en-US"/>
        </w:rPr>
      </w:pPr>
      <w:r w:rsidRPr="00670FC5">
        <w:rPr>
          <w:color w:val="auto"/>
          <w:lang w:eastAsia="en-US"/>
        </w:rPr>
        <w:t xml:space="preserve">To prove </w:t>
      </w:r>
      <w:r>
        <w:rPr>
          <w:color w:val="auto"/>
          <w:lang w:eastAsia="en-US"/>
        </w:rPr>
        <w:t>indirect discrimination,</w:t>
      </w:r>
      <w:r w:rsidRPr="00670FC5">
        <w:rPr>
          <w:color w:val="auto"/>
          <w:lang w:eastAsia="en-US"/>
        </w:rPr>
        <w:t xml:space="preserve"> </w:t>
      </w:r>
      <w:r>
        <w:rPr>
          <w:color w:val="auto"/>
          <w:lang w:eastAsia="en-US"/>
        </w:rPr>
        <w:t>the complainant must show that</w:t>
      </w:r>
      <w:r w:rsidRPr="00670FC5">
        <w:rPr>
          <w:color w:val="auto"/>
          <w:lang w:eastAsia="en-US"/>
        </w:rPr>
        <w:t xml:space="preserve">: </w:t>
      </w:r>
    </w:p>
    <w:p w14:paraId="2DB8E830" w14:textId="77777777" w:rsidR="008D695B" w:rsidRPr="00936B65" w:rsidRDefault="008D695B" w:rsidP="008D695B">
      <w:pPr>
        <w:pStyle w:val="Normalbullet"/>
      </w:pPr>
      <w:r w:rsidRPr="00936B65">
        <w:t xml:space="preserve">a requirement or condition was imposed on them by the respondent </w:t>
      </w:r>
    </w:p>
    <w:p w14:paraId="29B04D79" w14:textId="77777777" w:rsidR="008D695B" w:rsidRPr="00936B65" w:rsidRDefault="008D695B" w:rsidP="008D695B">
      <w:pPr>
        <w:pStyle w:val="Normalbullet"/>
        <w:rPr>
          <w:color w:val="70AD47" w:themeColor="accent6"/>
        </w:rPr>
      </w:pPr>
      <w:r>
        <w:t xml:space="preserve">they are </w:t>
      </w:r>
      <w:r w:rsidRPr="000E6BA7">
        <w:t>unable to comply with a requirement or condition</w:t>
      </w:r>
      <w:r>
        <w:t xml:space="preserve"> (the “unable to comply” test)</w:t>
      </w:r>
    </w:p>
    <w:p w14:paraId="6B98D67C" w14:textId="77777777" w:rsidR="008D695B" w:rsidRPr="00181C16" w:rsidRDefault="008D695B" w:rsidP="008D695B">
      <w:pPr>
        <w:pStyle w:val="Normalbullet"/>
        <w:rPr>
          <w:color w:val="000000" w:themeColor="text1"/>
        </w:rPr>
      </w:pPr>
      <w:r w:rsidRPr="00181C16">
        <w:rPr>
          <w:color w:val="000000" w:themeColor="text1"/>
        </w:rPr>
        <w:t>a substantially higher proportion of people who do not have the attribute can comply with it (the “disproportionate impact” test), and</w:t>
      </w:r>
    </w:p>
    <w:p w14:paraId="61694C18" w14:textId="77777777" w:rsidR="008D695B" w:rsidRPr="00181C16" w:rsidRDefault="008D695B" w:rsidP="008D695B">
      <w:pPr>
        <w:pStyle w:val="Normalbullet"/>
        <w:rPr>
          <w:color w:val="000000" w:themeColor="text1"/>
        </w:rPr>
      </w:pPr>
      <w:r w:rsidRPr="00181C16">
        <w:rPr>
          <w:color w:val="000000" w:themeColor="text1"/>
        </w:rPr>
        <w:t>the requirement or condition is not reasonable having regard to the circumstances of the case (the “reasonableness” test).</w:t>
      </w:r>
      <w:r w:rsidRPr="00181C16">
        <w:rPr>
          <w:rStyle w:val="FootnoteReference"/>
          <w:color w:val="000000" w:themeColor="text1"/>
        </w:rPr>
        <w:footnoteReference w:id="86"/>
      </w:r>
      <w:r w:rsidRPr="00181C16">
        <w:rPr>
          <w:color w:val="000000" w:themeColor="text1"/>
        </w:rPr>
        <w:t xml:space="preserve">  </w:t>
      </w:r>
    </w:p>
    <w:p w14:paraId="1F990C50" w14:textId="77777777" w:rsidR="008D695B" w:rsidRDefault="008D695B" w:rsidP="008D695B">
      <w:pPr>
        <w:pStyle w:val="NormalAutoChapter"/>
      </w:pPr>
      <w:r w:rsidRPr="007F354B">
        <w:rPr>
          <w:color w:val="auto"/>
          <w:lang w:eastAsia="en-US"/>
        </w:rPr>
        <w:t>An example of indirect discrimination</w:t>
      </w:r>
      <w:r>
        <w:rPr>
          <w:color w:val="auto"/>
          <w:lang w:eastAsia="en-US"/>
        </w:rPr>
        <w:t xml:space="preserve"> is where a</w:t>
      </w:r>
      <w:r w:rsidRPr="008B7281">
        <w:rPr>
          <w:color w:val="auto"/>
          <w:lang w:eastAsia="en-US"/>
        </w:rPr>
        <w:t xml:space="preserve"> store requires </w:t>
      </w:r>
      <w:r>
        <w:rPr>
          <w:color w:val="auto"/>
          <w:lang w:eastAsia="en-US"/>
        </w:rPr>
        <w:t xml:space="preserve">all </w:t>
      </w:r>
      <w:r w:rsidRPr="008B7281">
        <w:rPr>
          <w:color w:val="auto"/>
          <w:lang w:eastAsia="en-US"/>
        </w:rPr>
        <w:t xml:space="preserve">customers to produce photo identification in the form of a driver licence </w:t>
      </w:r>
      <w:r>
        <w:rPr>
          <w:color w:val="auto"/>
          <w:lang w:eastAsia="en-US"/>
        </w:rPr>
        <w:t>to collect</w:t>
      </w:r>
      <w:r w:rsidRPr="008B7281">
        <w:rPr>
          <w:color w:val="auto"/>
          <w:lang w:eastAsia="en-US"/>
        </w:rPr>
        <w:t xml:space="preserve"> an order. This may disadvantage </w:t>
      </w:r>
      <w:r>
        <w:rPr>
          <w:color w:val="auto"/>
          <w:lang w:eastAsia="en-US"/>
        </w:rPr>
        <w:t>someone</w:t>
      </w:r>
      <w:r w:rsidRPr="008B7281">
        <w:rPr>
          <w:color w:val="auto"/>
          <w:lang w:eastAsia="en-US"/>
        </w:rPr>
        <w:t xml:space="preserve"> with a visual impairment who is not eligible to hold a driver licence</w:t>
      </w:r>
      <w:r>
        <w:rPr>
          <w:color w:val="auto"/>
          <w:lang w:eastAsia="en-US"/>
        </w:rPr>
        <w:t>.</w:t>
      </w:r>
      <w:r>
        <w:rPr>
          <w:rStyle w:val="FootnoteReference"/>
          <w:color w:val="auto"/>
          <w:lang w:eastAsia="en-US"/>
        </w:rPr>
        <w:footnoteReference w:id="87"/>
      </w:r>
    </w:p>
    <w:p w14:paraId="4D7A1980" w14:textId="77777777" w:rsidR="008D695B" w:rsidRDefault="008D695B" w:rsidP="008D695B">
      <w:pPr>
        <w:pStyle w:val="Heading2"/>
      </w:pPr>
      <w:bookmarkStart w:id="90" w:name="_Toc196749511"/>
      <w:bookmarkStart w:id="91" w:name="_Toc196826817"/>
      <w:r>
        <w:t>The comparative “disproportionate impact” test</w:t>
      </w:r>
      <w:bookmarkEnd w:id="90"/>
      <w:bookmarkEnd w:id="91"/>
    </w:p>
    <w:p w14:paraId="6031256E" w14:textId="77777777" w:rsidR="008D695B" w:rsidRDefault="008D695B" w:rsidP="008D695B">
      <w:pPr>
        <w:pStyle w:val="NormalAutoChapter"/>
      </w:pPr>
      <w:r>
        <w:rPr>
          <w:color w:val="auto"/>
        </w:rPr>
        <w:t xml:space="preserve">The complainant must also show that a substantially higher </w:t>
      </w:r>
      <w:r w:rsidRPr="000E6BA7">
        <w:t xml:space="preserve">proportion of people </w:t>
      </w:r>
      <w:r>
        <w:t>without an</w:t>
      </w:r>
      <w:r w:rsidRPr="000E6BA7">
        <w:t xml:space="preserve"> </w:t>
      </w:r>
      <w:r>
        <w:t>attribute</w:t>
      </w:r>
      <w:r w:rsidRPr="000E6BA7">
        <w:t xml:space="preserve"> can comply</w:t>
      </w:r>
      <w:r>
        <w:t xml:space="preserve"> with a condition or requirement, compared to people with that attribute. </w:t>
      </w:r>
    </w:p>
    <w:p w14:paraId="5875D64F" w14:textId="77777777" w:rsidR="008D695B" w:rsidRDefault="008D695B" w:rsidP="008D695B">
      <w:pPr>
        <w:pStyle w:val="NormalAutoChapter"/>
      </w:pPr>
      <w:r>
        <w:t xml:space="preserve">This means identifying all the people on whom the requirement or condition is imposed. This becomes the base group. </w:t>
      </w:r>
    </w:p>
    <w:p w14:paraId="3BAB7D60" w14:textId="77777777" w:rsidR="008D695B" w:rsidRDefault="008D695B" w:rsidP="008D695B">
      <w:pPr>
        <w:pStyle w:val="NormalAutoChapter"/>
      </w:pPr>
      <w:r>
        <w:lastRenderedPageBreak/>
        <w:t>After identifying this group, the next step is to ask which of those people who have the attribute can comply, and which of the people who do not have the attribute can comply. Then a comparison is made.</w:t>
      </w:r>
      <w:r>
        <w:rPr>
          <w:rStyle w:val="FootnoteReference"/>
        </w:rPr>
        <w:footnoteReference w:id="88"/>
      </w:r>
      <w:r>
        <w:t xml:space="preserve"> </w:t>
      </w:r>
    </w:p>
    <w:p w14:paraId="3CF59C33" w14:textId="77777777" w:rsidR="008D695B" w:rsidRDefault="008D695B" w:rsidP="008D695B">
      <w:pPr>
        <w:pStyle w:val="NormalAutoChapter"/>
      </w:pPr>
      <w:r>
        <w:t>This can be illustrated by an example involving a cinema that requires patrons to enter the premises using stairs. Assume, over a particular period, 100 people want to watch a movie at the cinema. This is the base group.</w:t>
      </w:r>
    </w:p>
    <w:p w14:paraId="35761F94" w14:textId="77777777" w:rsidR="008D695B" w:rsidRDefault="008D695B" w:rsidP="008D695B">
      <w:pPr>
        <w:pStyle w:val="NormalAutoChapter"/>
      </w:pPr>
      <w:r>
        <w:t xml:space="preserve">In this example, the base group of 100 patrons includes a wide range of people, including: </w:t>
      </w:r>
    </w:p>
    <w:p w14:paraId="0FA63C72" w14:textId="77777777" w:rsidR="008D695B" w:rsidRDefault="008D695B" w:rsidP="008D695B">
      <w:pPr>
        <w:pStyle w:val="Normalbullet"/>
      </w:pPr>
      <w:r>
        <w:t>80 people without disability, all of whom can use the stairs, and</w:t>
      </w:r>
    </w:p>
    <w:p w14:paraId="7769A66C" w14:textId="77777777" w:rsidR="008D695B" w:rsidRDefault="008D695B" w:rsidP="008D695B">
      <w:pPr>
        <w:pStyle w:val="Normalbullet"/>
      </w:pPr>
      <w:r>
        <w:t>20 people with a mobility disability, 5 of whom can use the stairs.</w:t>
      </w:r>
    </w:p>
    <w:p w14:paraId="2B22623D" w14:textId="77777777" w:rsidR="008D695B" w:rsidRDefault="008D695B" w:rsidP="008D695B">
      <w:pPr>
        <w:pStyle w:val="NormalAutoChapter"/>
      </w:pPr>
      <w:r>
        <w:t>A comparison is made between the people without disability who can comply</w:t>
      </w:r>
      <w:r w:rsidRPr="00B777DD">
        <w:t xml:space="preserve"> </w:t>
      </w:r>
      <w:r>
        <w:t xml:space="preserve">with the </w:t>
      </w:r>
      <w:proofErr w:type="gramStart"/>
      <w:r>
        <w:t>stairs</w:t>
      </w:r>
      <w:proofErr w:type="gramEnd"/>
      <w:r>
        <w:t xml:space="preserve"> requirement, and those with disability who can comply with this requirement. In this example: </w:t>
      </w:r>
    </w:p>
    <w:p w14:paraId="611F924E" w14:textId="77777777" w:rsidR="008D695B" w:rsidRDefault="008D695B" w:rsidP="008D695B">
      <w:pPr>
        <w:pStyle w:val="Normalbullet"/>
      </w:pPr>
      <w:r>
        <w:t>100% (80 out of 80) of the people without disability can comply with the requirement to use the stairs, and</w:t>
      </w:r>
    </w:p>
    <w:p w14:paraId="133C9381" w14:textId="77777777" w:rsidR="008D695B" w:rsidRDefault="008D695B" w:rsidP="008D695B">
      <w:pPr>
        <w:pStyle w:val="Normalbullet"/>
      </w:pPr>
      <w:r>
        <w:t xml:space="preserve">25% (5 out of 20) of the people with a mobility disability can comply. </w:t>
      </w:r>
    </w:p>
    <w:p w14:paraId="15F37530" w14:textId="77777777" w:rsidR="008D695B" w:rsidRPr="00481DE6" w:rsidRDefault="008D695B" w:rsidP="008D695B">
      <w:pPr>
        <w:pStyle w:val="NormalAutoChapter"/>
      </w:pPr>
      <w:r>
        <w:t>This means a substantially higher proportion of people without disability can comply with the requirement, compared with the proportion of people with mobility disability who can comply.</w:t>
      </w:r>
    </w:p>
    <w:p w14:paraId="37E36431" w14:textId="77777777" w:rsidR="008D695B" w:rsidRPr="00481DE6" w:rsidRDefault="008D695B" w:rsidP="008D695B">
      <w:pPr>
        <w:pStyle w:val="NormalAutoChapter"/>
      </w:pPr>
      <w:r w:rsidRPr="008B7281">
        <w:rPr>
          <w:color w:val="auto"/>
        </w:rPr>
        <w:t>Concerns about the disproportionate impact test include</w:t>
      </w:r>
      <w:r>
        <w:rPr>
          <w:color w:val="auto"/>
        </w:rPr>
        <w:t xml:space="preserve"> that it:</w:t>
      </w:r>
    </w:p>
    <w:p w14:paraId="298776A8" w14:textId="77777777" w:rsidR="008D695B" w:rsidRPr="005F5ACF" w:rsidRDefault="008D695B" w:rsidP="008D695B">
      <w:pPr>
        <w:pStyle w:val="Normalbullet"/>
      </w:pPr>
      <w:r>
        <w:t>is</w:t>
      </w:r>
      <w:r w:rsidRPr="00B5104C">
        <w:t xml:space="preserve"> unnecessarily complex</w:t>
      </w:r>
      <w:r>
        <w:t xml:space="preserve"> and technical</w:t>
      </w:r>
    </w:p>
    <w:p w14:paraId="4CDFD01D" w14:textId="77777777" w:rsidR="008D695B" w:rsidRDefault="008D695B" w:rsidP="008D695B">
      <w:pPr>
        <w:pStyle w:val="Normalbullet"/>
      </w:pPr>
      <w:r>
        <w:t>c</w:t>
      </w:r>
      <w:r w:rsidRPr="00B5104C">
        <w:t xml:space="preserve">an be difficult to </w:t>
      </w:r>
      <w:r>
        <w:t>identify</w:t>
      </w:r>
      <w:r w:rsidRPr="00B5104C">
        <w:t xml:space="preserve"> an appropriate comparator group</w:t>
      </w:r>
    </w:p>
    <w:p w14:paraId="413FD482" w14:textId="77777777" w:rsidR="008D695B" w:rsidRDefault="008D695B" w:rsidP="008D695B">
      <w:pPr>
        <w:pStyle w:val="Normalbullet"/>
      </w:pPr>
      <w:r>
        <w:t xml:space="preserve">is hard to prove, often requiring complex evidence, such as statistics and data, which a complainant is unlikely to have access to </w:t>
      </w:r>
    </w:p>
    <w:p w14:paraId="48C84F40" w14:textId="77777777" w:rsidR="008D695B" w:rsidRDefault="008D695B" w:rsidP="008D695B">
      <w:pPr>
        <w:pStyle w:val="Normalbullet"/>
      </w:pPr>
      <w:r>
        <w:t xml:space="preserve">can be difficult to apply if the relevant groups are small, as </w:t>
      </w:r>
      <w:r w:rsidRPr="00735EC3">
        <w:t>the comparisons between proportions can be distorted</w:t>
      </w:r>
      <w:r>
        <w:t>,</w:t>
      </w:r>
      <w:r w:rsidRPr="00735EC3">
        <w:t xml:space="preserve"> </w:t>
      </w:r>
      <w:r>
        <w:t>and</w:t>
      </w:r>
    </w:p>
    <w:p w14:paraId="479523CA" w14:textId="77777777" w:rsidR="008D695B" w:rsidRPr="00D9131B" w:rsidRDefault="008D695B" w:rsidP="008D695B">
      <w:pPr>
        <w:pStyle w:val="Normalbullet"/>
      </w:pPr>
      <w:r>
        <w:t xml:space="preserve">is </w:t>
      </w:r>
      <w:r w:rsidRPr="00D21B50">
        <w:t>particularly challenging fo</w:t>
      </w:r>
      <w:r>
        <w:t>r complainants with limited resources or legal knowledge.</w:t>
      </w:r>
      <w:r>
        <w:rPr>
          <w:rStyle w:val="FootnoteReference"/>
        </w:rPr>
        <w:footnoteReference w:id="89"/>
      </w:r>
      <w:r w:rsidRPr="004B138D">
        <w:rPr>
          <w:vertAlign w:val="superscript"/>
        </w:rPr>
        <w:t xml:space="preserve"> </w:t>
      </w:r>
      <w:r w:rsidRPr="00297571" w:rsidDel="00297571">
        <w:t xml:space="preserve"> </w:t>
      </w:r>
    </w:p>
    <w:p w14:paraId="3F8AD88C" w14:textId="77777777" w:rsidR="008D695B" w:rsidRDefault="008D695B" w:rsidP="008D695B">
      <w:pPr>
        <w:pStyle w:val="NormalAutoChapter"/>
      </w:pPr>
      <w:r>
        <w:lastRenderedPageBreak/>
        <w:t>One option could be to refocus the test. In several parts of Australia, the test for indirect discrimination does not assess disproportionate impact by reference to a comparator group. Instead, the issue is whether a requirement or condition disadvantages a person with a protected attribute.</w:t>
      </w:r>
      <w:r>
        <w:rPr>
          <w:rStyle w:val="FootnoteReference"/>
        </w:rPr>
        <w:footnoteReference w:id="90"/>
      </w:r>
      <w:r>
        <w:t xml:space="preserve"> </w:t>
      </w:r>
    </w:p>
    <w:p w14:paraId="4CA2365F" w14:textId="77777777" w:rsidR="008D695B" w:rsidRDefault="008D695B" w:rsidP="008D695B">
      <w:pPr>
        <w:pStyle w:val="NormalAutoChapter"/>
      </w:pPr>
      <w:r>
        <w:t xml:space="preserve">For example, the ACT test focuses on the following questions: </w:t>
      </w:r>
    </w:p>
    <w:p w14:paraId="060CA73E" w14:textId="77777777" w:rsidR="008D695B" w:rsidRPr="001949FA" w:rsidRDefault="008D695B" w:rsidP="008D695B">
      <w:pPr>
        <w:pStyle w:val="Normalbullet"/>
      </w:pPr>
      <w:r w:rsidRPr="001949FA">
        <w:t>Has a condition or requirement been imposed, or is there a proposal to impose a condition or requirement?</w:t>
      </w:r>
    </w:p>
    <w:p w14:paraId="2E78A900" w14:textId="77777777" w:rsidR="008D695B" w:rsidRPr="001949FA" w:rsidRDefault="008D695B" w:rsidP="008D695B">
      <w:pPr>
        <w:pStyle w:val="Normalbullet"/>
      </w:pPr>
      <w:r w:rsidRPr="001949FA">
        <w:t>Does the condition or requirement have the effect of disadvantaging a person because they have a protected attribute(s)?</w:t>
      </w:r>
    </w:p>
    <w:p w14:paraId="65F836AB" w14:textId="77777777" w:rsidR="008D695B" w:rsidRPr="001949FA" w:rsidRDefault="008D695B" w:rsidP="008D695B">
      <w:pPr>
        <w:pStyle w:val="Normalbullet"/>
      </w:pPr>
      <w:r w:rsidRPr="001949FA">
        <w:t>Is the condition or requirement reasonable?</w:t>
      </w:r>
      <w:r w:rsidRPr="001949FA">
        <w:rPr>
          <w:rStyle w:val="FootnoteReference"/>
          <w:sz w:val="22"/>
        </w:rPr>
        <w:footnoteReference w:id="91"/>
      </w:r>
    </w:p>
    <w:p w14:paraId="7E563DDF" w14:textId="77777777" w:rsidR="008D695B" w:rsidRPr="0042758B" w:rsidRDefault="008D695B" w:rsidP="008D695B">
      <w:pPr>
        <w:pStyle w:val="NormalAutoChapter"/>
        <w:rPr>
          <w:color w:val="auto"/>
          <w:lang w:eastAsia="en-US"/>
        </w:rPr>
      </w:pPr>
      <w:r w:rsidRPr="0066255C">
        <w:rPr>
          <w:color w:val="auto"/>
        </w:rPr>
        <w:t xml:space="preserve">Recent reviews in Western Australia (WA) and Queensland also recommended replacing the disproportionate impact </w:t>
      </w:r>
      <w:r w:rsidRPr="00A703C4">
        <w:rPr>
          <w:color w:val="auto"/>
        </w:rPr>
        <w:t>test with a disadvantage test.</w:t>
      </w:r>
      <w:r w:rsidRPr="00A703C4">
        <w:rPr>
          <w:rStyle w:val="FootnoteReference"/>
          <w:color w:val="auto"/>
        </w:rPr>
        <w:footnoteReference w:id="92"/>
      </w:r>
      <w:r w:rsidRPr="00A703C4">
        <w:rPr>
          <w:color w:val="auto"/>
        </w:rPr>
        <w:t xml:space="preserve"> </w:t>
      </w:r>
      <w:r w:rsidRPr="0042758B">
        <w:rPr>
          <w:color w:val="auto"/>
        </w:rPr>
        <w:t>In 2024, Queensland enacted amendments to implement this reform. The amendments were due to commence on 1 July 2025 but, for the reasons explained above, it is now uncertain when they will commence.</w:t>
      </w:r>
      <w:r w:rsidRPr="0042758B">
        <w:rPr>
          <w:rStyle w:val="FootnoteReference"/>
          <w:color w:val="auto"/>
        </w:rPr>
        <w:footnoteReference w:id="93"/>
      </w:r>
    </w:p>
    <w:p w14:paraId="4D90889A" w14:textId="77777777" w:rsidR="008D695B" w:rsidRDefault="008D695B" w:rsidP="008D695B">
      <w:pPr>
        <w:pStyle w:val="NormalAutoChapter"/>
        <w:rPr>
          <w:color w:val="auto"/>
          <w:lang w:eastAsia="en-US"/>
        </w:rPr>
      </w:pPr>
      <w:r w:rsidRPr="00A703C4">
        <w:rPr>
          <w:color w:val="auto"/>
        </w:rPr>
        <w:t xml:space="preserve">In 1999, the NSWLRC acknowledged the complexities </w:t>
      </w:r>
      <w:r w:rsidRPr="005F73A8">
        <w:rPr>
          <w:color w:val="auto"/>
        </w:rPr>
        <w:t>created by the disproportionate impact test. However</w:t>
      </w:r>
      <w:r>
        <w:rPr>
          <w:color w:val="auto"/>
        </w:rPr>
        <w:t xml:space="preserve">, it </w:t>
      </w:r>
      <w:r w:rsidRPr="005F73A8">
        <w:rPr>
          <w:color w:val="auto"/>
        </w:rPr>
        <w:t>concluded that some assessment of proportionality may be necessary</w:t>
      </w:r>
      <w:r>
        <w:rPr>
          <w:color w:val="auto"/>
        </w:rPr>
        <w:t xml:space="preserve"> to establish a link between the detriment and the attribute</w:t>
      </w:r>
      <w:r w:rsidRPr="005F73A8">
        <w:rPr>
          <w:color w:val="auto"/>
        </w:rPr>
        <w:t>.</w:t>
      </w:r>
      <w:r w:rsidRPr="005F73A8">
        <w:rPr>
          <w:rStyle w:val="FootnoteReference"/>
          <w:color w:val="auto"/>
        </w:rPr>
        <w:footnoteReference w:id="94"/>
      </w:r>
      <w:r w:rsidRPr="005F73A8">
        <w:rPr>
          <w:color w:val="auto"/>
        </w:rPr>
        <w:t xml:space="preserve"> </w:t>
      </w:r>
    </w:p>
    <w:p w14:paraId="3CD547B3" w14:textId="77777777" w:rsidR="008D695B" w:rsidRPr="00E020E0" w:rsidRDefault="008D695B" w:rsidP="008D695B">
      <w:pPr>
        <w:pStyle w:val="Recommendationheading"/>
      </w:pPr>
      <w:r w:rsidRPr="00E020E0">
        <w:t xml:space="preserve">Question 3.2: The comparative disproportionate impact test </w:t>
      </w:r>
    </w:p>
    <w:p w14:paraId="5D2C6A01" w14:textId="77777777" w:rsidR="008D695B" w:rsidRPr="00E020E0" w:rsidRDefault="008D695B" w:rsidP="008D695B">
      <w:pPr>
        <w:pStyle w:val="Recommendationnormal"/>
      </w:pPr>
      <w:r w:rsidRPr="00E020E0">
        <w:t xml:space="preserve">Should the comparative disproportionate impact test for indirect discrimination be replaced? If so, what should replace it? </w:t>
      </w:r>
    </w:p>
    <w:p w14:paraId="0BEB8940" w14:textId="77777777" w:rsidR="008D695B" w:rsidRPr="000E0ADB" w:rsidRDefault="008D695B" w:rsidP="008D695B">
      <w:pPr>
        <w:pStyle w:val="Heading2"/>
      </w:pPr>
      <w:bookmarkStart w:id="92" w:name="_Toc196749512"/>
      <w:bookmarkStart w:id="93" w:name="_Toc196826818"/>
      <w:r>
        <w:lastRenderedPageBreak/>
        <w:t>The “inability to comply” element</w:t>
      </w:r>
      <w:bookmarkEnd w:id="92"/>
      <w:bookmarkEnd w:id="93"/>
    </w:p>
    <w:p w14:paraId="65FD0A67" w14:textId="77777777" w:rsidR="008D695B" w:rsidRDefault="008D695B" w:rsidP="008D695B">
      <w:pPr>
        <w:pStyle w:val="NormalAutoChapter"/>
      </w:pPr>
      <w:r>
        <w:t xml:space="preserve">To prove indirect discrimination, complainants need to show that they </w:t>
      </w:r>
      <w:r w:rsidRPr="00E65CF7">
        <w:t>d</w:t>
      </w:r>
      <w:r>
        <w:t xml:space="preserve">o not, or cannot, </w:t>
      </w:r>
      <w:r w:rsidRPr="00E65CF7">
        <w:t xml:space="preserve">comply </w:t>
      </w:r>
      <w:r>
        <w:t>with the requirement or condition. Some other discrimination laws in Australia also require this.</w:t>
      </w:r>
      <w:r w:rsidRPr="006D3912">
        <w:rPr>
          <w:rStyle w:val="FootnoteReference"/>
        </w:rPr>
        <w:footnoteReference w:id="95"/>
      </w:r>
      <w:r>
        <w:t xml:space="preserve"> </w:t>
      </w:r>
    </w:p>
    <w:p w14:paraId="37850D6D" w14:textId="77777777" w:rsidR="008D695B" w:rsidRDefault="008D695B" w:rsidP="008D695B">
      <w:pPr>
        <w:pStyle w:val="NormalAutoChapter"/>
      </w:pPr>
      <w:r>
        <w:t>However, some recent reviews concluded that this is an unnecessary requirement.</w:t>
      </w:r>
      <w:r>
        <w:rPr>
          <w:rStyle w:val="FootnoteReference"/>
        </w:rPr>
        <w:footnoteReference w:id="96"/>
      </w:r>
      <w:r w:rsidRPr="00DC2583">
        <w:t xml:space="preserve"> </w:t>
      </w:r>
      <w:r>
        <w:t>Generally,</w:t>
      </w:r>
      <w:r w:rsidRPr="005675DD">
        <w:t xml:space="preserve"> the fact that a complainant does</w:t>
      </w:r>
      <w:r>
        <w:t xml:space="preserve"> </w:t>
      </w:r>
      <w:r w:rsidRPr="005675DD">
        <w:t>n</w:t>
      </w:r>
      <w:r>
        <w:t>o</w:t>
      </w:r>
      <w:r w:rsidRPr="005675DD">
        <w:t>t comply with a requirement or condition can be assumed</w:t>
      </w:r>
      <w:r>
        <w:t>. A</w:t>
      </w:r>
      <w:r w:rsidRPr="005675DD">
        <w:t>nyone who does comply would be unlikely to seek to challenge it</w:t>
      </w:r>
      <w:r>
        <w:t>.</w:t>
      </w:r>
      <w:r>
        <w:rPr>
          <w:rStyle w:val="FootnoteReference"/>
        </w:rPr>
        <w:footnoteReference w:id="97"/>
      </w:r>
    </w:p>
    <w:p w14:paraId="0660D9AE" w14:textId="77777777" w:rsidR="008D695B" w:rsidRDefault="008D695B" w:rsidP="008D695B">
      <w:pPr>
        <w:pStyle w:val="NormalAutoChapter"/>
      </w:pPr>
      <w:r>
        <w:t>The Queensland Human Rights Commission (QHRC) was concerned that the term “</w:t>
      </w:r>
      <w:r w:rsidRPr="00F509C0">
        <w:t>not able to comply</w:t>
      </w:r>
      <w:r>
        <w:t xml:space="preserve">” might be interpreted literally. This could exclude complainants who </w:t>
      </w:r>
      <w:proofErr w:type="gramStart"/>
      <w:r>
        <w:t>are capable of complying</w:t>
      </w:r>
      <w:proofErr w:type="gramEnd"/>
      <w:r>
        <w:t xml:space="preserve"> but </w:t>
      </w:r>
      <w:r w:rsidRPr="00C5646E">
        <w:rPr>
          <w:szCs w:val="22"/>
        </w:rPr>
        <w:t>choo</w:t>
      </w:r>
      <w:r>
        <w:rPr>
          <w:szCs w:val="22"/>
        </w:rPr>
        <w:t>s</w:t>
      </w:r>
      <w:r w:rsidRPr="00C5646E">
        <w:rPr>
          <w:szCs w:val="22"/>
        </w:rPr>
        <w:t xml:space="preserve">e not to </w:t>
      </w:r>
      <w:r>
        <w:rPr>
          <w:szCs w:val="22"/>
        </w:rPr>
        <w:t xml:space="preserve">because the </w:t>
      </w:r>
      <w:r w:rsidRPr="00C5646E">
        <w:rPr>
          <w:szCs w:val="22"/>
        </w:rPr>
        <w:t>requirement would be detrimental to them.</w:t>
      </w:r>
      <w:r w:rsidRPr="00904B0F">
        <w:rPr>
          <w:rStyle w:val="FootnoteReference"/>
          <w:sz w:val="22"/>
          <w:szCs w:val="22"/>
        </w:rPr>
        <w:footnoteReference w:id="98"/>
      </w:r>
      <w:r>
        <w:t xml:space="preserve"> </w:t>
      </w:r>
    </w:p>
    <w:p w14:paraId="4C8B9BD6" w14:textId="77777777" w:rsidR="008D695B" w:rsidRDefault="008D695B" w:rsidP="008D695B">
      <w:pPr>
        <w:pStyle w:val="NormalAutoChapter"/>
      </w:pPr>
      <w:r>
        <w:t xml:space="preserve">This requirement is not part of the test for indirect discrimination in the ACT, Victoria, Tasmania or the </w:t>
      </w:r>
      <w:r w:rsidRPr="004D4CF8">
        <w:rPr>
          <w:i/>
          <w:iCs/>
        </w:rPr>
        <w:t>Sex Discrimination Act</w:t>
      </w:r>
      <w:r>
        <w:rPr>
          <w:i/>
          <w:iCs/>
        </w:rPr>
        <w:t xml:space="preserve"> 1984 </w:t>
      </w:r>
      <w:r w:rsidRPr="003B3782">
        <w:t>(Cth)</w:t>
      </w:r>
      <w:r>
        <w:t>.</w:t>
      </w:r>
      <w:r w:rsidRPr="00A0490F">
        <w:rPr>
          <w:rStyle w:val="FootnoteReference"/>
        </w:rPr>
        <w:footnoteReference w:id="99"/>
      </w:r>
      <w:r>
        <w:t xml:space="preserve"> </w:t>
      </w:r>
    </w:p>
    <w:p w14:paraId="22E6405A" w14:textId="77777777" w:rsidR="008D695B" w:rsidRDefault="008D695B" w:rsidP="008D695B">
      <w:pPr>
        <w:pStyle w:val="NormalAutoChapter"/>
      </w:pPr>
      <w:r>
        <w:t>This may be another argument in support of a “disadvantage” test</w:t>
      </w:r>
      <w:r w:rsidRPr="005859ED">
        <w:t>,</w:t>
      </w:r>
      <w:r>
        <w:t xml:space="preserve"> which does not require complainants to prove they are unable to comply with a requirement or condition.</w:t>
      </w:r>
      <w:r>
        <w:rPr>
          <w:rStyle w:val="FootnoteReference"/>
        </w:rPr>
        <w:footnoteReference w:id="100"/>
      </w:r>
      <w:r>
        <w:t xml:space="preserve"> </w:t>
      </w:r>
    </w:p>
    <w:p w14:paraId="763F8DD7" w14:textId="77777777" w:rsidR="008D695B" w:rsidRPr="00E020E0" w:rsidRDefault="008D695B" w:rsidP="008D695B">
      <w:pPr>
        <w:pStyle w:val="Recommendationheading"/>
      </w:pPr>
      <w:r w:rsidRPr="00E020E0">
        <w:t>Question 3.3: Indirect discrimination and inability to comply</w:t>
      </w:r>
    </w:p>
    <w:p w14:paraId="7F316671" w14:textId="77777777" w:rsidR="008D695B" w:rsidRPr="00E020E0" w:rsidRDefault="008D695B" w:rsidP="008D695B">
      <w:pPr>
        <w:pStyle w:val="Recommendationnormal"/>
      </w:pPr>
      <w:r w:rsidRPr="00E020E0">
        <w:t>What are your views on the “not able to comply” part of the indirect discrimination test? Should this part of the test be removed? Why or why not?</w:t>
      </w:r>
    </w:p>
    <w:p w14:paraId="2533E846" w14:textId="77777777" w:rsidR="008D695B" w:rsidRDefault="008D695B" w:rsidP="008D695B">
      <w:pPr>
        <w:pStyle w:val="Heading2"/>
      </w:pPr>
      <w:bookmarkStart w:id="94" w:name="_Toc196749513"/>
      <w:bookmarkStart w:id="95" w:name="_Toc196826819"/>
      <w:r>
        <w:lastRenderedPageBreak/>
        <w:t>The “reasonableness” standard</w:t>
      </w:r>
      <w:bookmarkEnd w:id="94"/>
      <w:bookmarkEnd w:id="95"/>
    </w:p>
    <w:p w14:paraId="53629C92" w14:textId="77777777" w:rsidR="008D695B" w:rsidRDefault="008D695B" w:rsidP="008D695B">
      <w:pPr>
        <w:pStyle w:val="NormalAutoChapter"/>
        <w:rPr>
          <w:lang w:eastAsia="en-US"/>
        </w:rPr>
      </w:pPr>
      <w:r>
        <w:rPr>
          <w:lang w:eastAsia="en-US"/>
        </w:rPr>
        <w:t xml:space="preserve">To prove indirect discrimination, the </w:t>
      </w:r>
      <w:r w:rsidRPr="00E233CE">
        <w:rPr>
          <w:lang w:eastAsia="en-US"/>
        </w:rPr>
        <w:t xml:space="preserve">complainant </w:t>
      </w:r>
      <w:r>
        <w:rPr>
          <w:lang w:eastAsia="en-US"/>
        </w:rPr>
        <w:t xml:space="preserve">must also show </w:t>
      </w:r>
      <w:r w:rsidRPr="00E233CE">
        <w:rPr>
          <w:lang w:eastAsia="en-US"/>
        </w:rPr>
        <w:t xml:space="preserve">that </w:t>
      </w:r>
      <w:r>
        <w:rPr>
          <w:lang w:eastAsia="en-US"/>
        </w:rPr>
        <w:t>the</w:t>
      </w:r>
      <w:r w:rsidRPr="00E233CE">
        <w:rPr>
          <w:lang w:eastAsia="en-US"/>
        </w:rPr>
        <w:t xml:space="preserve"> requirement is “</w:t>
      </w:r>
      <w:r w:rsidRPr="0027468E">
        <w:rPr>
          <w:lang w:eastAsia="en-US"/>
        </w:rPr>
        <w:t>not reasonable having regard to the circumstances of the case</w:t>
      </w:r>
      <w:r>
        <w:rPr>
          <w:lang w:eastAsia="en-US"/>
        </w:rPr>
        <w:t>”</w:t>
      </w:r>
      <w:r w:rsidRPr="000E6BA7">
        <w:t>.</w:t>
      </w:r>
      <w:r w:rsidRPr="000E6BA7">
        <w:rPr>
          <w:rStyle w:val="FootnoteReference"/>
        </w:rPr>
        <w:footnoteReference w:id="101"/>
      </w:r>
      <w:r w:rsidRPr="000E6BA7">
        <w:t xml:space="preserve"> </w:t>
      </w:r>
    </w:p>
    <w:p w14:paraId="091D7066" w14:textId="77777777" w:rsidR="008D695B" w:rsidRDefault="008D695B" w:rsidP="008D695B">
      <w:pPr>
        <w:pStyle w:val="NormalAutoChapter"/>
        <w:rPr>
          <w:lang w:eastAsia="en-US"/>
        </w:rPr>
      </w:pPr>
      <w:r>
        <w:rPr>
          <w:lang w:eastAsia="en-US"/>
        </w:rPr>
        <w:t>Other Australian discrimination laws, even those that use a disadvantage test, incorporate a reasonableness element. But, unlike the ADA, many other discrimination laws place the onus on the respondent to prove that a requirement it imposed was reasonable.</w:t>
      </w:r>
      <w:r w:rsidRPr="00234358">
        <w:rPr>
          <w:rStyle w:val="FootnoteReference"/>
          <w:color w:val="auto"/>
        </w:rPr>
        <w:footnoteReference w:id="102"/>
      </w:r>
      <w:r w:rsidRPr="00825F57">
        <w:rPr>
          <w:color w:val="auto"/>
        </w:rPr>
        <w:t xml:space="preserve"> </w:t>
      </w:r>
    </w:p>
    <w:p w14:paraId="496DA6FC" w14:textId="77777777" w:rsidR="008D695B" w:rsidRDefault="008D695B" w:rsidP="008D695B">
      <w:pPr>
        <w:pStyle w:val="NormalAutoChapter"/>
        <w:rPr>
          <w:lang w:eastAsia="en-US"/>
        </w:rPr>
      </w:pPr>
      <w:r>
        <w:rPr>
          <w:lang w:eastAsia="en-US"/>
        </w:rPr>
        <w:t xml:space="preserve">We have heard concerns about the use of a reasonableness test, including that it is ambiguous and insufficiently stringent. Other reviews have also questioned its use, finding that it is </w:t>
      </w:r>
      <w:r>
        <w:t>vague and open to different interpretations.</w:t>
      </w:r>
      <w:r>
        <w:rPr>
          <w:rStyle w:val="FootnoteReference"/>
          <w:lang w:eastAsia="en-US"/>
        </w:rPr>
        <w:footnoteReference w:id="103"/>
      </w:r>
      <w:r>
        <w:t xml:space="preserve"> We set out some reform options, for consideration, below. </w:t>
      </w:r>
    </w:p>
    <w:p w14:paraId="0EABF8A7" w14:textId="77777777" w:rsidR="008D695B" w:rsidRPr="004467B8" w:rsidRDefault="008D695B" w:rsidP="008D695B">
      <w:pPr>
        <w:pStyle w:val="Heading3"/>
      </w:pPr>
      <w:r>
        <w:t>F</w:t>
      </w:r>
      <w:r w:rsidRPr="004467B8">
        <w:t>actors relevant to “reasonableness”</w:t>
      </w:r>
    </w:p>
    <w:p w14:paraId="766ECFBE" w14:textId="77777777" w:rsidR="008D695B" w:rsidRDefault="008D695B" w:rsidP="008D695B">
      <w:pPr>
        <w:pStyle w:val="NormalAutoChapter"/>
        <w:rPr>
          <w:lang w:eastAsia="en-US"/>
        </w:rPr>
      </w:pPr>
      <w:r>
        <w:t xml:space="preserve">To address this, an option could be to list factors to consider when determining whether a requirement is reasonable. </w:t>
      </w:r>
    </w:p>
    <w:p w14:paraId="1424AB41" w14:textId="77777777" w:rsidR="008D695B" w:rsidRDefault="008D695B" w:rsidP="008D695B">
      <w:pPr>
        <w:pStyle w:val="NormalAutoChapter"/>
        <w:rPr>
          <w:lang w:eastAsia="en-US"/>
        </w:rPr>
      </w:pPr>
      <w:r>
        <w:rPr>
          <w:lang w:eastAsia="en-US"/>
        </w:rPr>
        <w:t>The ADA does not list such factors. Under the ADA, whether a requirement is reasonable depends on the circumstances. However, some NSW tribunal decisions have indicated factors that may be relevant in a particular case.</w:t>
      </w:r>
      <w:r>
        <w:rPr>
          <w:rStyle w:val="FootnoteReference"/>
          <w:lang w:eastAsia="en-US"/>
        </w:rPr>
        <w:footnoteReference w:id="104"/>
      </w:r>
      <w:r>
        <w:rPr>
          <w:lang w:eastAsia="en-US"/>
        </w:rPr>
        <w:t xml:space="preserve"> </w:t>
      </w:r>
      <w:r>
        <w:t xml:space="preserve">For example, </w:t>
      </w:r>
      <w:r>
        <w:rPr>
          <w:lang w:eastAsia="en-US"/>
        </w:rPr>
        <w:t>this may include the:</w:t>
      </w:r>
    </w:p>
    <w:p w14:paraId="5DCAA092" w14:textId="77777777" w:rsidR="008D695B" w:rsidRDefault="008D695B" w:rsidP="008D695B">
      <w:pPr>
        <w:pStyle w:val="Normalbullet"/>
      </w:pPr>
      <w:r>
        <w:t>financial or economic circumstances of the respondent</w:t>
      </w:r>
    </w:p>
    <w:p w14:paraId="417EF793" w14:textId="77777777" w:rsidR="008D695B" w:rsidRDefault="008D695B" w:rsidP="008D695B">
      <w:pPr>
        <w:pStyle w:val="Normalbullet"/>
      </w:pPr>
      <w:r>
        <w:t xml:space="preserve">ability of the respondent to accommodate the needs of the complainants, and </w:t>
      </w:r>
    </w:p>
    <w:p w14:paraId="3EECA9E1" w14:textId="77777777" w:rsidR="008D695B" w:rsidRDefault="008D695B" w:rsidP="008D695B">
      <w:pPr>
        <w:pStyle w:val="Normalbullet"/>
      </w:pPr>
      <w:r>
        <w:t>the availability of alternative approaches which would achieve the objectives of the respondent, in a less discriminatory way.</w:t>
      </w:r>
      <w:r>
        <w:rPr>
          <w:rStyle w:val="FootnoteReference"/>
        </w:rPr>
        <w:footnoteReference w:id="105"/>
      </w:r>
    </w:p>
    <w:p w14:paraId="183DF0A9" w14:textId="77777777" w:rsidR="008D695B" w:rsidRDefault="008D695B" w:rsidP="008D695B">
      <w:pPr>
        <w:pStyle w:val="NormalAutoChapter"/>
        <w:rPr>
          <w:lang w:eastAsia="en-US"/>
        </w:rPr>
      </w:pPr>
      <w:r>
        <w:rPr>
          <w:lang w:eastAsia="en-US"/>
        </w:rPr>
        <w:lastRenderedPageBreak/>
        <w:t>Other discrimination laws give more guidance</w:t>
      </w:r>
      <w:r>
        <w:t>.</w:t>
      </w:r>
      <w:r>
        <w:rPr>
          <w:rStyle w:val="FootnoteReference"/>
          <w:lang w:eastAsia="en-US"/>
        </w:rPr>
        <w:footnoteReference w:id="106"/>
      </w:r>
      <w:r>
        <w:rPr>
          <w:lang w:eastAsia="en-US"/>
        </w:rPr>
        <w:t xml:space="preserve"> In Victoria, whether a requirement, condition or practice is reasonable depends on all the relevant circumstances, including</w:t>
      </w:r>
      <w:r>
        <w:t xml:space="preserve">: </w:t>
      </w:r>
    </w:p>
    <w:p w14:paraId="1B4647A8" w14:textId="77777777" w:rsidR="008D695B" w:rsidRPr="00FD73C7" w:rsidRDefault="008D695B" w:rsidP="008D695B">
      <w:pPr>
        <w:pStyle w:val="Normalbullet"/>
      </w:pPr>
      <w:r w:rsidRPr="00FD73C7">
        <w:t>the nature and extent of the disadvantage resulting from its imposition, or proposed imposition</w:t>
      </w:r>
    </w:p>
    <w:p w14:paraId="7237BDB6" w14:textId="77777777" w:rsidR="008D695B" w:rsidRPr="00FD73C7" w:rsidRDefault="008D695B" w:rsidP="008D695B">
      <w:pPr>
        <w:pStyle w:val="Normalbullet"/>
      </w:pPr>
      <w:r w:rsidRPr="00FD73C7">
        <w:t xml:space="preserve">whether the disadvantage is proportionate to the result sought by the </w:t>
      </w:r>
      <w:r>
        <w:t>duty-holder</w:t>
      </w:r>
      <w:r w:rsidRPr="00FD73C7">
        <w:t xml:space="preserve"> who seeks or proposes to impose it</w:t>
      </w:r>
    </w:p>
    <w:p w14:paraId="5F75EC78" w14:textId="77777777" w:rsidR="008D695B" w:rsidRPr="00FD73C7" w:rsidRDefault="008D695B" w:rsidP="008D695B">
      <w:pPr>
        <w:pStyle w:val="Normalbullet"/>
      </w:pPr>
      <w:r w:rsidRPr="00FD73C7">
        <w:t xml:space="preserve">the cost of any alternative </w:t>
      </w:r>
    </w:p>
    <w:p w14:paraId="49FDB373" w14:textId="77777777" w:rsidR="008D695B" w:rsidRPr="00FD73C7" w:rsidRDefault="008D695B" w:rsidP="008D695B">
      <w:pPr>
        <w:pStyle w:val="Normalbullet"/>
      </w:pPr>
      <w:r w:rsidRPr="00FD73C7">
        <w:t xml:space="preserve">the financial circumstances of the </w:t>
      </w:r>
      <w:r>
        <w:t>duty-holder</w:t>
      </w:r>
      <w:r w:rsidRPr="00FD73C7">
        <w:t xml:space="preserve"> imposing it, or proposing to, and</w:t>
      </w:r>
    </w:p>
    <w:p w14:paraId="24DA2649" w14:textId="77777777" w:rsidR="008D695B" w:rsidRPr="00FD73C7" w:rsidRDefault="008D695B" w:rsidP="008D695B">
      <w:pPr>
        <w:pStyle w:val="Normalbullet"/>
      </w:pPr>
      <w:r w:rsidRPr="00FD73C7">
        <w:t>whether reasonable adjustments or reasonable accommodation could be made to reduce the disadvantage caused.</w:t>
      </w:r>
      <w:r w:rsidRPr="00FD73C7">
        <w:rPr>
          <w:rStyle w:val="FootnoteReference"/>
          <w:sz w:val="22"/>
        </w:rPr>
        <w:footnoteReference w:id="107"/>
      </w:r>
    </w:p>
    <w:p w14:paraId="5FFB7A63" w14:textId="77777777" w:rsidR="008D695B" w:rsidRDefault="008D695B" w:rsidP="008D695B">
      <w:pPr>
        <w:pStyle w:val="NormalAutoChapter"/>
        <w:rPr>
          <w:lang w:eastAsia="en-US"/>
        </w:rPr>
      </w:pPr>
      <w:r>
        <w:t xml:space="preserve">A recent review in WA recommended </w:t>
      </w:r>
      <w:r>
        <w:rPr>
          <w:szCs w:val="22"/>
        </w:rPr>
        <w:t>an</w:t>
      </w:r>
      <w:r w:rsidRPr="00670CAF">
        <w:rPr>
          <w:szCs w:val="22"/>
        </w:rPr>
        <w:t xml:space="preserve"> approach</w:t>
      </w:r>
      <w:r>
        <w:rPr>
          <w:szCs w:val="22"/>
        </w:rPr>
        <w:t xml:space="preserve"> modelled on Victoria</w:t>
      </w:r>
      <w:r w:rsidRPr="00670CAF">
        <w:rPr>
          <w:szCs w:val="22"/>
        </w:rPr>
        <w:t>.</w:t>
      </w:r>
      <w:r w:rsidRPr="00670CAF">
        <w:rPr>
          <w:rStyle w:val="FootnoteReference"/>
          <w:sz w:val="22"/>
          <w:szCs w:val="22"/>
        </w:rPr>
        <w:footnoteReference w:id="108"/>
      </w:r>
      <w:r w:rsidRPr="00670CAF">
        <w:rPr>
          <w:szCs w:val="22"/>
        </w:rPr>
        <w:t xml:space="preserve"> </w:t>
      </w:r>
      <w:r>
        <w:t>T</w:t>
      </w:r>
      <w:r w:rsidRPr="00810819">
        <w:t xml:space="preserve">he </w:t>
      </w:r>
      <w:r>
        <w:t>NSW</w:t>
      </w:r>
      <w:r w:rsidRPr="00810819">
        <w:t xml:space="preserve">LRC also supported </w:t>
      </w:r>
      <w:r>
        <w:t xml:space="preserve">a similar </w:t>
      </w:r>
      <w:r w:rsidRPr="00810819">
        <w:t>approach in 1999</w:t>
      </w:r>
      <w:r>
        <w:t>.</w:t>
      </w:r>
      <w:r w:rsidRPr="0092250C">
        <w:rPr>
          <w:rStyle w:val="FootnoteReference"/>
          <w:lang w:eastAsia="en-US"/>
        </w:rPr>
        <w:footnoteReference w:id="109"/>
      </w:r>
    </w:p>
    <w:p w14:paraId="4D9306D3" w14:textId="77777777" w:rsidR="008D695B" w:rsidRPr="00236382" w:rsidRDefault="008D695B" w:rsidP="008D695B">
      <w:pPr>
        <w:pStyle w:val="Heading3"/>
      </w:pPr>
      <w:r>
        <w:t xml:space="preserve">A proportionality test </w:t>
      </w:r>
    </w:p>
    <w:p w14:paraId="1C79A4D8" w14:textId="77777777" w:rsidR="008D695B" w:rsidRPr="00D1158D" w:rsidRDefault="008D695B" w:rsidP="008D695B">
      <w:pPr>
        <w:pStyle w:val="NormalAutoChapter"/>
      </w:pPr>
      <w:r>
        <w:rPr>
          <w:szCs w:val="22"/>
          <w:lang w:eastAsia="en-US"/>
        </w:rPr>
        <w:t xml:space="preserve">Another </w:t>
      </w:r>
      <w:r w:rsidRPr="001B12C4">
        <w:rPr>
          <w:szCs w:val="22"/>
          <w:lang w:eastAsia="en-US"/>
        </w:rPr>
        <w:t xml:space="preserve">option </w:t>
      </w:r>
      <w:r>
        <w:rPr>
          <w:szCs w:val="22"/>
          <w:lang w:eastAsia="en-US"/>
        </w:rPr>
        <w:t>could be</w:t>
      </w:r>
      <w:r w:rsidRPr="001B12C4">
        <w:rPr>
          <w:szCs w:val="22"/>
          <w:lang w:eastAsia="en-US"/>
        </w:rPr>
        <w:t xml:space="preserve"> </w:t>
      </w:r>
      <w:r>
        <w:rPr>
          <w:szCs w:val="22"/>
          <w:lang w:eastAsia="en-US"/>
        </w:rPr>
        <w:t>to replace</w:t>
      </w:r>
      <w:r w:rsidRPr="001B12C4">
        <w:rPr>
          <w:szCs w:val="22"/>
          <w:lang w:eastAsia="en-US"/>
        </w:rPr>
        <w:t xml:space="preserve"> reasonableness with a proportionality test</w:t>
      </w:r>
      <w:r>
        <w:rPr>
          <w:szCs w:val="22"/>
          <w:lang w:eastAsia="en-US"/>
        </w:rPr>
        <w:t xml:space="preserve">. This would assess whether a requirement or condition is a proportionate means of achieving a legitimate aim. </w:t>
      </w:r>
      <w:r w:rsidRPr="001730DA">
        <w:rPr>
          <w:szCs w:val="22"/>
        </w:rPr>
        <w:t xml:space="preserve">Some </w:t>
      </w:r>
      <w:r>
        <w:rPr>
          <w:szCs w:val="22"/>
        </w:rPr>
        <w:t>think</w:t>
      </w:r>
      <w:r w:rsidRPr="001730DA">
        <w:rPr>
          <w:szCs w:val="22"/>
        </w:rPr>
        <w:t xml:space="preserve"> a proportionality test </w:t>
      </w:r>
      <w:r>
        <w:rPr>
          <w:szCs w:val="22"/>
        </w:rPr>
        <w:t>is a better way of balancing the interests of someone with a protected attribute, and the legitimate activities of organisations.</w:t>
      </w:r>
    </w:p>
    <w:p w14:paraId="01B5C44B" w14:textId="77777777" w:rsidR="008D695B" w:rsidRPr="00B01929" w:rsidRDefault="008D695B" w:rsidP="008D695B">
      <w:pPr>
        <w:pStyle w:val="NormalAutoChapter"/>
      </w:pPr>
      <w:r>
        <w:rPr>
          <w:szCs w:val="22"/>
          <w:lang w:eastAsia="en-US"/>
        </w:rPr>
        <w:t>T</w:t>
      </w:r>
      <w:r>
        <w:rPr>
          <w:lang w:eastAsia="en-US"/>
        </w:rPr>
        <w:t xml:space="preserve">he </w:t>
      </w:r>
      <w:r w:rsidRPr="001B12C4">
        <w:rPr>
          <w:i/>
          <w:iCs/>
          <w:lang w:eastAsia="en-US"/>
        </w:rPr>
        <w:t>Equality Act 2010</w:t>
      </w:r>
      <w:r>
        <w:rPr>
          <w:lang w:eastAsia="en-US"/>
        </w:rPr>
        <w:t xml:space="preserve"> (UK) has a proportionality test. It requires an </w:t>
      </w:r>
      <w:r>
        <w:t xml:space="preserve">assessment of whether a </w:t>
      </w:r>
      <w:r w:rsidRPr="001B12C4">
        <w:rPr>
          <w:szCs w:val="22"/>
        </w:rPr>
        <w:t>requirement or a condition is “a proportionate means of achieving a legitimate aim”.</w:t>
      </w:r>
      <w:r w:rsidRPr="00881CB1">
        <w:rPr>
          <w:rStyle w:val="FootnoteReference"/>
          <w:sz w:val="22"/>
          <w:szCs w:val="22"/>
        </w:rPr>
        <w:footnoteReference w:id="110"/>
      </w:r>
      <w:r w:rsidRPr="001B12C4">
        <w:rPr>
          <w:szCs w:val="22"/>
        </w:rPr>
        <w:t xml:space="preserve"> </w:t>
      </w:r>
    </w:p>
    <w:p w14:paraId="35383236" w14:textId="77777777" w:rsidR="008D695B" w:rsidRDefault="008D695B" w:rsidP="008D695B">
      <w:pPr>
        <w:pStyle w:val="NormalAutoChapter"/>
      </w:pPr>
      <w:r>
        <w:rPr>
          <w:szCs w:val="22"/>
        </w:rPr>
        <w:t>Some</w:t>
      </w:r>
      <w:r w:rsidRPr="001730DA">
        <w:rPr>
          <w:szCs w:val="22"/>
        </w:rPr>
        <w:t xml:space="preserve"> reviews of federal discrimination law have also supported consideration of a </w:t>
      </w:r>
      <w:r>
        <w:rPr>
          <w:szCs w:val="22"/>
        </w:rPr>
        <w:t>“</w:t>
      </w:r>
      <w:r w:rsidRPr="001730DA">
        <w:rPr>
          <w:szCs w:val="22"/>
        </w:rPr>
        <w:t>l</w:t>
      </w:r>
      <w:r>
        <w:t>egitimate and proportionate” test. The Australian Human Rights Commission (AHRC) stated that it “would enable more rigour and specificity” than the reasonableness test.</w:t>
      </w:r>
      <w:r>
        <w:rPr>
          <w:rStyle w:val="FootnoteReference"/>
          <w:lang w:eastAsia="en-US"/>
        </w:rPr>
        <w:footnoteReference w:id="111"/>
      </w:r>
      <w:r>
        <w:t xml:space="preserve"> </w:t>
      </w:r>
    </w:p>
    <w:p w14:paraId="47EB079A" w14:textId="77777777" w:rsidR="008D695B" w:rsidRDefault="008D695B" w:rsidP="008D695B">
      <w:pPr>
        <w:pStyle w:val="NormalAutoChapter"/>
      </w:pPr>
      <w:r>
        <w:lastRenderedPageBreak/>
        <w:t>However, the QHRC recommended against introducing proportionality into the test for indirect discrimination. It considered that proportionality would be too onerous and complex for respondents to understand and apply.</w:t>
      </w:r>
      <w:r>
        <w:rPr>
          <w:rStyle w:val="FootnoteReference"/>
        </w:rPr>
        <w:footnoteReference w:id="112"/>
      </w:r>
    </w:p>
    <w:p w14:paraId="1E8F8274" w14:textId="77777777" w:rsidR="008D695B" w:rsidRDefault="008D695B" w:rsidP="008D695B">
      <w:pPr>
        <w:pStyle w:val="Heading3"/>
      </w:pPr>
      <w:r>
        <w:t>Systemic discrimination</w:t>
      </w:r>
    </w:p>
    <w:p w14:paraId="028C5803" w14:textId="77777777" w:rsidR="008D695B" w:rsidRDefault="008D695B" w:rsidP="008D695B">
      <w:pPr>
        <w:pStyle w:val="NormalAutoChapter"/>
      </w:pPr>
      <w:r>
        <w:rPr>
          <w:lang w:eastAsia="en-US"/>
        </w:rPr>
        <w:t xml:space="preserve">The reasonableness standard does not address systemic discrimination. </w:t>
      </w:r>
      <w:r w:rsidRPr="009B3728">
        <w:t xml:space="preserve">Whether a requirement is reasonable is </w:t>
      </w:r>
      <w:r w:rsidRPr="00C53829">
        <w:t>measured at a particular point in time and for a specific group</w:t>
      </w:r>
      <w:r w:rsidRPr="009B3728">
        <w:t xml:space="preserve">. </w:t>
      </w:r>
      <w:r>
        <w:t xml:space="preserve">But some argue that a </w:t>
      </w:r>
      <w:r w:rsidRPr="00C53829">
        <w:t xml:space="preserve">failure to change systemic barriers or practices </w:t>
      </w:r>
      <w:r>
        <w:t xml:space="preserve">should </w:t>
      </w:r>
      <w:r w:rsidRPr="00C53829">
        <w:t>itself be considered a form of discrimination</w:t>
      </w:r>
      <w:r>
        <w:t xml:space="preserve">. </w:t>
      </w:r>
    </w:p>
    <w:p w14:paraId="5D192396" w14:textId="77777777" w:rsidR="008D695B" w:rsidRPr="00722CEF" w:rsidRDefault="008D695B" w:rsidP="008D695B">
      <w:pPr>
        <w:pStyle w:val="NormalAutoChapter"/>
      </w:pPr>
      <w:r>
        <w:t xml:space="preserve">This could be addressed by requiring duty holders to take steps to </w:t>
      </w:r>
      <w:r>
        <w:rPr>
          <w:lang w:eastAsia="en-US"/>
        </w:rPr>
        <w:t xml:space="preserve">prevent or eliminate unlawful conduct, including discrimination. </w:t>
      </w:r>
      <w:r>
        <w:t xml:space="preserve">We discuss this in </w:t>
      </w:r>
      <w:r w:rsidRPr="00EE1E6B">
        <w:t>chapter 11.</w:t>
      </w:r>
      <w:r>
        <w:t xml:space="preserve"> </w:t>
      </w:r>
    </w:p>
    <w:p w14:paraId="287709B0" w14:textId="77777777" w:rsidR="008D695B" w:rsidRPr="00214DBD" w:rsidRDefault="008D695B" w:rsidP="008D695B">
      <w:pPr>
        <w:pStyle w:val="Recommendationheading"/>
      </w:pPr>
      <w:r w:rsidRPr="00214DBD">
        <w:t>Question 3.4: Indirect discrimination and the reasonableness standard</w:t>
      </w:r>
    </w:p>
    <w:p w14:paraId="79BB6765" w14:textId="77777777" w:rsidR="008D695B" w:rsidRPr="00214DBD" w:rsidRDefault="008D695B" w:rsidP="008D695B">
      <w:pPr>
        <w:pStyle w:val="Recommendationhanging1"/>
      </w:pPr>
      <w:r w:rsidRPr="00214DBD">
        <w:t xml:space="preserve">(1) </w:t>
      </w:r>
      <w:r w:rsidRPr="00214DBD">
        <w:tab/>
        <w:t xml:space="preserve">Should the reasonableness standard be part of the test for indirect discrimination? If not, what should replace it?  </w:t>
      </w:r>
    </w:p>
    <w:p w14:paraId="257A9251" w14:textId="77777777" w:rsidR="008D695B" w:rsidRPr="00214DBD" w:rsidRDefault="008D695B" w:rsidP="008D695B">
      <w:pPr>
        <w:pStyle w:val="Recommendationhanging1"/>
      </w:pPr>
      <w:r w:rsidRPr="00214DBD">
        <w:t>(2)</w:t>
      </w:r>
      <w:r w:rsidRPr="00214DBD">
        <w:tab/>
        <w:t>Should the ADA set out the factors to be considered in determining reasonableness? Why or why not? If so, what should they be?</w:t>
      </w:r>
    </w:p>
    <w:p w14:paraId="6A4BF461" w14:textId="77777777" w:rsidR="008D695B" w:rsidRDefault="008D695B" w:rsidP="008D695B">
      <w:pPr>
        <w:pStyle w:val="Heading2"/>
      </w:pPr>
      <w:bookmarkStart w:id="97" w:name="_Toc196749514"/>
      <w:bookmarkStart w:id="98" w:name="_Toc196826820"/>
      <w:r>
        <w:t>Indirect discrimination based on characteristics</w:t>
      </w:r>
      <w:bookmarkEnd w:id="97"/>
      <w:bookmarkEnd w:id="98"/>
      <w:r>
        <w:t xml:space="preserve"> </w:t>
      </w:r>
    </w:p>
    <w:p w14:paraId="7EEB2DF6" w14:textId="77777777" w:rsidR="008D695B" w:rsidRDefault="008D695B" w:rsidP="008D695B">
      <w:pPr>
        <w:pStyle w:val="NormalAutoChapter"/>
      </w:pPr>
      <w:r>
        <w:t xml:space="preserve">As we note above, the test for direct discrimination protects against discrimination based on characteristics that people with a protected attribute either generally have or are presumed to have. However, this does not apply to indirect discrimination. </w:t>
      </w:r>
    </w:p>
    <w:p w14:paraId="1F4F38D2" w14:textId="77777777" w:rsidR="008D695B" w:rsidRDefault="008D695B" w:rsidP="008D695B">
      <w:pPr>
        <w:pStyle w:val="NormalAutoChapter"/>
      </w:pPr>
      <w:r>
        <w:t>Some other states and territories do not make this distinction.</w:t>
      </w:r>
      <w:r>
        <w:rPr>
          <w:rStyle w:val="FootnoteReference"/>
        </w:rPr>
        <w:footnoteReference w:id="113"/>
      </w:r>
      <w:r>
        <w:t xml:space="preserve"> </w:t>
      </w:r>
    </w:p>
    <w:p w14:paraId="3D438CE8" w14:textId="77777777" w:rsidR="008D695B" w:rsidRDefault="008D695B" w:rsidP="008D695B">
      <w:pPr>
        <w:pStyle w:val="NormalAutoChapter"/>
      </w:pPr>
      <w:r>
        <w:t>To address this, an option could be to change the way protected attributes are defined. In the ACT, for example, a protected attribute is defined to include “a characteristic that people with the attribute generally have” and “a characteristic that people with the attribute are generally presumed to have”.</w:t>
      </w:r>
      <w:r>
        <w:rPr>
          <w:rStyle w:val="FootnoteReference"/>
        </w:rPr>
        <w:footnoteReference w:id="114"/>
      </w:r>
      <w:r>
        <w:t xml:space="preserve"> The Law Reform Commission of WA (LRCWA) recommended a similar approach. In its view, it should never be lawful to discriminate based on attributes or characteristics.</w:t>
      </w:r>
      <w:r>
        <w:rPr>
          <w:rStyle w:val="FootnoteReference"/>
        </w:rPr>
        <w:footnoteReference w:id="115"/>
      </w:r>
      <w:r>
        <w:t xml:space="preserve">  </w:t>
      </w:r>
    </w:p>
    <w:p w14:paraId="63817818" w14:textId="77777777" w:rsidR="008D695B" w:rsidRPr="005740B5" w:rsidRDefault="008D695B" w:rsidP="008D695B">
      <w:pPr>
        <w:pStyle w:val="Recommendationheading"/>
      </w:pPr>
      <w:r w:rsidRPr="005740B5">
        <w:lastRenderedPageBreak/>
        <w:t>Question 3.5: Indirect discrimination based on a characteristic</w:t>
      </w:r>
    </w:p>
    <w:p w14:paraId="78E92C6C" w14:textId="77777777" w:rsidR="008D695B" w:rsidRPr="005740B5" w:rsidRDefault="008D695B" w:rsidP="008D695B">
      <w:pPr>
        <w:pStyle w:val="Recommendationnormal"/>
      </w:pPr>
      <w:r w:rsidRPr="005740B5">
        <w:t xml:space="preserve">Should the prohibition on indirect discrimination extend to characteristics that people with protected attributes either generally have or are assumed to have? </w:t>
      </w:r>
    </w:p>
    <w:p w14:paraId="245A272B" w14:textId="77777777" w:rsidR="008D695B" w:rsidRDefault="008D695B" w:rsidP="008D695B">
      <w:pPr>
        <w:pStyle w:val="Heading1"/>
      </w:pPr>
      <w:bookmarkStart w:id="99" w:name="_Toc196749515"/>
      <w:bookmarkStart w:id="100" w:name="_Toc196826821"/>
      <w:r>
        <w:t>The burden of proof</w:t>
      </w:r>
      <w:bookmarkEnd w:id="99"/>
      <w:bookmarkEnd w:id="100"/>
    </w:p>
    <w:p w14:paraId="319D60E2" w14:textId="77777777" w:rsidR="008D695B" w:rsidRPr="00F879B8" w:rsidRDefault="008D695B" w:rsidP="008D695B">
      <w:pPr>
        <w:pStyle w:val="NormalAutoChapter"/>
        <w:rPr>
          <w:color w:val="auto"/>
          <w:szCs w:val="22"/>
        </w:rPr>
      </w:pPr>
      <w:r w:rsidRPr="00CB49D6">
        <w:rPr>
          <w:color w:val="auto"/>
          <w:szCs w:val="22"/>
        </w:rPr>
        <w:t xml:space="preserve">In NSW, complainants </w:t>
      </w:r>
      <w:r>
        <w:rPr>
          <w:color w:val="auto"/>
          <w:szCs w:val="22"/>
        </w:rPr>
        <w:t xml:space="preserve">– not respondents – </w:t>
      </w:r>
      <w:r w:rsidRPr="00F879B8">
        <w:rPr>
          <w:color w:val="auto"/>
          <w:szCs w:val="22"/>
        </w:rPr>
        <w:t>must prove each part of the tests for discrimination. That means the complainants have the “burden of proof”.</w:t>
      </w:r>
    </w:p>
    <w:p w14:paraId="7D9A83C8" w14:textId="77777777" w:rsidR="008D695B" w:rsidRPr="00CB49D6" w:rsidRDefault="008D695B" w:rsidP="008D695B">
      <w:pPr>
        <w:pStyle w:val="NormalAutoChapter"/>
        <w:rPr>
          <w:color w:val="auto"/>
          <w:szCs w:val="22"/>
        </w:rPr>
      </w:pPr>
      <w:r w:rsidRPr="00CB49D6">
        <w:rPr>
          <w:color w:val="auto"/>
          <w:szCs w:val="22"/>
        </w:rPr>
        <w:t xml:space="preserve">Discrimination claims must be proved on the balance of probabilities, </w:t>
      </w:r>
      <w:r>
        <w:rPr>
          <w:color w:val="auto"/>
          <w:szCs w:val="22"/>
        </w:rPr>
        <w:t xml:space="preserve">like </w:t>
      </w:r>
      <w:r w:rsidRPr="00CB49D6">
        <w:rPr>
          <w:color w:val="auto"/>
          <w:szCs w:val="22"/>
        </w:rPr>
        <w:t xml:space="preserve">all civil claims. This means that the evidence must show it is more likely than not that the discrimination occurred. </w:t>
      </w:r>
    </w:p>
    <w:p w14:paraId="2BBE8D03" w14:textId="77777777" w:rsidR="008D695B" w:rsidRDefault="008D695B" w:rsidP="008D695B">
      <w:pPr>
        <w:pStyle w:val="NormalAutoChapter"/>
        <w:rPr>
          <w:color w:val="auto"/>
          <w:szCs w:val="22"/>
        </w:rPr>
      </w:pPr>
      <w:r>
        <w:t xml:space="preserve">It can be hard for complainants to gather the evidence they need. </w:t>
      </w:r>
      <w:r>
        <w:rPr>
          <w:color w:val="auto"/>
          <w:szCs w:val="22"/>
        </w:rPr>
        <w:t>They often do not have clear evidence that discrimination occurred, as they do not know why the respondent treated them that way. Instead, they must rely on circumstantial evidence and ask the court to draw an inference of discrimination.</w:t>
      </w:r>
      <w:r>
        <w:rPr>
          <w:rStyle w:val="FootnoteReference"/>
          <w:color w:val="auto"/>
          <w:szCs w:val="22"/>
        </w:rPr>
        <w:footnoteReference w:id="116"/>
      </w:r>
      <w:r>
        <w:rPr>
          <w:color w:val="auto"/>
          <w:szCs w:val="22"/>
        </w:rPr>
        <w:t xml:space="preserve"> </w:t>
      </w:r>
    </w:p>
    <w:p w14:paraId="48348195" w14:textId="77777777" w:rsidR="008D695B" w:rsidRDefault="008D695B" w:rsidP="008D695B">
      <w:pPr>
        <w:pStyle w:val="NormalAutoChapter"/>
        <w:rPr>
          <w:color w:val="auto"/>
          <w:szCs w:val="22"/>
        </w:rPr>
      </w:pPr>
      <w:r w:rsidRPr="00F5042B">
        <w:rPr>
          <w:color w:val="auto"/>
          <w:szCs w:val="22"/>
        </w:rPr>
        <w:t xml:space="preserve">This </w:t>
      </w:r>
      <w:r>
        <w:rPr>
          <w:color w:val="auto"/>
          <w:szCs w:val="22"/>
        </w:rPr>
        <w:t>can</w:t>
      </w:r>
      <w:r w:rsidRPr="00F5042B">
        <w:rPr>
          <w:color w:val="auto"/>
          <w:szCs w:val="22"/>
        </w:rPr>
        <w:t xml:space="preserve"> be particularly complex </w:t>
      </w:r>
      <w:proofErr w:type="gramStart"/>
      <w:r w:rsidRPr="00F5042B">
        <w:rPr>
          <w:color w:val="auto"/>
          <w:szCs w:val="22"/>
        </w:rPr>
        <w:t>whe</w:t>
      </w:r>
      <w:r>
        <w:rPr>
          <w:color w:val="auto"/>
          <w:szCs w:val="22"/>
        </w:rPr>
        <w:t>re</w:t>
      </w:r>
      <w:proofErr w:type="gramEnd"/>
      <w:r>
        <w:rPr>
          <w:color w:val="auto"/>
          <w:szCs w:val="22"/>
        </w:rPr>
        <w:t xml:space="preserve">, for instance: </w:t>
      </w:r>
    </w:p>
    <w:p w14:paraId="215C14A3" w14:textId="77777777" w:rsidR="008D695B" w:rsidRDefault="008D695B" w:rsidP="008D695B">
      <w:pPr>
        <w:pStyle w:val="Normalbullet"/>
      </w:pPr>
      <w:r>
        <w:t>t</w:t>
      </w:r>
      <w:r w:rsidRPr="00F5042B">
        <w:t xml:space="preserve">he discrimination was due to unconscious bias or stereotypical views about people with </w:t>
      </w:r>
      <w:proofErr w:type="gramStart"/>
      <w:r w:rsidRPr="00F5042B">
        <w:t>particular attributes</w:t>
      </w:r>
      <w:proofErr w:type="gramEnd"/>
      <w:r w:rsidRPr="00F5042B">
        <w:t>, and</w:t>
      </w:r>
      <w:r>
        <w:t xml:space="preserve">/or </w:t>
      </w:r>
    </w:p>
    <w:p w14:paraId="64906D15" w14:textId="77777777" w:rsidR="008D695B" w:rsidRPr="00F5042B" w:rsidRDefault="008D695B" w:rsidP="008D695B">
      <w:pPr>
        <w:pStyle w:val="Normalbullet"/>
      </w:pPr>
      <w:r>
        <w:t>where</w:t>
      </w:r>
      <w:r w:rsidRPr="00F5042B">
        <w:t xml:space="preserve"> the respondent does</w:t>
      </w:r>
      <w:r>
        <w:t xml:space="preserve"> not</w:t>
      </w:r>
      <w:r w:rsidRPr="00F5042B">
        <w:t xml:space="preserve"> realise </w:t>
      </w:r>
      <w:r>
        <w:t>their actions or requirements are discriminatory.</w:t>
      </w:r>
    </w:p>
    <w:p w14:paraId="13B59D7E" w14:textId="77777777" w:rsidR="008D695B" w:rsidRPr="006B4B46" w:rsidRDefault="008D695B" w:rsidP="008D695B">
      <w:pPr>
        <w:pStyle w:val="NormalAutoChapter"/>
        <w:rPr>
          <w:color w:val="auto"/>
          <w:szCs w:val="22"/>
        </w:rPr>
      </w:pPr>
      <w:r>
        <w:t>For instance, it can be hard to prove causation when only the respondent knows why they acted a certain way or made a certain decision.</w:t>
      </w:r>
      <w:r>
        <w:rPr>
          <w:rStyle w:val="FootnoteReference"/>
        </w:rPr>
        <w:footnoteReference w:id="117"/>
      </w:r>
      <w:r>
        <w:t xml:space="preserve">  </w:t>
      </w:r>
    </w:p>
    <w:p w14:paraId="39679C9A" w14:textId="77777777" w:rsidR="008D695B" w:rsidRPr="00063E77" w:rsidRDefault="008D695B" w:rsidP="008D695B">
      <w:pPr>
        <w:pStyle w:val="NormalAutoChapter"/>
        <w:rPr>
          <w:color w:val="auto"/>
          <w:szCs w:val="22"/>
        </w:rPr>
      </w:pPr>
      <w:r>
        <w:t>It is also particularly difficult for people without legal representation.</w:t>
      </w:r>
      <w:r w:rsidRPr="003B6C0B">
        <w:rPr>
          <w:color w:val="auto"/>
          <w:szCs w:val="22"/>
        </w:rPr>
        <w:t xml:space="preserve"> </w:t>
      </w:r>
      <w:r>
        <w:t>This can be a barrier to justice and could deter them from making a claim.</w:t>
      </w:r>
    </w:p>
    <w:p w14:paraId="56EF91C4" w14:textId="77777777" w:rsidR="008D695B" w:rsidRPr="001C3C6D" w:rsidRDefault="008D695B" w:rsidP="008D695B">
      <w:pPr>
        <w:pStyle w:val="NormalAutoChapter"/>
        <w:rPr>
          <w:color w:val="auto"/>
          <w:szCs w:val="22"/>
        </w:rPr>
      </w:pPr>
      <w:r>
        <w:rPr>
          <w:color w:val="auto"/>
          <w:szCs w:val="22"/>
        </w:rPr>
        <w:t xml:space="preserve">Considering this, some argue the law should change so </w:t>
      </w:r>
      <w:r w:rsidRPr="001C3C6D">
        <w:rPr>
          <w:color w:val="auto"/>
          <w:szCs w:val="22"/>
        </w:rPr>
        <w:t xml:space="preserve">that respondents bear the burden of </w:t>
      </w:r>
      <w:r>
        <w:rPr>
          <w:color w:val="auto"/>
          <w:szCs w:val="22"/>
        </w:rPr>
        <w:t>proving</w:t>
      </w:r>
      <w:r w:rsidRPr="001C3C6D">
        <w:rPr>
          <w:color w:val="auto"/>
          <w:szCs w:val="22"/>
        </w:rPr>
        <w:t xml:space="preserve"> </w:t>
      </w:r>
      <w:r>
        <w:rPr>
          <w:color w:val="auto"/>
          <w:szCs w:val="22"/>
        </w:rPr>
        <w:t>some</w:t>
      </w:r>
      <w:r w:rsidRPr="001C3C6D">
        <w:rPr>
          <w:color w:val="auto"/>
          <w:szCs w:val="22"/>
        </w:rPr>
        <w:t xml:space="preserve"> aspects of the</w:t>
      </w:r>
      <w:r>
        <w:rPr>
          <w:color w:val="auto"/>
          <w:szCs w:val="22"/>
        </w:rPr>
        <w:t xml:space="preserve"> tests for discrimination</w:t>
      </w:r>
      <w:r w:rsidRPr="001C3C6D">
        <w:rPr>
          <w:color w:val="auto"/>
          <w:szCs w:val="22"/>
        </w:rPr>
        <w:t>.</w:t>
      </w:r>
      <w:r>
        <w:rPr>
          <w:color w:val="auto"/>
          <w:szCs w:val="22"/>
        </w:rPr>
        <w:t xml:space="preserve"> We set out some options for consideration, below.</w:t>
      </w:r>
    </w:p>
    <w:p w14:paraId="3FB7F388" w14:textId="77777777" w:rsidR="008D695B" w:rsidRDefault="008D695B" w:rsidP="008D695B">
      <w:pPr>
        <w:pStyle w:val="Heading2"/>
      </w:pPr>
      <w:bookmarkStart w:id="101" w:name="_Toc196749516"/>
      <w:bookmarkStart w:id="102" w:name="_Toc196826822"/>
      <w:r>
        <w:lastRenderedPageBreak/>
        <w:t>Direct discrimination</w:t>
      </w:r>
      <w:bookmarkEnd w:id="101"/>
      <w:bookmarkEnd w:id="102"/>
    </w:p>
    <w:p w14:paraId="0F066E65" w14:textId="77777777" w:rsidR="008D695B" w:rsidRPr="007212F0" w:rsidRDefault="008D695B" w:rsidP="008D695B">
      <w:pPr>
        <w:pStyle w:val="NormalAutoChapter"/>
        <w:rPr>
          <w:lang w:eastAsia="en-US"/>
        </w:rPr>
      </w:pPr>
      <w:r>
        <w:rPr>
          <w:szCs w:val="22"/>
        </w:rPr>
        <w:t>The</w:t>
      </w:r>
      <w:r w:rsidRPr="009640A4">
        <w:rPr>
          <w:szCs w:val="22"/>
        </w:rPr>
        <w:t xml:space="preserve"> </w:t>
      </w:r>
      <w:r w:rsidRPr="005E7308">
        <w:rPr>
          <w:i/>
          <w:iCs/>
          <w:szCs w:val="22"/>
        </w:rPr>
        <w:t>Fair Work Act</w:t>
      </w:r>
      <w:r>
        <w:rPr>
          <w:szCs w:val="22"/>
        </w:rPr>
        <w:t xml:space="preserve"> </w:t>
      </w:r>
      <w:r w:rsidRPr="009037A5">
        <w:rPr>
          <w:i/>
          <w:iCs/>
          <w:szCs w:val="22"/>
        </w:rPr>
        <w:t>2009</w:t>
      </w:r>
      <w:r>
        <w:rPr>
          <w:szCs w:val="22"/>
        </w:rPr>
        <w:t xml:space="preserve"> (Cth) (</w:t>
      </w:r>
      <w:r w:rsidRPr="006B4B46">
        <w:rPr>
          <w:i/>
          <w:iCs/>
          <w:szCs w:val="22"/>
        </w:rPr>
        <w:t>Fair Work Act</w:t>
      </w:r>
      <w:r>
        <w:rPr>
          <w:szCs w:val="22"/>
        </w:rPr>
        <w:t>) provides one model for consideration. Under this Act:</w:t>
      </w:r>
    </w:p>
    <w:p w14:paraId="04C5BED5" w14:textId="77777777" w:rsidR="008D695B" w:rsidRDefault="008D695B" w:rsidP="008D695B">
      <w:pPr>
        <w:pStyle w:val="Normalbullet"/>
      </w:pPr>
      <w:r>
        <w:t xml:space="preserve">the employee must prove their employer subjected them to adverse action, which can include being treated unfavourably, and </w:t>
      </w:r>
    </w:p>
    <w:p w14:paraId="3136B650" w14:textId="77777777" w:rsidR="008D695B" w:rsidRDefault="008D695B" w:rsidP="008D695B">
      <w:pPr>
        <w:pStyle w:val="Normalbullet"/>
      </w:pPr>
      <w:r>
        <w:t xml:space="preserve">the employer must then prove that the treatment </w:t>
      </w:r>
      <w:r w:rsidRPr="0092438F">
        <w:rPr>
          <w:i/>
          <w:iCs/>
        </w:rPr>
        <w:t>was not</w:t>
      </w:r>
      <w:r>
        <w:t xml:space="preserve"> for a prohibited reason, being the employee’s attribute such as sex, race or disability.</w:t>
      </w:r>
      <w:r>
        <w:rPr>
          <w:rStyle w:val="FootnoteReference"/>
        </w:rPr>
        <w:footnoteReference w:id="118"/>
      </w:r>
      <w:r>
        <w:t xml:space="preserve"> </w:t>
      </w:r>
    </w:p>
    <w:p w14:paraId="1AFCF91A" w14:textId="77777777" w:rsidR="008D695B" w:rsidRDefault="008D695B" w:rsidP="008D695B">
      <w:pPr>
        <w:pStyle w:val="NormalAutoChapter"/>
      </w:pPr>
      <w:r w:rsidRPr="002542FB">
        <w:t xml:space="preserve">The </w:t>
      </w:r>
      <w:r w:rsidRPr="00617D5E">
        <w:rPr>
          <w:szCs w:val="18"/>
        </w:rPr>
        <w:t>Royal Commission into Violence, Abuse, Neglect and Exploitation of People with Disability</w:t>
      </w:r>
      <w:r w:rsidRPr="002542FB">
        <w:t xml:space="preserve"> </w:t>
      </w:r>
      <w:r>
        <w:t xml:space="preserve">supported </w:t>
      </w:r>
      <w:r w:rsidRPr="002542FB">
        <w:t>this approach</w:t>
      </w:r>
      <w:r w:rsidRPr="0066243A">
        <w:rPr>
          <w:color w:val="auto"/>
        </w:rPr>
        <w:t xml:space="preserve"> in its recommendations to reform the </w:t>
      </w:r>
      <w:r w:rsidRPr="0066243A">
        <w:rPr>
          <w:i/>
          <w:iCs/>
          <w:color w:val="auto"/>
        </w:rPr>
        <w:t>Disability Discrimination Act 1994</w:t>
      </w:r>
      <w:r w:rsidRPr="0066243A">
        <w:rPr>
          <w:color w:val="auto"/>
        </w:rPr>
        <w:t xml:space="preserve"> (Cth)</w:t>
      </w:r>
      <w:r w:rsidRPr="002542FB">
        <w:t>.</w:t>
      </w:r>
      <w:r w:rsidRPr="00E25ACF">
        <w:rPr>
          <w:rStyle w:val="FootnoteReference"/>
          <w:sz w:val="22"/>
          <w:szCs w:val="22"/>
        </w:rPr>
        <w:footnoteReference w:id="119"/>
      </w:r>
    </w:p>
    <w:p w14:paraId="75ED0C58" w14:textId="77777777" w:rsidR="008D695B" w:rsidRDefault="008D695B" w:rsidP="008D695B">
      <w:pPr>
        <w:pStyle w:val="NormalAutoChapter"/>
        <w:rPr>
          <w:lang w:eastAsia="en-US"/>
        </w:rPr>
      </w:pPr>
      <w:r w:rsidRPr="00B63A6F">
        <w:rPr>
          <w:lang w:eastAsia="en-US"/>
        </w:rPr>
        <w:t>Queensland has recently implemented another model</w:t>
      </w:r>
      <w:r>
        <w:rPr>
          <w:lang w:eastAsia="en-US"/>
        </w:rPr>
        <w:t>, which applies more generally to complaint proceedings (including direct discrimination or indirect discrimination complaints)</w:t>
      </w:r>
      <w:r w:rsidRPr="00A85CC6">
        <w:rPr>
          <w:lang w:eastAsia="en-US"/>
        </w:rPr>
        <w:t>.</w:t>
      </w:r>
      <w:r w:rsidRPr="00B63A6F">
        <w:rPr>
          <w:lang w:eastAsia="en-US"/>
        </w:rPr>
        <w:t xml:space="preserve"> </w:t>
      </w:r>
      <w:r>
        <w:rPr>
          <w:lang w:eastAsia="en-US"/>
        </w:rPr>
        <w:t>The respondent will be taken to have unlawfully discriminated against the complainant if:</w:t>
      </w:r>
    </w:p>
    <w:p w14:paraId="21FF8B20" w14:textId="77777777" w:rsidR="008D695B" w:rsidRDefault="008D695B" w:rsidP="008D695B">
      <w:pPr>
        <w:pStyle w:val="Normalbullet"/>
      </w:pPr>
      <w:r>
        <w:t>the complainant proves facts from which it could be decided, without any other explanation, that the respondent unlawfully discriminated against them, and</w:t>
      </w:r>
    </w:p>
    <w:p w14:paraId="6389078A" w14:textId="77777777" w:rsidR="008D695B" w:rsidRDefault="008D695B" w:rsidP="008D695B">
      <w:pPr>
        <w:pStyle w:val="Normalbullet"/>
      </w:pPr>
      <w:r>
        <w:t xml:space="preserve">the respondent </w:t>
      </w:r>
      <w:r w:rsidRPr="00832EEF">
        <w:rPr>
          <w:i/>
          <w:iCs/>
        </w:rPr>
        <w:t>does not prove</w:t>
      </w:r>
      <w:r>
        <w:t>, on the balance of probabilities, that they did not unlawfully discriminate against the respondent.</w:t>
      </w:r>
      <w:r w:rsidRPr="00A85CC6">
        <w:rPr>
          <w:rStyle w:val="FootnoteReference"/>
        </w:rPr>
        <w:footnoteReference w:id="120"/>
      </w:r>
      <w:r w:rsidRPr="00B63A6F">
        <w:t xml:space="preserve"> </w:t>
      </w:r>
      <w:r>
        <w:t xml:space="preserve"> </w:t>
      </w:r>
    </w:p>
    <w:p w14:paraId="1AF32CD3" w14:textId="77777777" w:rsidR="008D695B" w:rsidRPr="005F4BAE" w:rsidRDefault="008D695B" w:rsidP="008D695B">
      <w:pPr>
        <w:pStyle w:val="NormalAutoChapter"/>
        <w:rPr>
          <w:lang w:eastAsia="en-US"/>
        </w:rPr>
      </w:pPr>
      <w:r>
        <w:rPr>
          <w:color w:val="auto"/>
        </w:rPr>
        <w:t>T</w:t>
      </w:r>
      <w:r w:rsidRPr="00931935">
        <w:t>h</w:t>
      </w:r>
      <w:r>
        <w:t>is is like the model in the</w:t>
      </w:r>
      <w:r w:rsidRPr="00931935">
        <w:t xml:space="preserve"> </w:t>
      </w:r>
      <w:r w:rsidRPr="00931935">
        <w:rPr>
          <w:i/>
          <w:iCs/>
        </w:rPr>
        <w:t>Equality Act 2010</w:t>
      </w:r>
      <w:r w:rsidRPr="00931935">
        <w:t xml:space="preserve"> (UK)</w:t>
      </w:r>
      <w:r>
        <w:t>.</w:t>
      </w:r>
      <w:r>
        <w:rPr>
          <w:rStyle w:val="FootnoteReference"/>
          <w:szCs w:val="22"/>
        </w:rPr>
        <w:footnoteReference w:id="121"/>
      </w:r>
      <w:r>
        <w:t xml:space="preserve"> </w:t>
      </w:r>
      <w:r>
        <w:rPr>
          <w:lang w:eastAsia="en-US"/>
        </w:rPr>
        <w:t xml:space="preserve">The </w:t>
      </w:r>
      <w:r>
        <w:rPr>
          <w:color w:val="auto"/>
        </w:rPr>
        <w:t>AHRC and the LRCWA have recommended reforms based on this model</w:t>
      </w:r>
      <w:r w:rsidRPr="005F4BAE">
        <w:rPr>
          <w:color w:val="auto"/>
        </w:rPr>
        <w:t>.</w:t>
      </w:r>
      <w:r w:rsidRPr="00E25ACF">
        <w:rPr>
          <w:rStyle w:val="FootnoteReference"/>
          <w:color w:val="auto"/>
        </w:rPr>
        <w:footnoteReference w:id="122"/>
      </w:r>
      <w:r>
        <w:rPr>
          <w:color w:val="auto"/>
        </w:rPr>
        <w:t xml:space="preserve"> </w:t>
      </w:r>
    </w:p>
    <w:p w14:paraId="7E0B5F82" w14:textId="77777777" w:rsidR="008D695B" w:rsidRPr="001F7046" w:rsidRDefault="008D695B" w:rsidP="008D695B">
      <w:pPr>
        <w:pStyle w:val="Heading2"/>
        <w:rPr>
          <w:color w:val="000000"/>
        </w:rPr>
      </w:pPr>
      <w:bookmarkStart w:id="103" w:name="_Toc196749517"/>
      <w:bookmarkStart w:id="104" w:name="_Toc196826823"/>
      <w:r>
        <w:t>Indirect discrimination</w:t>
      </w:r>
      <w:bookmarkEnd w:id="103"/>
      <w:bookmarkEnd w:id="104"/>
    </w:p>
    <w:p w14:paraId="155BFBA9" w14:textId="77777777" w:rsidR="008D695B" w:rsidRPr="008E06BE" w:rsidRDefault="008D695B" w:rsidP="008D695B">
      <w:pPr>
        <w:pStyle w:val="NormalAutoChapter"/>
        <w:rPr>
          <w:color w:val="auto"/>
          <w:szCs w:val="22"/>
        </w:rPr>
      </w:pPr>
      <w:r w:rsidRPr="00706436">
        <w:rPr>
          <w:color w:val="auto"/>
          <w:szCs w:val="22"/>
        </w:rPr>
        <w:t xml:space="preserve">The ADA </w:t>
      </w:r>
      <w:r>
        <w:rPr>
          <w:color w:val="auto"/>
          <w:szCs w:val="22"/>
        </w:rPr>
        <w:t xml:space="preserve">also </w:t>
      </w:r>
      <w:r w:rsidRPr="00706436">
        <w:rPr>
          <w:color w:val="auto"/>
          <w:szCs w:val="22"/>
        </w:rPr>
        <w:t xml:space="preserve">requires complainants, rather than respondents, to prove each part of the test for indirect discrimination. However, </w:t>
      </w:r>
      <w:r>
        <w:rPr>
          <w:color w:val="auto"/>
          <w:szCs w:val="22"/>
        </w:rPr>
        <w:t xml:space="preserve">in </w:t>
      </w:r>
      <w:r w:rsidRPr="00706436">
        <w:rPr>
          <w:color w:val="auto"/>
        </w:rPr>
        <w:t>some other parts of Australia</w:t>
      </w:r>
      <w:r>
        <w:rPr>
          <w:color w:val="auto"/>
        </w:rPr>
        <w:t xml:space="preserve">, </w:t>
      </w:r>
      <w:r w:rsidRPr="00706436">
        <w:rPr>
          <w:color w:val="auto"/>
        </w:rPr>
        <w:t xml:space="preserve">the </w:t>
      </w:r>
      <w:r>
        <w:rPr>
          <w:color w:val="auto"/>
        </w:rPr>
        <w:t xml:space="preserve">respondent has the </w:t>
      </w:r>
      <w:r w:rsidRPr="00706436">
        <w:rPr>
          <w:color w:val="auto"/>
        </w:rPr>
        <w:t>burden of proving that a requirement is reasonable.</w:t>
      </w:r>
      <w:r w:rsidRPr="00234358">
        <w:rPr>
          <w:rStyle w:val="FootnoteReference"/>
          <w:color w:val="auto"/>
        </w:rPr>
        <w:footnoteReference w:id="123"/>
      </w:r>
      <w:r w:rsidRPr="00706436">
        <w:rPr>
          <w:color w:val="auto"/>
        </w:rPr>
        <w:t xml:space="preserve"> </w:t>
      </w:r>
    </w:p>
    <w:p w14:paraId="04D23892" w14:textId="77777777" w:rsidR="008D695B" w:rsidRPr="00706436" w:rsidRDefault="008D695B" w:rsidP="008D695B">
      <w:pPr>
        <w:pStyle w:val="NormalAutoChapter"/>
        <w:rPr>
          <w:color w:val="auto"/>
          <w:szCs w:val="22"/>
        </w:rPr>
      </w:pPr>
      <w:r>
        <w:rPr>
          <w:color w:val="auto"/>
          <w:szCs w:val="22"/>
        </w:rPr>
        <w:lastRenderedPageBreak/>
        <w:t>The NSWLRC</w:t>
      </w:r>
      <w:r w:rsidRPr="00706436">
        <w:rPr>
          <w:color w:val="auto"/>
          <w:szCs w:val="22"/>
        </w:rPr>
        <w:t xml:space="preserve"> recommended this in 1999, as did the </w:t>
      </w:r>
      <w:r>
        <w:rPr>
          <w:color w:val="auto"/>
          <w:szCs w:val="22"/>
        </w:rPr>
        <w:t xml:space="preserve">LRCWA </w:t>
      </w:r>
      <w:r w:rsidRPr="00706436">
        <w:rPr>
          <w:color w:val="auto"/>
          <w:szCs w:val="22"/>
        </w:rPr>
        <w:t>in 2022.</w:t>
      </w:r>
      <w:r>
        <w:rPr>
          <w:rStyle w:val="FootnoteReference"/>
          <w:color w:val="auto"/>
          <w:szCs w:val="22"/>
        </w:rPr>
        <w:footnoteReference w:id="124"/>
      </w:r>
    </w:p>
    <w:p w14:paraId="0FD0F908" w14:textId="77777777" w:rsidR="008D695B" w:rsidRPr="00FB5342" w:rsidRDefault="008D695B" w:rsidP="008D695B">
      <w:pPr>
        <w:pStyle w:val="NormalAutoChapter"/>
        <w:rPr>
          <w:color w:val="auto"/>
          <w:szCs w:val="22"/>
        </w:rPr>
      </w:pPr>
      <w:r>
        <w:t>If this were applied in NSW, with no other changes to the indirect discrimination test, the complainant would have to prove:</w:t>
      </w:r>
    </w:p>
    <w:p w14:paraId="5EEE6007" w14:textId="77777777" w:rsidR="008D695B" w:rsidRPr="00FB5342" w:rsidRDefault="008D695B" w:rsidP="008D695B">
      <w:pPr>
        <w:pStyle w:val="Normalbullet"/>
        <w:rPr>
          <w:color w:val="70AD47" w:themeColor="accent6"/>
        </w:rPr>
      </w:pPr>
      <w:r>
        <w:t>they have</w:t>
      </w:r>
      <w:r w:rsidRPr="000E6BA7">
        <w:t xml:space="preserve"> a</w:t>
      </w:r>
      <w:r>
        <w:t>n</w:t>
      </w:r>
      <w:r w:rsidRPr="000E6BA7">
        <w:t xml:space="preserve"> </w:t>
      </w:r>
      <w:r>
        <w:t>attribute protected by the ADA</w:t>
      </w:r>
      <w:r w:rsidRPr="000E6BA7">
        <w:t xml:space="preserve"> </w:t>
      </w:r>
    </w:p>
    <w:p w14:paraId="79E6C841" w14:textId="77777777" w:rsidR="008D695B" w:rsidRPr="00761F4D" w:rsidRDefault="008D695B" w:rsidP="008D695B">
      <w:pPr>
        <w:pStyle w:val="Normalbullet"/>
        <w:rPr>
          <w:color w:val="70AD47" w:themeColor="accent6"/>
        </w:rPr>
      </w:pPr>
      <w:r>
        <w:t xml:space="preserve">they are </w:t>
      </w:r>
      <w:r w:rsidRPr="000E6BA7">
        <w:t>unable to comply with a requirement or conditio</w:t>
      </w:r>
      <w:r>
        <w:t>n, and</w:t>
      </w:r>
      <w:r w:rsidRPr="000E6BA7">
        <w:t xml:space="preserve"> </w:t>
      </w:r>
    </w:p>
    <w:p w14:paraId="259D4C0B" w14:textId="77777777" w:rsidR="008D695B" w:rsidRPr="00761F4D" w:rsidRDefault="008D695B" w:rsidP="008D695B">
      <w:pPr>
        <w:pStyle w:val="Normalbullet"/>
        <w:rPr>
          <w:color w:val="70AD47" w:themeColor="accent6"/>
        </w:rPr>
      </w:pPr>
      <w:r>
        <w:t xml:space="preserve">that </w:t>
      </w:r>
      <w:r w:rsidRPr="000E6BA7">
        <w:t xml:space="preserve">a substantially higher proportion of people who do not have </w:t>
      </w:r>
      <w:r>
        <w:t xml:space="preserve">a </w:t>
      </w:r>
      <w:r w:rsidRPr="000E6BA7">
        <w:t xml:space="preserve">protected </w:t>
      </w:r>
      <w:r>
        <w:t>attribute</w:t>
      </w:r>
      <w:r w:rsidRPr="000E6BA7">
        <w:t xml:space="preserve"> can comply</w:t>
      </w:r>
      <w:r>
        <w:t xml:space="preserve">. </w:t>
      </w:r>
    </w:p>
    <w:p w14:paraId="1E7B012A" w14:textId="77777777" w:rsidR="008D695B" w:rsidRPr="00181C16" w:rsidRDefault="008D695B" w:rsidP="008D695B">
      <w:pPr>
        <w:pStyle w:val="NormalAutoChapter"/>
        <w:rPr>
          <w:color w:val="000000" w:themeColor="text1"/>
        </w:rPr>
      </w:pPr>
      <w:r w:rsidRPr="00181C16">
        <w:rPr>
          <w:color w:val="000000" w:themeColor="text1"/>
        </w:rPr>
        <w:t>The respondent would then have to prove that the requirement or condition was reasonable, in the circumstances.</w:t>
      </w:r>
    </w:p>
    <w:p w14:paraId="6FE86074" w14:textId="77777777" w:rsidR="008D695B" w:rsidRPr="00D70232" w:rsidRDefault="008D695B" w:rsidP="008D695B">
      <w:pPr>
        <w:pStyle w:val="Recommendationheading"/>
      </w:pPr>
      <w:r w:rsidRPr="00D70232">
        <w:t xml:space="preserve">Question 3.6: Proving indirect discrimination </w:t>
      </w:r>
    </w:p>
    <w:p w14:paraId="40C924D2" w14:textId="77777777" w:rsidR="008D695B" w:rsidRPr="00D70232" w:rsidRDefault="008D695B" w:rsidP="000067EB">
      <w:pPr>
        <w:pStyle w:val="Recommendationnormal"/>
        <w:numPr>
          <w:ilvl w:val="0"/>
          <w:numId w:val="23"/>
        </w:numPr>
        <w:spacing w:line="264" w:lineRule="auto"/>
      </w:pPr>
      <w:r w:rsidRPr="00D70232">
        <w:t>Should the ADA require respondents to prove any aspects of the direct discrimination test? If so, which aspects?</w:t>
      </w:r>
    </w:p>
    <w:p w14:paraId="7F966EAB" w14:textId="77777777" w:rsidR="008D695B" w:rsidRPr="00D70232" w:rsidRDefault="008D695B" w:rsidP="000067EB">
      <w:pPr>
        <w:pStyle w:val="Recommendationnormal"/>
        <w:numPr>
          <w:ilvl w:val="0"/>
          <w:numId w:val="23"/>
        </w:numPr>
        <w:spacing w:line="264" w:lineRule="auto"/>
      </w:pPr>
      <w:r w:rsidRPr="00D70232">
        <w:t>Should the ADA require respondents to prove any aspects of the indirect discrimination test? If so, which aspects?</w:t>
      </w:r>
    </w:p>
    <w:p w14:paraId="492082EB" w14:textId="38A73C55" w:rsidR="008D695B" w:rsidRDefault="008D695B" w:rsidP="008D695B">
      <w:pPr>
        <w:pStyle w:val="Heading1"/>
      </w:pPr>
      <w:bookmarkStart w:id="105" w:name="_Toc196749518"/>
      <w:bookmarkStart w:id="106" w:name="_Toc196826824"/>
      <w:r>
        <w:t>Some overarching issues</w:t>
      </w:r>
      <w:bookmarkEnd w:id="105"/>
      <w:bookmarkEnd w:id="106"/>
    </w:p>
    <w:p w14:paraId="7F4B4151" w14:textId="77777777" w:rsidR="008D695B" w:rsidRDefault="008D695B" w:rsidP="008D695B">
      <w:pPr>
        <w:pStyle w:val="NormalAutoChapter"/>
      </w:pPr>
      <w:r>
        <w:t>We also invite you to consider three overarching issues. Preliminary submissions raised concerns that the ADA’s tests do not:</w:t>
      </w:r>
    </w:p>
    <w:p w14:paraId="0515B95D" w14:textId="77777777" w:rsidR="008D695B" w:rsidRDefault="008D695B" w:rsidP="008D695B">
      <w:pPr>
        <w:pStyle w:val="Normalbullet"/>
      </w:pPr>
      <w:r>
        <w:t>recognise that direct and indirect discrimination can overlap</w:t>
      </w:r>
    </w:p>
    <w:p w14:paraId="2D74DEDB" w14:textId="77777777" w:rsidR="008D695B" w:rsidRDefault="008D695B" w:rsidP="008D695B">
      <w:pPr>
        <w:pStyle w:val="Normalbullet"/>
      </w:pPr>
      <w:r>
        <w:t>protect against intersectional discrimination, or</w:t>
      </w:r>
    </w:p>
    <w:p w14:paraId="779648A1" w14:textId="77777777" w:rsidR="008D695B" w:rsidRDefault="008D695B" w:rsidP="008D695B">
      <w:pPr>
        <w:pStyle w:val="Normalbullet"/>
      </w:pPr>
      <w:r>
        <w:t>protect against intended future discrimination.</w:t>
      </w:r>
    </w:p>
    <w:p w14:paraId="5B6D36DB" w14:textId="4CAA345A" w:rsidR="008D695B" w:rsidRDefault="008D695B" w:rsidP="008D695B">
      <w:pPr>
        <w:pStyle w:val="Heading2"/>
      </w:pPr>
      <w:bookmarkStart w:id="107" w:name="_Toc196749519"/>
      <w:bookmarkStart w:id="108" w:name="_Toc196826825"/>
      <w:r>
        <w:t>Overlapping forms of discrimination</w:t>
      </w:r>
      <w:bookmarkEnd w:id="107"/>
      <w:bookmarkEnd w:id="108"/>
    </w:p>
    <w:p w14:paraId="07DE5ED5" w14:textId="77777777" w:rsidR="008D695B" w:rsidRDefault="008D695B" w:rsidP="008D695B">
      <w:pPr>
        <w:pStyle w:val="NormalAutoChapter"/>
      </w:pPr>
      <w:r>
        <w:t>A fundamental issue is whether the ADA should continue to treat direct and indirect discrimination separately. Under the ADA, discrimination can be either direct or indirect — but not both.</w:t>
      </w:r>
      <w:r>
        <w:rPr>
          <w:rStyle w:val="FootnoteReference"/>
        </w:rPr>
        <w:footnoteReference w:id="125"/>
      </w:r>
      <w:r>
        <w:t xml:space="preserve"> </w:t>
      </w:r>
    </w:p>
    <w:p w14:paraId="78E8BABC" w14:textId="77777777" w:rsidR="008D695B" w:rsidRPr="00E24654" w:rsidRDefault="008D695B" w:rsidP="008D695B">
      <w:pPr>
        <w:pStyle w:val="NormalAutoChapter"/>
      </w:pPr>
      <w:r>
        <w:t>It can be hard to differentiate between direct and indirect discrimination.</w:t>
      </w:r>
      <w:r w:rsidRPr="00313130">
        <w:rPr>
          <w:color w:val="auto"/>
          <w:lang w:eastAsia="en-US"/>
        </w:rPr>
        <w:t xml:space="preserve"> </w:t>
      </w:r>
      <w:r>
        <w:rPr>
          <w:color w:val="auto"/>
          <w:lang w:eastAsia="en-US"/>
        </w:rPr>
        <w:t xml:space="preserve">Some conduct could constitute either form of discrimination. This can be illustrated by the example of denying women opportunities because there are inadequate toilet facilities. This could be direct discrimination. It </w:t>
      </w:r>
      <w:r>
        <w:t xml:space="preserve">involves treating a woman less favourably compared to how a man is treated </w:t>
      </w:r>
      <w:r w:rsidRPr="00C47932">
        <w:t>because</w:t>
      </w:r>
      <w:r>
        <w:t xml:space="preserve"> they are a woman and need </w:t>
      </w:r>
      <w:r>
        <w:lastRenderedPageBreak/>
        <w:t>their own toilet facilities. Or it could be indirect discrimination, as it involves a requirement that applies to everyone (that is, that all employees use male bathrooms). But this unfairly disadvantages women.</w:t>
      </w:r>
      <w:r>
        <w:rPr>
          <w:rStyle w:val="FootnoteReference"/>
          <w:color w:val="auto"/>
          <w:lang w:eastAsia="en-US"/>
        </w:rPr>
        <w:footnoteReference w:id="126"/>
      </w:r>
      <w:r>
        <w:rPr>
          <w:color w:val="auto"/>
          <w:lang w:eastAsia="en-US"/>
        </w:rPr>
        <w:t xml:space="preserve"> </w:t>
      </w:r>
    </w:p>
    <w:p w14:paraId="1350C8B1" w14:textId="77777777" w:rsidR="008D695B" w:rsidRDefault="008D695B" w:rsidP="008D695B">
      <w:pPr>
        <w:pStyle w:val="NormalAutoChapter"/>
      </w:pPr>
      <w:r w:rsidRPr="0098333C">
        <w:t>Some</w:t>
      </w:r>
      <w:r>
        <w:t xml:space="preserve"> think</w:t>
      </w:r>
      <w:r w:rsidRPr="0098333C">
        <w:t xml:space="preserve"> th</w:t>
      </w:r>
      <w:r>
        <w:t>e ADA should acknowledge</w:t>
      </w:r>
      <w:r w:rsidRPr="0098333C">
        <w:t xml:space="preserve"> that direct and indirect discrimination</w:t>
      </w:r>
      <w:r>
        <w:t xml:space="preserve"> can</w:t>
      </w:r>
      <w:r w:rsidRPr="0098333C">
        <w:t xml:space="preserve"> overlap.</w:t>
      </w:r>
      <w:r>
        <w:t xml:space="preserve"> </w:t>
      </w:r>
      <w:r w:rsidRPr="0098333C">
        <w:t xml:space="preserve">For example, </w:t>
      </w:r>
      <w:r>
        <w:t xml:space="preserve">the </w:t>
      </w:r>
      <w:r w:rsidRPr="00313130">
        <w:rPr>
          <w:i/>
          <w:iCs/>
        </w:rPr>
        <w:t>Discrimination Act 1991</w:t>
      </w:r>
      <w:r w:rsidRPr="00ED3F5C">
        <w:t xml:space="preserve"> (ACT)</w:t>
      </w:r>
      <w:r w:rsidRPr="003D7C7B">
        <w:t xml:space="preserve"> states that “discrimination occurs </w:t>
      </w:r>
      <w:r w:rsidRPr="00544CBE">
        <w:t>when a person discriminates either directly or indirectly, or both, against someone else”</w:t>
      </w:r>
      <w:r>
        <w:t>.</w:t>
      </w:r>
      <w:r w:rsidRPr="00544CBE">
        <w:rPr>
          <w:rStyle w:val="FootnoteReference"/>
          <w:color w:val="auto"/>
          <w:lang w:eastAsia="en-US"/>
        </w:rPr>
        <w:footnoteReference w:id="127"/>
      </w:r>
      <w:r w:rsidRPr="00544CBE">
        <w:t xml:space="preserve"> </w:t>
      </w:r>
    </w:p>
    <w:p w14:paraId="1D2FF4A9" w14:textId="77777777" w:rsidR="008D695B" w:rsidRDefault="008D695B" w:rsidP="008D695B">
      <w:pPr>
        <w:pStyle w:val="NormalAutoChapter"/>
      </w:pPr>
      <w:r w:rsidRPr="00544CBE">
        <w:t>Th</w:t>
      </w:r>
      <w:r>
        <w:t>is was based on recommendations of the ACT Law Reform Advisory Council. In its view, the change would reduce confusion by clarifying that the two concepts are not mutually exclusive.</w:t>
      </w:r>
      <w:r w:rsidRPr="00544CBE">
        <w:rPr>
          <w:rStyle w:val="FootnoteReference"/>
          <w:color w:val="auto"/>
        </w:rPr>
        <w:footnoteReference w:id="128"/>
      </w:r>
      <w:r>
        <w:t xml:space="preserve"> </w:t>
      </w:r>
    </w:p>
    <w:p w14:paraId="53C9C060" w14:textId="77777777" w:rsidR="008D695B" w:rsidRPr="0083286B" w:rsidRDefault="008D695B" w:rsidP="008D695B">
      <w:pPr>
        <w:pStyle w:val="NormalAutoChapter"/>
      </w:pPr>
      <w:r>
        <w:rPr>
          <w:lang w:eastAsia="en-US"/>
        </w:rPr>
        <w:t xml:space="preserve">In another approach, one preliminary submission </w:t>
      </w:r>
      <w:r>
        <w:rPr>
          <w:color w:val="auto"/>
          <w:lang w:eastAsia="en-US"/>
        </w:rPr>
        <w:t xml:space="preserve">suggested </w:t>
      </w:r>
      <w:r w:rsidRPr="005651C5">
        <w:t>adopting a single definition that does</w:t>
      </w:r>
      <w:r>
        <w:t xml:space="preserve"> not</w:t>
      </w:r>
      <w:r w:rsidRPr="005651C5">
        <w:t xml:space="preserve"> include the concepts of direct and indirect discrimination.</w:t>
      </w:r>
      <w:r w:rsidRPr="005651C5">
        <w:rPr>
          <w:rStyle w:val="FootnoteReference"/>
        </w:rPr>
        <w:footnoteReference w:id="129"/>
      </w:r>
    </w:p>
    <w:p w14:paraId="7DE5F990" w14:textId="77777777" w:rsidR="008D695B" w:rsidRPr="00713C35" w:rsidRDefault="008D695B" w:rsidP="008D695B">
      <w:pPr>
        <w:pStyle w:val="Recommendationheading"/>
      </w:pPr>
      <w:r w:rsidRPr="00713C35">
        <w:t>Question 3.7: Direct and indirect discrimination</w:t>
      </w:r>
    </w:p>
    <w:p w14:paraId="7AA40F95" w14:textId="56229B57" w:rsidR="008D695B" w:rsidRDefault="00181C16" w:rsidP="00181C16">
      <w:pPr>
        <w:pStyle w:val="Recommendationhanging1"/>
      </w:pPr>
      <w:r>
        <w:t>(1)</w:t>
      </w:r>
      <w:r>
        <w:tab/>
      </w:r>
      <w:r w:rsidR="008D695B">
        <w:t xml:space="preserve">How should the relationship between different types of discrimination be recognised? </w:t>
      </w:r>
    </w:p>
    <w:p w14:paraId="02F6B427" w14:textId="664DCCC4" w:rsidR="008D695B" w:rsidRPr="0045738C" w:rsidRDefault="00181C16" w:rsidP="00181C16">
      <w:pPr>
        <w:pStyle w:val="Recommendationhanging1"/>
      </w:pPr>
      <w:r>
        <w:t>(2)</w:t>
      </w:r>
      <w:r>
        <w:tab/>
      </w:r>
      <w:r w:rsidR="008D695B">
        <w:t>Should the ADA retain the distinction between direct and indirect discrimination? Why or why not?</w:t>
      </w:r>
    </w:p>
    <w:p w14:paraId="4D69FABC" w14:textId="77777777" w:rsidR="008D695B" w:rsidRDefault="008D695B" w:rsidP="008D695B">
      <w:pPr>
        <w:pStyle w:val="Heading2"/>
      </w:pPr>
      <w:bookmarkStart w:id="109" w:name="_Toc196749520"/>
      <w:bookmarkStart w:id="110" w:name="_Toc196826826"/>
      <w:r>
        <w:t>Intersectional discrimination</w:t>
      </w:r>
      <w:bookmarkEnd w:id="109"/>
      <w:bookmarkEnd w:id="110"/>
    </w:p>
    <w:p w14:paraId="75C4CB79" w14:textId="77777777" w:rsidR="008D695B" w:rsidRDefault="008D695B" w:rsidP="008D695B">
      <w:pPr>
        <w:pStyle w:val="NormalAutoChapter"/>
        <w:rPr>
          <w:lang w:eastAsia="en-US"/>
        </w:rPr>
      </w:pPr>
      <w:r>
        <w:t>Another issue is whether the ADA should protect against discrimination that is based on more than one attribute. This is known as “intersectional discrimination”</w:t>
      </w:r>
      <w:r w:rsidRPr="002F7529">
        <w:t>.</w:t>
      </w:r>
      <w:r>
        <w:t xml:space="preserve"> </w:t>
      </w:r>
    </w:p>
    <w:p w14:paraId="19BED540" w14:textId="77777777" w:rsidR="008D695B" w:rsidRPr="00471C6D" w:rsidRDefault="008D695B" w:rsidP="008D695B">
      <w:pPr>
        <w:pStyle w:val="NormalAutoChapter"/>
        <w:rPr>
          <w:color w:val="auto"/>
          <w:lang w:eastAsia="en-US"/>
        </w:rPr>
      </w:pPr>
      <w:r>
        <w:t>In the ADA, separate sections set out the tests for discrimination for each attribute. It does not provide for discrimination based on more than one attribute.</w:t>
      </w:r>
      <w:r w:rsidRPr="001B2F27">
        <w:rPr>
          <w:rStyle w:val="CommentReference"/>
          <w:rFonts w:ascii="Public Sans Light" w:hAnsi="Public Sans Light" w:cs="Times New Roman"/>
          <w:color w:val="auto"/>
          <w:lang w:eastAsia="en-US"/>
        </w:rPr>
        <w:t xml:space="preserve"> </w:t>
      </w:r>
      <w:r>
        <w:rPr>
          <w:color w:val="auto"/>
        </w:rPr>
        <w:t xml:space="preserve">It could be said that this </w:t>
      </w:r>
      <w:r>
        <w:t>does not reflect how discrimination occurs in real life.</w:t>
      </w:r>
      <w:r w:rsidRPr="001A7310">
        <w:rPr>
          <w:rStyle w:val="FootnoteReference"/>
          <w:color w:val="auto"/>
        </w:rPr>
        <w:footnoteReference w:id="130"/>
      </w:r>
      <w:r>
        <w:rPr>
          <w:lang w:eastAsia="en-US"/>
        </w:rPr>
        <w:t xml:space="preserve"> </w:t>
      </w:r>
    </w:p>
    <w:p w14:paraId="4907A821" w14:textId="77777777" w:rsidR="008D695B" w:rsidRDefault="008D695B" w:rsidP="008D695B">
      <w:pPr>
        <w:pStyle w:val="NormalAutoChapter"/>
        <w:rPr>
          <w:lang w:eastAsia="en-US"/>
        </w:rPr>
      </w:pPr>
      <w:r>
        <w:rPr>
          <w:color w:val="auto"/>
        </w:rPr>
        <w:t>P</w:t>
      </w:r>
      <w:r w:rsidRPr="001B2F27">
        <w:rPr>
          <w:color w:val="auto"/>
        </w:rPr>
        <w:t xml:space="preserve">eople </w:t>
      </w:r>
      <w:r>
        <w:rPr>
          <w:color w:val="auto"/>
        </w:rPr>
        <w:t xml:space="preserve">can experience discrimination based on more than one attribute. </w:t>
      </w:r>
      <w:r>
        <w:t xml:space="preserve">For example, </w:t>
      </w:r>
      <w:r>
        <w:rPr>
          <w:lang w:eastAsia="en-US"/>
        </w:rPr>
        <w:t xml:space="preserve">Aboriginal women may experience discrimination based on both race and sex. </w:t>
      </w:r>
      <w:r>
        <w:t>Discrimination of this kind can expose individuals to unique and compounding types of disadvantage.</w:t>
      </w:r>
      <w:r>
        <w:rPr>
          <w:rStyle w:val="FootnoteReference"/>
        </w:rPr>
        <w:footnoteReference w:id="131"/>
      </w:r>
    </w:p>
    <w:p w14:paraId="45C9D673" w14:textId="77777777" w:rsidR="008D695B" w:rsidRDefault="008D695B" w:rsidP="008D695B">
      <w:pPr>
        <w:pStyle w:val="NormalAutoChapter"/>
        <w:rPr>
          <w:lang w:eastAsia="en-US"/>
        </w:rPr>
      </w:pPr>
      <w:r>
        <w:rPr>
          <w:lang w:eastAsia="en-US"/>
        </w:rPr>
        <w:lastRenderedPageBreak/>
        <w:t xml:space="preserve">Across Australia, </w:t>
      </w:r>
      <w:r>
        <w:t>reviews of discrimination laws have recommended changes to protect against intersectional discrimination.</w:t>
      </w:r>
      <w:r>
        <w:rPr>
          <w:rStyle w:val="FootnoteReference"/>
        </w:rPr>
        <w:footnoteReference w:id="132"/>
      </w:r>
      <w:r>
        <w:t xml:space="preserve"> International human rights bodies have recommended this too.</w:t>
      </w:r>
      <w:r>
        <w:rPr>
          <w:rStyle w:val="FootnoteReference"/>
        </w:rPr>
        <w:footnoteReference w:id="133"/>
      </w:r>
    </w:p>
    <w:p w14:paraId="6B34D929" w14:textId="77777777" w:rsidR="008D695B" w:rsidRPr="00495862" w:rsidRDefault="008D695B" w:rsidP="008D695B">
      <w:pPr>
        <w:pStyle w:val="NormalAutoChapter"/>
        <w:rPr>
          <w:color w:val="auto"/>
          <w:lang w:eastAsia="en-US"/>
        </w:rPr>
      </w:pPr>
      <w:r w:rsidRPr="00495862">
        <w:rPr>
          <w:lang w:eastAsia="en-US"/>
        </w:rPr>
        <w:t>Currently, only the ACT provides some protection from intersectional discrimination</w:t>
      </w:r>
      <w:r w:rsidRPr="00495862">
        <w:rPr>
          <w:color w:val="auto"/>
          <w:lang w:eastAsia="en-US"/>
        </w:rPr>
        <w:t xml:space="preserve">. </w:t>
      </w:r>
      <w:r>
        <w:rPr>
          <w:color w:val="auto"/>
          <w:lang w:eastAsia="en-US"/>
        </w:rPr>
        <w:t xml:space="preserve">Under the </w:t>
      </w:r>
      <w:r w:rsidRPr="00495862">
        <w:rPr>
          <w:color w:val="auto"/>
          <w:lang w:eastAsia="en-US"/>
        </w:rPr>
        <w:t>ACT law</w:t>
      </w:r>
      <w:r>
        <w:rPr>
          <w:color w:val="auto"/>
          <w:lang w:eastAsia="en-US"/>
        </w:rPr>
        <w:t xml:space="preserve">, </w:t>
      </w:r>
      <w:r w:rsidRPr="00495862">
        <w:rPr>
          <w:lang w:eastAsia="en-US"/>
        </w:rPr>
        <w:t xml:space="preserve">discrimination occurs if a person is treated </w:t>
      </w:r>
      <w:r w:rsidRPr="00495862">
        <w:t xml:space="preserve">unfavourably </w:t>
      </w:r>
      <w:r w:rsidRPr="00495862">
        <w:rPr>
          <w:color w:val="auto"/>
        </w:rPr>
        <w:t>because of</w:t>
      </w:r>
      <w:r w:rsidRPr="00495862">
        <w:t xml:space="preserve"> “1 or more protected attributes”.</w:t>
      </w:r>
      <w:r w:rsidRPr="00495862">
        <w:rPr>
          <w:rStyle w:val="FootnoteReference"/>
          <w:szCs w:val="23"/>
        </w:rPr>
        <w:footnoteReference w:id="134"/>
      </w:r>
      <w:r w:rsidRPr="00495862">
        <w:t xml:space="preserve"> </w:t>
      </w:r>
    </w:p>
    <w:p w14:paraId="657BDC80" w14:textId="77777777" w:rsidR="008D695B" w:rsidRPr="00627093" w:rsidRDefault="008D695B" w:rsidP="008D695B">
      <w:pPr>
        <w:pStyle w:val="NormalAutoChapter"/>
        <w:rPr>
          <w:color w:val="auto"/>
          <w:lang w:eastAsia="en-US"/>
        </w:rPr>
      </w:pPr>
      <w:r w:rsidRPr="00495862">
        <w:rPr>
          <w:lang w:eastAsia="en-US"/>
        </w:rPr>
        <w:t xml:space="preserve">However, </w:t>
      </w:r>
      <w:r w:rsidRPr="00495862">
        <w:rPr>
          <w:color w:val="auto"/>
          <w:lang w:eastAsia="en-US"/>
        </w:rPr>
        <w:t>the ACT test may not</w:t>
      </w:r>
      <w:r w:rsidRPr="00495862">
        <w:t xml:space="preserve"> protect against discrimination based on </w:t>
      </w:r>
      <w:r w:rsidRPr="00495862">
        <w:rPr>
          <w:color w:val="auto"/>
        </w:rPr>
        <w:t xml:space="preserve">the combined effect of multiple </w:t>
      </w:r>
      <w:r w:rsidRPr="00495862">
        <w:t>attributes.</w:t>
      </w:r>
      <w:r w:rsidRPr="00495862">
        <w:rPr>
          <w:rStyle w:val="FootnoteReference"/>
        </w:rPr>
        <w:footnoteReference w:id="135"/>
      </w:r>
      <w:r w:rsidRPr="00495862">
        <w:t xml:space="preserve"> </w:t>
      </w:r>
      <w:r w:rsidRPr="00495862">
        <w:rPr>
          <w:color w:val="auto"/>
        </w:rPr>
        <w:t>Fo</w:t>
      </w:r>
      <w:r w:rsidRPr="00627093">
        <w:rPr>
          <w:color w:val="auto"/>
        </w:rPr>
        <w:t xml:space="preserve">r example, an employer might refuse to employ women of colour but employ men of colour and white women. </w:t>
      </w:r>
      <w:r>
        <w:rPr>
          <w:color w:val="auto"/>
        </w:rPr>
        <w:t>T</w:t>
      </w:r>
      <w:r w:rsidRPr="00627093">
        <w:rPr>
          <w:color w:val="auto"/>
        </w:rPr>
        <w:t>his could be described as discrimination based on a combination of attributes (sex and race)</w:t>
      </w:r>
      <w:r>
        <w:rPr>
          <w:color w:val="auto"/>
        </w:rPr>
        <w:t>, r</w:t>
      </w:r>
      <w:r w:rsidRPr="00627093">
        <w:rPr>
          <w:color w:val="auto"/>
        </w:rPr>
        <w:t>ather than discrimination based separately on sex and race.</w:t>
      </w:r>
      <w:r>
        <w:rPr>
          <w:rStyle w:val="FootnoteReference"/>
          <w:color w:val="auto"/>
        </w:rPr>
        <w:footnoteReference w:id="136"/>
      </w:r>
      <w:r w:rsidRPr="00627093">
        <w:rPr>
          <w:color w:val="auto"/>
        </w:rPr>
        <w:t xml:space="preserve"> This may not be captured by the ACT test. </w:t>
      </w:r>
    </w:p>
    <w:p w14:paraId="5BC6F5D6" w14:textId="77777777" w:rsidR="008D695B" w:rsidRPr="006530D2" w:rsidRDefault="008D695B" w:rsidP="008D695B">
      <w:pPr>
        <w:pStyle w:val="NormalAutoChapter"/>
        <w:rPr>
          <w:color w:val="auto"/>
          <w:lang w:eastAsia="en-US"/>
        </w:rPr>
      </w:pPr>
      <w:r w:rsidRPr="006530D2">
        <w:rPr>
          <w:color w:val="auto"/>
        </w:rPr>
        <w:t>To avoid uncertainty, an</w:t>
      </w:r>
      <w:r>
        <w:rPr>
          <w:color w:val="auto"/>
        </w:rPr>
        <w:t>other</w:t>
      </w:r>
      <w:r w:rsidRPr="006530D2">
        <w:rPr>
          <w:color w:val="auto"/>
        </w:rPr>
        <w:t xml:space="preserve"> approach might be to prohibit discrimination based on the combined effect of two or more </w:t>
      </w:r>
      <w:r>
        <w:rPr>
          <w:color w:val="auto"/>
        </w:rPr>
        <w:t xml:space="preserve">protected </w:t>
      </w:r>
      <w:r w:rsidRPr="006530D2">
        <w:rPr>
          <w:color w:val="auto"/>
        </w:rPr>
        <w:t xml:space="preserve">attributes. </w:t>
      </w:r>
      <w:r>
        <w:rPr>
          <w:color w:val="auto"/>
        </w:rPr>
        <w:t xml:space="preserve">The AHRC, LRCWA, and QHRC </w:t>
      </w:r>
      <w:r w:rsidRPr="006530D2">
        <w:rPr>
          <w:color w:val="auto"/>
        </w:rPr>
        <w:t>supported this</w:t>
      </w:r>
      <w:r>
        <w:rPr>
          <w:color w:val="auto"/>
        </w:rPr>
        <w:t xml:space="preserve"> approach</w:t>
      </w:r>
      <w:r w:rsidRPr="006B1DF8">
        <w:rPr>
          <w:color w:val="auto"/>
        </w:rPr>
        <w:t>.</w:t>
      </w:r>
      <w:r w:rsidRPr="006B1DF8">
        <w:rPr>
          <w:rStyle w:val="FootnoteReference"/>
          <w:color w:val="auto"/>
          <w:lang w:eastAsia="en-US"/>
        </w:rPr>
        <w:footnoteReference w:id="137"/>
      </w:r>
      <w:r w:rsidRPr="006B1DF8">
        <w:rPr>
          <w:color w:val="auto"/>
        </w:rPr>
        <w:t xml:space="preserve"> Queensland enacted reforms to do this, although at the time of writing it is uncertain when they will commence.</w:t>
      </w:r>
      <w:r w:rsidRPr="006B1DF8">
        <w:rPr>
          <w:rStyle w:val="FootnoteReference"/>
          <w:color w:val="auto"/>
        </w:rPr>
        <w:footnoteReference w:id="138"/>
      </w:r>
    </w:p>
    <w:p w14:paraId="7AD1FCB0" w14:textId="77777777" w:rsidR="008D695B" w:rsidRPr="00424321" w:rsidRDefault="008D695B" w:rsidP="008D695B">
      <w:pPr>
        <w:pStyle w:val="NormalAutoChapter"/>
        <w:rPr>
          <w:lang w:eastAsia="en-US"/>
        </w:rPr>
      </w:pPr>
      <w:r w:rsidRPr="001A7310">
        <w:rPr>
          <w:color w:val="auto"/>
        </w:rPr>
        <w:t xml:space="preserve">Some </w:t>
      </w:r>
      <w:r>
        <w:rPr>
          <w:color w:val="auto"/>
        </w:rPr>
        <w:t>other countries</w:t>
      </w:r>
      <w:r w:rsidRPr="001A7310">
        <w:rPr>
          <w:color w:val="auto"/>
        </w:rPr>
        <w:t xml:space="preserve"> </w:t>
      </w:r>
      <w:r>
        <w:rPr>
          <w:color w:val="auto"/>
        </w:rPr>
        <w:t xml:space="preserve">address </w:t>
      </w:r>
      <w:r w:rsidRPr="001A7310">
        <w:rPr>
          <w:color w:val="auto"/>
        </w:rPr>
        <w:t xml:space="preserve">discrimination </w:t>
      </w:r>
      <w:r>
        <w:rPr>
          <w:color w:val="auto"/>
        </w:rPr>
        <w:t xml:space="preserve">based on </w:t>
      </w:r>
      <w:r w:rsidRPr="001A7310">
        <w:rPr>
          <w:color w:val="auto"/>
        </w:rPr>
        <w:t>more than one protected attribute</w:t>
      </w:r>
      <w:r>
        <w:rPr>
          <w:color w:val="auto"/>
        </w:rPr>
        <w:t>, or on a combination of attributes</w:t>
      </w:r>
      <w:r w:rsidRPr="001A7310">
        <w:rPr>
          <w:color w:val="auto"/>
        </w:rPr>
        <w:t xml:space="preserve">. </w:t>
      </w:r>
      <w:r>
        <w:t xml:space="preserve">For example, the </w:t>
      </w:r>
      <w:r>
        <w:rPr>
          <w:lang w:eastAsia="en-US"/>
        </w:rPr>
        <w:t xml:space="preserve">Canadian </w:t>
      </w:r>
      <w:r w:rsidRPr="00756427">
        <w:rPr>
          <w:i/>
          <w:iCs/>
          <w:lang w:eastAsia="en-US"/>
        </w:rPr>
        <w:t>Human Rights Act</w:t>
      </w:r>
      <w:r>
        <w:rPr>
          <w:lang w:eastAsia="en-US"/>
        </w:rPr>
        <w:t xml:space="preserve"> protects against discrimination on “</w:t>
      </w:r>
      <w:r w:rsidRPr="00165046">
        <w:rPr>
          <w:lang w:eastAsia="en-US"/>
        </w:rPr>
        <w:t xml:space="preserve">one or more prohibited grounds </w:t>
      </w:r>
      <w:r>
        <w:rPr>
          <w:lang w:eastAsia="en-US"/>
        </w:rPr>
        <w:t>…</w:t>
      </w:r>
      <w:r w:rsidRPr="00165046">
        <w:rPr>
          <w:lang w:eastAsia="en-US"/>
        </w:rPr>
        <w:t xml:space="preserve"> or </w:t>
      </w:r>
      <w:r w:rsidRPr="00165046">
        <w:rPr>
          <w:lang w:eastAsia="en-US"/>
        </w:rPr>
        <w:lastRenderedPageBreak/>
        <w:t>on the effect of a combination of prohibited grounds</w:t>
      </w:r>
      <w:r>
        <w:rPr>
          <w:lang w:eastAsia="en-US"/>
        </w:rPr>
        <w:t>”.</w:t>
      </w:r>
      <w:r w:rsidRPr="00650E99">
        <w:rPr>
          <w:rStyle w:val="FootnoteReference"/>
          <w:lang w:eastAsia="en-US"/>
        </w:rPr>
        <w:footnoteReference w:id="139"/>
      </w:r>
      <w:r>
        <w:t xml:space="preserve"> </w:t>
      </w:r>
      <w:bookmarkStart w:id="112" w:name="_Hlk195621616"/>
      <w:r>
        <w:t>The UK legislation contains a section to address “combined” discrimination, although it has not entered into force.</w:t>
      </w:r>
      <w:r>
        <w:rPr>
          <w:rStyle w:val="FootnoteReference"/>
        </w:rPr>
        <w:footnoteReference w:id="140"/>
      </w:r>
      <w:r>
        <w:t xml:space="preserve"> </w:t>
      </w:r>
    </w:p>
    <w:bookmarkEnd w:id="112"/>
    <w:p w14:paraId="64D7E5FE" w14:textId="77777777" w:rsidR="008D695B" w:rsidRPr="00FD65B3" w:rsidRDefault="008D695B" w:rsidP="008D695B">
      <w:pPr>
        <w:pStyle w:val="NormalAutoChapter"/>
        <w:rPr>
          <w:color w:val="auto"/>
          <w:lang w:eastAsia="en-US"/>
        </w:rPr>
      </w:pPr>
      <w:r w:rsidRPr="00FD65B3">
        <w:rPr>
          <w:color w:val="auto"/>
          <w:lang w:eastAsia="en-US"/>
        </w:rPr>
        <w:t xml:space="preserve">Protecting against intersectional discrimination </w:t>
      </w:r>
      <w:r>
        <w:rPr>
          <w:color w:val="auto"/>
          <w:lang w:eastAsia="en-US"/>
        </w:rPr>
        <w:t xml:space="preserve">could </w:t>
      </w:r>
      <w:r w:rsidRPr="00FD65B3">
        <w:rPr>
          <w:color w:val="auto"/>
          <w:lang w:eastAsia="en-US"/>
        </w:rPr>
        <w:t xml:space="preserve">more accurately reflect the many ways discrimination can occur. It </w:t>
      </w:r>
      <w:r>
        <w:rPr>
          <w:color w:val="auto"/>
          <w:lang w:eastAsia="en-US"/>
        </w:rPr>
        <w:t>c</w:t>
      </w:r>
      <w:r w:rsidRPr="00FD65B3">
        <w:rPr>
          <w:color w:val="auto"/>
          <w:lang w:eastAsia="en-US"/>
        </w:rPr>
        <w:t>ould also mean</w:t>
      </w:r>
      <w:r>
        <w:rPr>
          <w:color w:val="auto"/>
          <w:lang w:eastAsia="en-US"/>
        </w:rPr>
        <w:t xml:space="preserve"> the ADA covers</w:t>
      </w:r>
      <w:r w:rsidRPr="00FD65B3">
        <w:rPr>
          <w:color w:val="auto"/>
          <w:lang w:eastAsia="en-US"/>
        </w:rPr>
        <w:t xml:space="preserve"> more instances of discrimination. On the other hand, </w:t>
      </w:r>
      <w:r w:rsidRPr="00FD65B3">
        <w:rPr>
          <w:color w:val="auto"/>
        </w:rPr>
        <w:t xml:space="preserve">allowing complaints </w:t>
      </w:r>
      <w:r>
        <w:rPr>
          <w:color w:val="auto"/>
        </w:rPr>
        <w:t xml:space="preserve">to be </w:t>
      </w:r>
      <w:r w:rsidRPr="00FD65B3">
        <w:rPr>
          <w:color w:val="auto"/>
        </w:rPr>
        <w:t>based on overlapping attributes may increase complexity.</w:t>
      </w:r>
      <w:r w:rsidRPr="001A7310">
        <w:rPr>
          <w:rStyle w:val="FootnoteReference"/>
          <w:color w:val="auto"/>
        </w:rPr>
        <w:footnoteReference w:id="141"/>
      </w:r>
      <w:r w:rsidRPr="00FD65B3">
        <w:rPr>
          <w:color w:val="auto"/>
        </w:rPr>
        <w:t xml:space="preserve"> </w:t>
      </w:r>
    </w:p>
    <w:p w14:paraId="499F3D6E" w14:textId="77777777" w:rsidR="008D695B" w:rsidRPr="00181A73" w:rsidRDefault="008D695B" w:rsidP="008D695B">
      <w:pPr>
        <w:pStyle w:val="Recommendationheading"/>
      </w:pPr>
      <w:r w:rsidRPr="00181A73">
        <w:t>Question 3.8: Intersectional discrimination</w:t>
      </w:r>
    </w:p>
    <w:p w14:paraId="7D047DF9" w14:textId="77777777" w:rsidR="008D695B" w:rsidRPr="00181A73" w:rsidRDefault="008D695B" w:rsidP="008D695B">
      <w:pPr>
        <w:pStyle w:val="Recommendationhanging1"/>
      </w:pPr>
      <w:r w:rsidRPr="00181A73">
        <w:t>(1)</w:t>
      </w:r>
      <w:r w:rsidRPr="00181A73">
        <w:tab/>
        <w:t xml:space="preserve">Should the </w:t>
      </w:r>
      <w:r>
        <w:t xml:space="preserve">ADA </w:t>
      </w:r>
      <w:r w:rsidRPr="00181A73">
        <w:t>protect against intersectional discrimination? Why or why not?</w:t>
      </w:r>
    </w:p>
    <w:p w14:paraId="3061B192" w14:textId="77777777" w:rsidR="008D695B" w:rsidRPr="00181A73" w:rsidRDefault="008D695B" w:rsidP="008D695B">
      <w:pPr>
        <w:pStyle w:val="Recommendationhanging1"/>
      </w:pPr>
      <w:r w:rsidRPr="00181A73">
        <w:t>(2)</w:t>
      </w:r>
      <w:r w:rsidRPr="00181A73">
        <w:tab/>
        <w:t xml:space="preserve">If so, how should this be achieved? </w:t>
      </w:r>
    </w:p>
    <w:p w14:paraId="2EE5E81C" w14:textId="77777777" w:rsidR="008D695B" w:rsidRDefault="008D695B" w:rsidP="008D695B">
      <w:pPr>
        <w:pStyle w:val="Heading2"/>
      </w:pPr>
      <w:bookmarkStart w:id="113" w:name="_Toc196749521"/>
      <w:bookmarkStart w:id="114" w:name="_Toc196826827"/>
      <w:r>
        <w:t>Intended future discrimination</w:t>
      </w:r>
      <w:bookmarkEnd w:id="113"/>
      <w:bookmarkEnd w:id="114"/>
    </w:p>
    <w:p w14:paraId="45064B3F" w14:textId="77777777" w:rsidR="008D695B" w:rsidRDefault="008D695B" w:rsidP="008D695B">
      <w:pPr>
        <w:pStyle w:val="NormalAutoChapter"/>
        <w:rPr>
          <w:lang w:eastAsia="en-US"/>
        </w:rPr>
      </w:pPr>
      <w:r>
        <w:rPr>
          <w:lang w:eastAsia="en-US"/>
        </w:rPr>
        <w:t>Some Australian discrimination laws protect against intended future discriminatory conduct.</w:t>
      </w:r>
      <w:r>
        <w:rPr>
          <w:rStyle w:val="FootnoteReference"/>
        </w:rPr>
        <w:footnoteReference w:id="142"/>
      </w:r>
      <w:r>
        <w:rPr>
          <w:lang w:eastAsia="en-US"/>
        </w:rPr>
        <w:t xml:space="preserve"> The ADA does not do this. The ADA generally cannot be used to prevent discrimination.</w:t>
      </w:r>
      <w:r>
        <w:rPr>
          <w:rStyle w:val="FootnoteReference"/>
          <w:lang w:eastAsia="en-US"/>
        </w:rPr>
        <w:footnoteReference w:id="143"/>
      </w:r>
      <w:r>
        <w:rPr>
          <w:lang w:eastAsia="en-US"/>
        </w:rPr>
        <w:t xml:space="preserve"> However, there is a prohibition on advertisements that indicate an intention to do something unlawful under the ADA. We consider this in </w:t>
      </w:r>
      <w:r w:rsidRPr="00B24FD0">
        <w:rPr>
          <w:lang w:eastAsia="en-US"/>
        </w:rPr>
        <w:t>chapter 10.</w:t>
      </w:r>
    </w:p>
    <w:p w14:paraId="1D8177E5" w14:textId="77777777" w:rsidR="008D695B" w:rsidRDefault="008D695B" w:rsidP="008D695B">
      <w:pPr>
        <w:pStyle w:val="NormalAutoChapter"/>
        <w:rPr>
          <w:lang w:eastAsia="en-US"/>
        </w:rPr>
      </w:pPr>
      <w:r>
        <w:rPr>
          <w:lang w:eastAsia="en-US"/>
        </w:rPr>
        <w:t xml:space="preserve">This could be addressed by extending the test for direct discrimination to include when a duty holder “proposes to treat” someone unfavourably. This has been done in the ACT, Victoria, the Northern Territory, Queensland and in the </w:t>
      </w:r>
      <w:r w:rsidRPr="006D1E0D">
        <w:rPr>
          <w:i/>
          <w:iCs/>
          <w:lang w:eastAsia="en-US"/>
        </w:rPr>
        <w:t>A</w:t>
      </w:r>
      <w:r>
        <w:rPr>
          <w:i/>
          <w:iCs/>
          <w:lang w:eastAsia="en-US"/>
        </w:rPr>
        <w:t>ge</w:t>
      </w:r>
      <w:r w:rsidRPr="006D1E0D">
        <w:rPr>
          <w:i/>
          <w:iCs/>
          <w:lang w:eastAsia="en-US"/>
        </w:rPr>
        <w:t xml:space="preserve"> Discrimination Act</w:t>
      </w:r>
      <w:r>
        <w:rPr>
          <w:i/>
          <w:iCs/>
          <w:lang w:eastAsia="en-US"/>
        </w:rPr>
        <w:t xml:space="preserve"> 2004 </w:t>
      </w:r>
      <w:r>
        <w:rPr>
          <w:lang w:eastAsia="en-US"/>
        </w:rPr>
        <w:t>(Cth) (</w:t>
      </w:r>
      <w:r w:rsidRPr="009716DB">
        <w:rPr>
          <w:i/>
          <w:iCs/>
          <w:lang w:eastAsia="en-US"/>
        </w:rPr>
        <w:t>Age Discrimination Act</w:t>
      </w:r>
      <w:r>
        <w:rPr>
          <w:lang w:eastAsia="en-US"/>
        </w:rPr>
        <w:t>).</w:t>
      </w:r>
      <w:r>
        <w:rPr>
          <w:rStyle w:val="FootnoteReference"/>
        </w:rPr>
        <w:footnoteReference w:id="144"/>
      </w:r>
    </w:p>
    <w:p w14:paraId="0AE15506" w14:textId="77777777" w:rsidR="008D695B" w:rsidRDefault="008D695B" w:rsidP="008D695B">
      <w:pPr>
        <w:pStyle w:val="NormalAutoChapter"/>
        <w:rPr>
          <w:lang w:eastAsia="en-US"/>
        </w:rPr>
      </w:pPr>
      <w:r>
        <w:t>In 1999, the NSWLRC recommended that the test for direct discrimination should include future discrimination. This would mean that a potential victim could make a complaint if they were aware of intended discrimination.</w:t>
      </w:r>
      <w:r>
        <w:rPr>
          <w:rStyle w:val="FootnoteReference"/>
        </w:rPr>
        <w:footnoteReference w:id="145"/>
      </w:r>
      <w:r>
        <w:t xml:space="preserve"> </w:t>
      </w:r>
    </w:p>
    <w:p w14:paraId="01878FF0" w14:textId="77777777" w:rsidR="008D695B" w:rsidRDefault="008D695B" w:rsidP="008D695B">
      <w:pPr>
        <w:pStyle w:val="NormalAutoChapter"/>
        <w:rPr>
          <w:lang w:eastAsia="en-US"/>
        </w:rPr>
      </w:pPr>
      <w:r>
        <w:rPr>
          <w:lang w:eastAsia="en-US"/>
        </w:rPr>
        <w:lastRenderedPageBreak/>
        <w:t xml:space="preserve">The test for indirect discrimination could also cover when someone proposes to impose a requirement, condition, or practice, which effectively captures intended future indirect discrimination. This applies in the ACT, Victoria, Queensland, and the </w:t>
      </w:r>
      <w:r w:rsidRPr="00DC1BFD">
        <w:rPr>
          <w:i/>
          <w:iCs/>
          <w:lang w:eastAsia="en-US"/>
        </w:rPr>
        <w:t>A</w:t>
      </w:r>
      <w:r>
        <w:rPr>
          <w:i/>
          <w:iCs/>
          <w:lang w:eastAsia="en-US"/>
        </w:rPr>
        <w:t>ge</w:t>
      </w:r>
      <w:r w:rsidRPr="00DC1BFD">
        <w:rPr>
          <w:i/>
          <w:iCs/>
          <w:lang w:eastAsia="en-US"/>
        </w:rPr>
        <w:t xml:space="preserve"> Discrimination Act</w:t>
      </w:r>
      <w:r>
        <w:rPr>
          <w:lang w:eastAsia="en-US"/>
        </w:rPr>
        <w:t>.</w:t>
      </w:r>
      <w:r>
        <w:rPr>
          <w:rStyle w:val="FootnoteReference"/>
          <w:lang w:eastAsia="en-US"/>
        </w:rPr>
        <w:footnoteReference w:id="146"/>
      </w:r>
      <w:r>
        <w:rPr>
          <w:lang w:eastAsia="en-US"/>
        </w:rPr>
        <w:t xml:space="preserve"> </w:t>
      </w:r>
      <w:bookmarkStart w:id="115" w:name="_Hlk160794815"/>
    </w:p>
    <w:p w14:paraId="48A9ABF9" w14:textId="77777777" w:rsidR="008D695B" w:rsidRPr="00197B0F" w:rsidRDefault="008D695B" w:rsidP="008D695B">
      <w:pPr>
        <w:pStyle w:val="Recommendationheading"/>
      </w:pPr>
      <w:r w:rsidRPr="00197B0F">
        <w:t>Question 3.9: Intended future discrimination</w:t>
      </w:r>
    </w:p>
    <w:p w14:paraId="30375BBB" w14:textId="77777777" w:rsidR="008D695B" w:rsidRPr="00197B0F" w:rsidRDefault="008D695B" w:rsidP="008D695B">
      <w:pPr>
        <w:pStyle w:val="Recommendationnormal"/>
      </w:pPr>
      <w:r w:rsidRPr="00197B0F">
        <w:t xml:space="preserve">Should the tests for discrimination capture intended future discrimination? Why or why not? If so, how could this be achieved? </w:t>
      </w:r>
    </w:p>
    <w:bookmarkEnd w:id="115"/>
    <w:p w14:paraId="51B5653A" w14:textId="77777777" w:rsidR="00181C16" w:rsidRDefault="00181C16" w:rsidP="00F41119">
      <w:pPr>
        <w:sectPr w:rsidR="00181C16" w:rsidSect="00744F61">
          <w:headerReference w:type="even" r:id="rId29"/>
          <w:footnotePr>
            <w:numRestart w:val="eachSect"/>
          </w:footnotePr>
          <w:pgSz w:w="11906" w:h="16838" w:code="9"/>
          <w:pgMar w:top="1701" w:right="1304" w:bottom="1021" w:left="1304" w:header="567" w:footer="567" w:gutter="0"/>
          <w:cols w:space="708"/>
          <w:docGrid w:linePitch="360"/>
        </w:sectPr>
      </w:pPr>
    </w:p>
    <w:p w14:paraId="46859632" w14:textId="77777777" w:rsidR="00181C16" w:rsidRPr="00487CF8" w:rsidRDefault="00181C16" w:rsidP="00181C16">
      <w:pPr>
        <w:pStyle w:val="ChapterHeading"/>
      </w:pPr>
      <w:bookmarkStart w:id="116" w:name="_Toc196826828"/>
      <w:r>
        <w:lastRenderedPageBreak/>
        <w:t>Discrimination: protected attributes</w:t>
      </w:r>
      <w:bookmarkEnd w:id="116"/>
      <w:r>
        <w:t xml:space="preserve">  </w:t>
      </w:r>
    </w:p>
    <w:p w14:paraId="0DDFD003" w14:textId="7BBBCB9D" w:rsidR="00181C16" w:rsidRPr="00487CF8" w:rsidRDefault="00181C16" w:rsidP="00181C16">
      <w:pPr>
        <w:pStyle w:val="InBriefHeading"/>
        <w:spacing w:after="0"/>
        <w:contextualSpacing w:val="0"/>
      </w:pPr>
      <w:r>
        <w:t>In brief</w:t>
      </w:r>
    </w:p>
    <w:p w14:paraId="5E3BC061" w14:textId="77777777" w:rsidR="00181C16" w:rsidRDefault="00181C16" w:rsidP="00181C16">
      <w:pPr>
        <w:pStyle w:val="InBriefText"/>
        <w:spacing w:before="0"/>
      </w:pPr>
      <w:r>
        <w:t xml:space="preserve">The </w:t>
      </w:r>
      <w:r w:rsidRPr="001A21E2">
        <w:rPr>
          <w:i/>
          <w:iCs/>
        </w:rPr>
        <w:t>Anti-Discrimination Act 1977</w:t>
      </w:r>
      <w:r>
        <w:t xml:space="preserve"> (NSW) only protects against discrimination that is based on certain, specified attributes. We seek your views on the definitions and descriptions of the existing protected attributes, and on certain attribute-specific exceptions.</w:t>
      </w:r>
    </w:p>
    <w:p w14:paraId="35503968" w14:textId="3C89A012" w:rsidR="00181C16" w:rsidRPr="00B55200" w:rsidRDefault="00181C16" w:rsidP="00181C16">
      <w:pPr>
        <w:pStyle w:val="TOC2"/>
        <w:rPr>
          <w:rFonts w:eastAsiaTheme="minorEastAsia" w:cstheme="minorBidi"/>
          <w:b w:val="0"/>
          <w:color w:val="auto"/>
          <w:kern w:val="2"/>
          <w:sz w:val="24"/>
          <w:u w:val="none"/>
          <w:lang w:eastAsia="en-AU"/>
          <w14:ligatures w14:val="standardContextual"/>
        </w:rPr>
      </w:pPr>
      <w:r w:rsidRPr="00487CF8">
        <w:rPr>
          <w:noProof w:val="0"/>
        </w:rPr>
        <w:fldChar w:fldCharType="begin"/>
      </w:r>
      <w:r w:rsidRPr="00487CF8">
        <w:rPr>
          <w:noProof w:val="0"/>
        </w:rPr>
        <w:instrText xml:space="preserve"> TOC \h \z \t "Heading 1,2,Heading 2,3,Heading - Major,1,Heading default,1,Title page 1,1" </w:instrText>
      </w:r>
      <w:r w:rsidRPr="00487CF8">
        <w:rPr>
          <w:noProof w:val="0"/>
        </w:rPr>
        <w:fldChar w:fldCharType="separate"/>
      </w:r>
      <w:hyperlink w:anchor="_Toc196749984" w:history="1">
        <w:r w:rsidRPr="00B55200">
          <w:rPr>
            <w:rStyle w:val="Hyperlink"/>
            <w:rFonts w:ascii="Public Sans" w:hAnsi="Public Sans"/>
          </w:rPr>
          <w:t>Age</w:t>
        </w:r>
        <w:r w:rsidRPr="00B55200">
          <w:rPr>
            <w:webHidden/>
          </w:rPr>
          <w:tab/>
        </w:r>
        <w:r w:rsidRPr="00B55200">
          <w:rPr>
            <w:webHidden/>
          </w:rPr>
          <w:fldChar w:fldCharType="begin"/>
        </w:r>
        <w:r w:rsidRPr="00B55200">
          <w:rPr>
            <w:webHidden/>
          </w:rPr>
          <w:instrText xml:space="preserve"> PAGEREF _Toc196749984 \h </w:instrText>
        </w:r>
        <w:r w:rsidRPr="00B55200">
          <w:rPr>
            <w:webHidden/>
          </w:rPr>
        </w:r>
        <w:r w:rsidRPr="00B55200">
          <w:rPr>
            <w:webHidden/>
          </w:rPr>
          <w:fldChar w:fldCharType="separate"/>
        </w:r>
        <w:r w:rsidR="00F44BFC">
          <w:rPr>
            <w:webHidden/>
          </w:rPr>
          <w:t>43</w:t>
        </w:r>
        <w:r w:rsidRPr="00B55200">
          <w:rPr>
            <w:webHidden/>
          </w:rPr>
          <w:fldChar w:fldCharType="end"/>
        </w:r>
      </w:hyperlink>
    </w:p>
    <w:p w14:paraId="61B72166" w14:textId="406D45C8" w:rsidR="00181C16" w:rsidRPr="00B55200" w:rsidRDefault="00181C16" w:rsidP="00181C16">
      <w:pPr>
        <w:pStyle w:val="TOC2"/>
        <w:rPr>
          <w:rFonts w:eastAsiaTheme="minorEastAsia" w:cstheme="minorBidi"/>
          <w:b w:val="0"/>
          <w:color w:val="auto"/>
          <w:kern w:val="2"/>
          <w:sz w:val="24"/>
          <w:u w:val="none"/>
          <w:lang w:eastAsia="en-AU"/>
          <w14:ligatures w14:val="standardContextual"/>
        </w:rPr>
      </w:pPr>
      <w:hyperlink w:anchor="_Toc196749985" w:history="1">
        <w:r w:rsidRPr="00B55200">
          <w:rPr>
            <w:rStyle w:val="Hyperlink"/>
            <w:rFonts w:ascii="Public Sans" w:hAnsi="Public Sans"/>
          </w:rPr>
          <w:t>Carer’s responsibilities</w:t>
        </w:r>
        <w:r w:rsidRPr="00B55200">
          <w:rPr>
            <w:webHidden/>
          </w:rPr>
          <w:tab/>
        </w:r>
        <w:r w:rsidRPr="00B55200">
          <w:rPr>
            <w:webHidden/>
          </w:rPr>
          <w:fldChar w:fldCharType="begin"/>
        </w:r>
        <w:r w:rsidRPr="00B55200">
          <w:rPr>
            <w:webHidden/>
          </w:rPr>
          <w:instrText xml:space="preserve"> PAGEREF _Toc196749985 \h </w:instrText>
        </w:r>
        <w:r w:rsidRPr="00B55200">
          <w:rPr>
            <w:webHidden/>
          </w:rPr>
        </w:r>
        <w:r w:rsidRPr="00B55200">
          <w:rPr>
            <w:webHidden/>
          </w:rPr>
          <w:fldChar w:fldCharType="separate"/>
        </w:r>
        <w:r w:rsidR="00F44BFC">
          <w:rPr>
            <w:webHidden/>
          </w:rPr>
          <w:t>44</w:t>
        </w:r>
        <w:r w:rsidRPr="00B55200">
          <w:rPr>
            <w:webHidden/>
          </w:rPr>
          <w:fldChar w:fldCharType="end"/>
        </w:r>
      </w:hyperlink>
    </w:p>
    <w:p w14:paraId="49891EFF" w14:textId="138D5A2E" w:rsidR="00181C16" w:rsidRPr="00B55200" w:rsidRDefault="00181C16" w:rsidP="00181C16">
      <w:pPr>
        <w:pStyle w:val="TOC3"/>
        <w:rPr>
          <w:rFonts w:eastAsiaTheme="minorEastAsia" w:cstheme="minorBidi"/>
          <w:color w:val="auto"/>
          <w:kern w:val="2"/>
          <w:sz w:val="24"/>
          <w:u w:val="none"/>
          <w:lang w:eastAsia="en-AU"/>
          <w14:ligatures w14:val="standardContextual"/>
        </w:rPr>
      </w:pPr>
      <w:hyperlink w:anchor="_Toc196749986" w:history="1">
        <w:r w:rsidRPr="00B55200">
          <w:rPr>
            <w:rStyle w:val="Hyperlink"/>
            <w:rFonts w:ascii="Public Sans" w:hAnsi="Public Sans"/>
          </w:rPr>
          <w:t>Whether the attribute should be defined</w:t>
        </w:r>
        <w:r w:rsidRPr="00B55200">
          <w:rPr>
            <w:webHidden/>
          </w:rPr>
          <w:tab/>
        </w:r>
        <w:r w:rsidRPr="00B55200">
          <w:rPr>
            <w:webHidden/>
          </w:rPr>
          <w:fldChar w:fldCharType="begin"/>
        </w:r>
        <w:r w:rsidRPr="00B55200">
          <w:rPr>
            <w:webHidden/>
          </w:rPr>
          <w:instrText xml:space="preserve"> PAGEREF _Toc196749986 \h </w:instrText>
        </w:r>
        <w:r w:rsidRPr="00B55200">
          <w:rPr>
            <w:webHidden/>
          </w:rPr>
        </w:r>
        <w:r w:rsidRPr="00B55200">
          <w:rPr>
            <w:webHidden/>
          </w:rPr>
          <w:fldChar w:fldCharType="separate"/>
        </w:r>
        <w:r w:rsidR="00F44BFC">
          <w:rPr>
            <w:webHidden/>
          </w:rPr>
          <w:t>44</w:t>
        </w:r>
        <w:r w:rsidRPr="00B55200">
          <w:rPr>
            <w:webHidden/>
          </w:rPr>
          <w:fldChar w:fldCharType="end"/>
        </w:r>
      </w:hyperlink>
    </w:p>
    <w:p w14:paraId="2C76E76B" w14:textId="3646B891" w:rsidR="00181C16" w:rsidRPr="00B55200" w:rsidRDefault="00181C16" w:rsidP="00181C16">
      <w:pPr>
        <w:pStyle w:val="TOC3"/>
        <w:rPr>
          <w:rFonts w:eastAsiaTheme="minorEastAsia" w:cstheme="minorBidi"/>
          <w:color w:val="auto"/>
          <w:kern w:val="2"/>
          <w:sz w:val="24"/>
          <w:u w:val="none"/>
          <w:lang w:eastAsia="en-AU"/>
          <w14:ligatures w14:val="standardContextual"/>
        </w:rPr>
      </w:pPr>
      <w:hyperlink w:anchor="_Toc196749987" w:history="1">
        <w:r w:rsidRPr="00B55200">
          <w:rPr>
            <w:rStyle w:val="Hyperlink"/>
            <w:rFonts w:ascii="Public Sans" w:eastAsia="Calibri" w:hAnsi="Public Sans"/>
          </w:rPr>
          <w:t>Options for different definitions of “carer”</w:t>
        </w:r>
        <w:r w:rsidRPr="00B55200">
          <w:rPr>
            <w:webHidden/>
          </w:rPr>
          <w:tab/>
        </w:r>
        <w:r w:rsidRPr="00B55200">
          <w:rPr>
            <w:webHidden/>
          </w:rPr>
          <w:fldChar w:fldCharType="begin"/>
        </w:r>
        <w:r w:rsidRPr="00B55200">
          <w:rPr>
            <w:webHidden/>
          </w:rPr>
          <w:instrText xml:space="preserve"> PAGEREF _Toc196749987 \h </w:instrText>
        </w:r>
        <w:r w:rsidRPr="00B55200">
          <w:rPr>
            <w:webHidden/>
          </w:rPr>
        </w:r>
        <w:r w:rsidRPr="00B55200">
          <w:rPr>
            <w:webHidden/>
          </w:rPr>
          <w:fldChar w:fldCharType="separate"/>
        </w:r>
        <w:r w:rsidR="00F44BFC">
          <w:rPr>
            <w:webHidden/>
          </w:rPr>
          <w:t>45</w:t>
        </w:r>
        <w:r w:rsidRPr="00B55200">
          <w:rPr>
            <w:webHidden/>
          </w:rPr>
          <w:fldChar w:fldCharType="end"/>
        </w:r>
      </w:hyperlink>
    </w:p>
    <w:p w14:paraId="6898B1FC" w14:textId="318B9235" w:rsidR="00181C16" w:rsidRPr="00B55200" w:rsidRDefault="00181C16" w:rsidP="00181C16">
      <w:pPr>
        <w:pStyle w:val="TOC3"/>
        <w:rPr>
          <w:rFonts w:eastAsiaTheme="minorEastAsia" w:cstheme="minorBidi"/>
          <w:color w:val="auto"/>
          <w:kern w:val="2"/>
          <w:sz w:val="24"/>
          <w:u w:val="none"/>
          <w:lang w:eastAsia="en-AU"/>
          <w14:ligatures w14:val="standardContextual"/>
        </w:rPr>
      </w:pPr>
      <w:hyperlink w:anchor="_Toc196749988" w:history="1">
        <w:r w:rsidRPr="00B55200">
          <w:rPr>
            <w:rStyle w:val="Hyperlink"/>
            <w:rFonts w:ascii="Public Sans" w:hAnsi="Public Sans"/>
          </w:rPr>
          <w:t>Other forms of relationships could be recognised</w:t>
        </w:r>
        <w:r w:rsidRPr="00B55200">
          <w:rPr>
            <w:webHidden/>
          </w:rPr>
          <w:tab/>
        </w:r>
        <w:r w:rsidRPr="00B55200">
          <w:rPr>
            <w:webHidden/>
          </w:rPr>
          <w:fldChar w:fldCharType="begin"/>
        </w:r>
        <w:r w:rsidRPr="00B55200">
          <w:rPr>
            <w:webHidden/>
          </w:rPr>
          <w:instrText xml:space="preserve"> PAGEREF _Toc196749988 \h </w:instrText>
        </w:r>
        <w:r w:rsidRPr="00B55200">
          <w:rPr>
            <w:webHidden/>
          </w:rPr>
        </w:r>
        <w:r w:rsidRPr="00B55200">
          <w:rPr>
            <w:webHidden/>
          </w:rPr>
          <w:fldChar w:fldCharType="separate"/>
        </w:r>
        <w:r w:rsidR="00F44BFC">
          <w:rPr>
            <w:webHidden/>
          </w:rPr>
          <w:t>46</w:t>
        </w:r>
        <w:r w:rsidRPr="00B55200">
          <w:rPr>
            <w:webHidden/>
          </w:rPr>
          <w:fldChar w:fldCharType="end"/>
        </w:r>
      </w:hyperlink>
    </w:p>
    <w:p w14:paraId="44F100A4" w14:textId="65903D5D" w:rsidR="00181C16" w:rsidRPr="00B55200" w:rsidRDefault="00181C16" w:rsidP="00181C16">
      <w:pPr>
        <w:pStyle w:val="TOC2"/>
        <w:rPr>
          <w:rFonts w:eastAsiaTheme="minorEastAsia" w:cstheme="minorBidi"/>
          <w:b w:val="0"/>
          <w:color w:val="auto"/>
          <w:kern w:val="2"/>
          <w:sz w:val="24"/>
          <w:u w:val="none"/>
          <w:lang w:eastAsia="en-AU"/>
          <w14:ligatures w14:val="standardContextual"/>
        </w:rPr>
      </w:pPr>
      <w:hyperlink w:anchor="_Toc196749989" w:history="1">
        <w:r w:rsidRPr="00B55200">
          <w:rPr>
            <w:rStyle w:val="Hyperlink"/>
            <w:rFonts w:ascii="Public Sans" w:hAnsi="Public Sans"/>
          </w:rPr>
          <w:t>Disability discrimination</w:t>
        </w:r>
        <w:r w:rsidRPr="00B55200">
          <w:rPr>
            <w:webHidden/>
          </w:rPr>
          <w:tab/>
        </w:r>
        <w:r w:rsidRPr="00B55200">
          <w:rPr>
            <w:webHidden/>
          </w:rPr>
          <w:fldChar w:fldCharType="begin"/>
        </w:r>
        <w:r w:rsidRPr="00B55200">
          <w:rPr>
            <w:webHidden/>
          </w:rPr>
          <w:instrText xml:space="preserve"> PAGEREF _Toc196749989 \h </w:instrText>
        </w:r>
        <w:r w:rsidRPr="00B55200">
          <w:rPr>
            <w:webHidden/>
          </w:rPr>
        </w:r>
        <w:r w:rsidRPr="00B55200">
          <w:rPr>
            <w:webHidden/>
          </w:rPr>
          <w:fldChar w:fldCharType="separate"/>
        </w:r>
        <w:r w:rsidR="00F44BFC">
          <w:rPr>
            <w:webHidden/>
          </w:rPr>
          <w:t>46</w:t>
        </w:r>
        <w:r w:rsidRPr="00B55200">
          <w:rPr>
            <w:webHidden/>
          </w:rPr>
          <w:fldChar w:fldCharType="end"/>
        </w:r>
      </w:hyperlink>
    </w:p>
    <w:p w14:paraId="6CB26339" w14:textId="314898E3" w:rsidR="00181C16" w:rsidRPr="00B55200" w:rsidRDefault="00181C16" w:rsidP="00181C16">
      <w:pPr>
        <w:pStyle w:val="TOC3"/>
        <w:rPr>
          <w:rFonts w:eastAsiaTheme="minorEastAsia" w:cstheme="minorBidi"/>
          <w:color w:val="auto"/>
          <w:kern w:val="2"/>
          <w:sz w:val="24"/>
          <w:u w:val="none"/>
          <w:lang w:eastAsia="en-AU"/>
          <w14:ligatures w14:val="standardContextual"/>
        </w:rPr>
      </w:pPr>
      <w:hyperlink w:anchor="_Toc196749990" w:history="1">
        <w:r w:rsidRPr="00B55200">
          <w:rPr>
            <w:rStyle w:val="Hyperlink"/>
            <w:rFonts w:ascii="Public Sans" w:hAnsi="Public Sans"/>
          </w:rPr>
          <w:t>The language used to define “disability”</w:t>
        </w:r>
        <w:r w:rsidRPr="00B55200">
          <w:rPr>
            <w:webHidden/>
          </w:rPr>
          <w:tab/>
        </w:r>
        <w:r w:rsidRPr="00B55200">
          <w:rPr>
            <w:webHidden/>
          </w:rPr>
          <w:fldChar w:fldCharType="begin"/>
        </w:r>
        <w:r w:rsidRPr="00B55200">
          <w:rPr>
            <w:webHidden/>
          </w:rPr>
          <w:instrText xml:space="preserve"> PAGEREF _Toc196749990 \h </w:instrText>
        </w:r>
        <w:r w:rsidRPr="00B55200">
          <w:rPr>
            <w:webHidden/>
          </w:rPr>
        </w:r>
        <w:r w:rsidRPr="00B55200">
          <w:rPr>
            <w:webHidden/>
          </w:rPr>
          <w:fldChar w:fldCharType="separate"/>
        </w:r>
        <w:r w:rsidR="00F44BFC">
          <w:rPr>
            <w:webHidden/>
          </w:rPr>
          <w:t>47</w:t>
        </w:r>
        <w:r w:rsidRPr="00B55200">
          <w:rPr>
            <w:webHidden/>
          </w:rPr>
          <w:fldChar w:fldCharType="end"/>
        </w:r>
      </w:hyperlink>
    </w:p>
    <w:p w14:paraId="12958522" w14:textId="1ECC883B" w:rsidR="00181C16" w:rsidRPr="00B55200" w:rsidRDefault="00181C16" w:rsidP="00181C16">
      <w:pPr>
        <w:pStyle w:val="TOC3"/>
        <w:rPr>
          <w:rFonts w:eastAsiaTheme="minorEastAsia" w:cstheme="minorBidi"/>
          <w:color w:val="auto"/>
          <w:kern w:val="2"/>
          <w:sz w:val="24"/>
          <w:u w:val="none"/>
          <w:lang w:eastAsia="en-AU"/>
          <w14:ligatures w14:val="standardContextual"/>
        </w:rPr>
      </w:pPr>
      <w:hyperlink w:anchor="_Toc196749991" w:history="1">
        <w:r w:rsidRPr="00B55200">
          <w:rPr>
            <w:rStyle w:val="Hyperlink"/>
            <w:rFonts w:ascii="Public Sans" w:hAnsi="Public Sans"/>
          </w:rPr>
          <w:t>Options for expanding the ADA’s coverage</w:t>
        </w:r>
        <w:r w:rsidRPr="00B55200">
          <w:rPr>
            <w:webHidden/>
          </w:rPr>
          <w:tab/>
        </w:r>
        <w:r w:rsidRPr="00B55200">
          <w:rPr>
            <w:webHidden/>
          </w:rPr>
          <w:fldChar w:fldCharType="begin"/>
        </w:r>
        <w:r w:rsidRPr="00B55200">
          <w:rPr>
            <w:webHidden/>
          </w:rPr>
          <w:instrText xml:space="preserve"> PAGEREF _Toc196749991 \h </w:instrText>
        </w:r>
        <w:r w:rsidRPr="00B55200">
          <w:rPr>
            <w:webHidden/>
          </w:rPr>
        </w:r>
        <w:r w:rsidRPr="00B55200">
          <w:rPr>
            <w:webHidden/>
          </w:rPr>
          <w:fldChar w:fldCharType="separate"/>
        </w:r>
        <w:r w:rsidR="00F44BFC">
          <w:rPr>
            <w:webHidden/>
          </w:rPr>
          <w:t>49</w:t>
        </w:r>
        <w:r w:rsidRPr="00B55200">
          <w:rPr>
            <w:webHidden/>
          </w:rPr>
          <w:fldChar w:fldCharType="end"/>
        </w:r>
      </w:hyperlink>
    </w:p>
    <w:p w14:paraId="0D2133E9" w14:textId="4DC52C10" w:rsidR="00181C16" w:rsidRPr="00B55200" w:rsidRDefault="00181C16" w:rsidP="00181C16">
      <w:pPr>
        <w:pStyle w:val="TOC3"/>
        <w:rPr>
          <w:rFonts w:eastAsiaTheme="minorEastAsia" w:cstheme="minorBidi"/>
          <w:color w:val="auto"/>
          <w:kern w:val="2"/>
          <w:sz w:val="24"/>
          <w:u w:val="none"/>
          <w:lang w:eastAsia="en-AU"/>
          <w14:ligatures w14:val="standardContextual"/>
        </w:rPr>
      </w:pPr>
      <w:hyperlink w:anchor="_Toc196749992" w:history="1">
        <w:r w:rsidRPr="00B55200">
          <w:rPr>
            <w:rStyle w:val="Hyperlink"/>
            <w:rFonts w:ascii="Public Sans" w:hAnsi="Public Sans"/>
          </w:rPr>
          <w:t>Recognising the rights of people with assistance animals</w:t>
        </w:r>
        <w:r w:rsidRPr="00B55200">
          <w:rPr>
            <w:webHidden/>
          </w:rPr>
          <w:tab/>
        </w:r>
        <w:r w:rsidRPr="00B55200">
          <w:rPr>
            <w:webHidden/>
          </w:rPr>
          <w:fldChar w:fldCharType="begin"/>
        </w:r>
        <w:r w:rsidRPr="00B55200">
          <w:rPr>
            <w:webHidden/>
          </w:rPr>
          <w:instrText xml:space="preserve"> PAGEREF _Toc196749992 \h </w:instrText>
        </w:r>
        <w:r w:rsidRPr="00B55200">
          <w:rPr>
            <w:webHidden/>
          </w:rPr>
        </w:r>
        <w:r w:rsidRPr="00B55200">
          <w:rPr>
            <w:webHidden/>
          </w:rPr>
          <w:fldChar w:fldCharType="separate"/>
        </w:r>
        <w:r w:rsidR="00F44BFC">
          <w:rPr>
            <w:webHidden/>
          </w:rPr>
          <w:t>50</w:t>
        </w:r>
        <w:r w:rsidRPr="00B55200">
          <w:rPr>
            <w:webHidden/>
          </w:rPr>
          <w:fldChar w:fldCharType="end"/>
        </w:r>
      </w:hyperlink>
    </w:p>
    <w:p w14:paraId="4DD11ADB" w14:textId="29609B50" w:rsidR="00181C16" w:rsidRPr="00B55200" w:rsidRDefault="00181C16" w:rsidP="00181C16">
      <w:pPr>
        <w:pStyle w:val="TOC3"/>
        <w:rPr>
          <w:rFonts w:eastAsiaTheme="minorEastAsia" w:cstheme="minorBidi"/>
          <w:color w:val="auto"/>
          <w:kern w:val="2"/>
          <w:sz w:val="24"/>
          <w:u w:val="none"/>
          <w:lang w:eastAsia="en-AU"/>
          <w14:ligatures w14:val="standardContextual"/>
        </w:rPr>
      </w:pPr>
      <w:hyperlink w:anchor="_Toc196749993" w:history="1">
        <w:r w:rsidRPr="00B55200">
          <w:rPr>
            <w:rStyle w:val="Hyperlink"/>
            <w:rFonts w:ascii="Public Sans" w:hAnsi="Public Sans"/>
          </w:rPr>
          <w:t>Discrimination based on genetic information</w:t>
        </w:r>
        <w:r w:rsidRPr="00B55200">
          <w:rPr>
            <w:webHidden/>
          </w:rPr>
          <w:tab/>
        </w:r>
        <w:r w:rsidRPr="00B55200">
          <w:rPr>
            <w:webHidden/>
          </w:rPr>
          <w:fldChar w:fldCharType="begin"/>
        </w:r>
        <w:r w:rsidRPr="00B55200">
          <w:rPr>
            <w:webHidden/>
          </w:rPr>
          <w:instrText xml:space="preserve"> PAGEREF _Toc196749993 \h </w:instrText>
        </w:r>
        <w:r w:rsidRPr="00B55200">
          <w:rPr>
            <w:webHidden/>
          </w:rPr>
        </w:r>
        <w:r w:rsidRPr="00B55200">
          <w:rPr>
            <w:webHidden/>
          </w:rPr>
          <w:fldChar w:fldCharType="separate"/>
        </w:r>
        <w:r w:rsidR="00F44BFC">
          <w:rPr>
            <w:webHidden/>
          </w:rPr>
          <w:t>51</w:t>
        </w:r>
        <w:r w:rsidRPr="00B55200">
          <w:rPr>
            <w:webHidden/>
          </w:rPr>
          <w:fldChar w:fldCharType="end"/>
        </w:r>
      </w:hyperlink>
    </w:p>
    <w:p w14:paraId="6A0019A6" w14:textId="173F00B9" w:rsidR="00181C16" w:rsidRPr="00B55200" w:rsidRDefault="00181C16" w:rsidP="00181C16">
      <w:pPr>
        <w:pStyle w:val="TOC3"/>
        <w:rPr>
          <w:rFonts w:eastAsiaTheme="minorEastAsia" w:cstheme="minorBidi"/>
          <w:color w:val="auto"/>
          <w:kern w:val="2"/>
          <w:sz w:val="24"/>
          <w:u w:val="none"/>
          <w:lang w:eastAsia="en-AU"/>
          <w14:ligatures w14:val="standardContextual"/>
        </w:rPr>
      </w:pPr>
      <w:hyperlink w:anchor="_Toc196749994" w:history="1">
        <w:r w:rsidRPr="00B55200">
          <w:rPr>
            <w:rStyle w:val="Hyperlink"/>
            <w:rFonts w:ascii="Public Sans" w:hAnsi="Public Sans"/>
          </w:rPr>
          <w:t>The public health exception</w:t>
        </w:r>
        <w:r w:rsidRPr="00B55200">
          <w:rPr>
            <w:webHidden/>
          </w:rPr>
          <w:tab/>
        </w:r>
        <w:r w:rsidRPr="00B55200">
          <w:rPr>
            <w:webHidden/>
          </w:rPr>
          <w:fldChar w:fldCharType="begin"/>
        </w:r>
        <w:r w:rsidRPr="00B55200">
          <w:rPr>
            <w:webHidden/>
          </w:rPr>
          <w:instrText xml:space="preserve"> PAGEREF _Toc196749994 \h </w:instrText>
        </w:r>
        <w:r w:rsidRPr="00B55200">
          <w:rPr>
            <w:webHidden/>
          </w:rPr>
        </w:r>
        <w:r w:rsidRPr="00B55200">
          <w:rPr>
            <w:webHidden/>
          </w:rPr>
          <w:fldChar w:fldCharType="separate"/>
        </w:r>
        <w:r w:rsidR="00F44BFC">
          <w:rPr>
            <w:webHidden/>
          </w:rPr>
          <w:t>52</w:t>
        </w:r>
        <w:r w:rsidRPr="00B55200">
          <w:rPr>
            <w:webHidden/>
          </w:rPr>
          <w:fldChar w:fldCharType="end"/>
        </w:r>
      </w:hyperlink>
    </w:p>
    <w:p w14:paraId="20E4EA32" w14:textId="3CE500C8" w:rsidR="00181C16" w:rsidRPr="00B55200" w:rsidRDefault="00181C16" w:rsidP="00181C16">
      <w:pPr>
        <w:pStyle w:val="TOC2"/>
        <w:rPr>
          <w:rFonts w:eastAsiaTheme="minorEastAsia" w:cstheme="minorBidi"/>
          <w:b w:val="0"/>
          <w:color w:val="auto"/>
          <w:kern w:val="2"/>
          <w:sz w:val="24"/>
          <w:u w:val="none"/>
          <w:lang w:eastAsia="en-AU"/>
          <w14:ligatures w14:val="standardContextual"/>
        </w:rPr>
      </w:pPr>
      <w:hyperlink w:anchor="_Toc196749995" w:history="1">
        <w:r w:rsidRPr="00B55200">
          <w:rPr>
            <w:rStyle w:val="Hyperlink"/>
            <w:rFonts w:ascii="Public Sans" w:hAnsi="Public Sans"/>
          </w:rPr>
          <w:t>Homosexuality</w:t>
        </w:r>
        <w:r w:rsidRPr="00B55200">
          <w:rPr>
            <w:webHidden/>
          </w:rPr>
          <w:tab/>
        </w:r>
        <w:r w:rsidRPr="00B55200">
          <w:rPr>
            <w:webHidden/>
          </w:rPr>
          <w:fldChar w:fldCharType="begin"/>
        </w:r>
        <w:r w:rsidRPr="00B55200">
          <w:rPr>
            <w:webHidden/>
          </w:rPr>
          <w:instrText xml:space="preserve"> PAGEREF _Toc196749995 \h </w:instrText>
        </w:r>
        <w:r w:rsidRPr="00B55200">
          <w:rPr>
            <w:webHidden/>
          </w:rPr>
        </w:r>
        <w:r w:rsidRPr="00B55200">
          <w:rPr>
            <w:webHidden/>
          </w:rPr>
          <w:fldChar w:fldCharType="separate"/>
        </w:r>
        <w:r w:rsidR="00F44BFC">
          <w:rPr>
            <w:webHidden/>
          </w:rPr>
          <w:t>53</w:t>
        </w:r>
        <w:r w:rsidRPr="00B55200">
          <w:rPr>
            <w:webHidden/>
          </w:rPr>
          <w:fldChar w:fldCharType="end"/>
        </w:r>
      </w:hyperlink>
    </w:p>
    <w:p w14:paraId="08F9416E" w14:textId="3373BD28" w:rsidR="00181C16" w:rsidRPr="00B55200" w:rsidRDefault="00181C16" w:rsidP="00181C16">
      <w:pPr>
        <w:pStyle w:val="TOC2"/>
        <w:rPr>
          <w:rFonts w:eastAsiaTheme="minorEastAsia" w:cstheme="minorBidi"/>
          <w:b w:val="0"/>
          <w:color w:val="auto"/>
          <w:kern w:val="2"/>
          <w:sz w:val="24"/>
          <w:u w:val="none"/>
          <w:lang w:eastAsia="en-AU"/>
          <w14:ligatures w14:val="standardContextual"/>
        </w:rPr>
      </w:pPr>
      <w:hyperlink w:anchor="_Toc196749996" w:history="1">
        <w:r w:rsidRPr="00B55200">
          <w:rPr>
            <w:rStyle w:val="Hyperlink"/>
            <w:rFonts w:ascii="Public Sans" w:hAnsi="Public Sans"/>
          </w:rPr>
          <w:t>Marital or domestic status</w:t>
        </w:r>
        <w:r w:rsidRPr="00B55200">
          <w:rPr>
            <w:webHidden/>
          </w:rPr>
          <w:tab/>
        </w:r>
        <w:r w:rsidRPr="00B55200">
          <w:rPr>
            <w:webHidden/>
          </w:rPr>
          <w:fldChar w:fldCharType="begin"/>
        </w:r>
        <w:r w:rsidRPr="00B55200">
          <w:rPr>
            <w:webHidden/>
          </w:rPr>
          <w:instrText xml:space="preserve"> PAGEREF _Toc196749996 \h </w:instrText>
        </w:r>
        <w:r w:rsidRPr="00B55200">
          <w:rPr>
            <w:webHidden/>
          </w:rPr>
        </w:r>
        <w:r w:rsidRPr="00B55200">
          <w:rPr>
            <w:webHidden/>
          </w:rPr>
          <w:fldChar w:fldCharType="separate"/>
        </w:r>
        <w:r w:rsidR="00F44BFC">
          <w:rPr>
            <w:webHidden/>
          </w:rPr>
          <w:t>55</w:t>
        </w:r>
        <w:r w:rsidRPr="00B55200">
          <w:rPr>
            <w:webHidden/>
          </w:rPr>
          <w:fldChar w:fldCharType="end"/>
        </w:r>
      </w:hyperlink>
    </w:p>
    <w:p w14:paraId="5D4FD474" w14:textId="18AB2857" w:rsidR="00181C16" w:rsidRPr="00B55200" w:rsidRDefault="00181C16" w:rsidP="00181C16">
      <w:pPr>
        <w:pStyle w:val="TOC2"/>
        <w:rPr>
          <w:rFonts w:eastAsiaTheme="minorEastAsia" w:cstheme="minorBidi"/>
          <w:b w:val="0"/>
          <w:color w:val="auto"/>
          <w:kern w:val="2"/>
          <w:sz w:val="24"/>
          <w:u w:val="none"/>
          <w:lang w:eastAsia="en-AU"/>
          <w14:ligatures w14:val="standardContextual"/>
        </w:rPr>
      </w:pPr>
      <w:hyperlink w:anchor="_Toc196749997" w:history="1">
        <w:r w:rsidRPr="00B55200">
          <w:rPr>
            <w:rStyle w:val="Hyperlink"/>
            <w:rFonts w:ascii="Public Sans" w:hAnsi="Public Sans"/>
          </w:rPr>
          <w:t>Race</w:t>
        </w:r>
        <w:r w:rsidRPr="00B55200">
          <w:rPr>
            <w:webHidden/>
          </w:rPr>
          <w:tab/>
        </w:r>
        <w:r w:rsidRPr="00B55200">
          <w:rPr>
            <w:webHidden/>
          </w:rPr>
          <w:fldChar w:fldCharType="begin"/>
        </w:r>
        <w:r w:rsidRPr="00B55200">
          <w:rPr>
            <w:webHidden/>
          </w:rPr>
          <w:instrText xml:space="preserve"> PAGEREF _Toc196749997 \h </w:instrText>
        </w:r>
        <w:r w:rsidRPr="00B55200">
          <w:rPr>
            <w:webHidden/>
          </w:rPr>
        </w:r>
        <w:r w:rsidRPr="00B55200">
          <w:rPr>
            <w:webHidden/>
          </w:rPr>
          <w:fldChar w:fldCharType="separate"/>
        </w:r>
        <w:r w:rsidR="00F44BFC">
          <w:rPr>
            <w:webHidden/>
          </w:rPr>
          <w:t>56</w:t>
        </w:r>
        <w:r w:rsidRPr="00B55200">
          <w:rPr>
            <w:webHidden/>
          </w:rPr>
          <w:fldChar w:fldCharType="end"/>
        </w:r>
      </w:hyperlink>
    </w:p>
    <w:p w14:paraId="5A964885" w14:textId="5BF9DEEA" w:rsidR="00181C16" w:rsidRPr="00B55200" w:rsidRDefault="00181C16" w:rsidP="00181C16">
      <w:pPr>
        <w:pStyle w:val="TOC3"/>
        <w:rPr>
          <w:rFonts w:eastAsiaTheme="minorEastAsia" w:cstheme="minorBidi"/>
          <w:color w:val="auto"/>
          <w:kern w:val="2"/>
          <w:sz w:val="24"/>
          <w:u w:val="none"/>
          <w:lang w:eastAsia="en-AU"/>
          <w14:ligatures w14:val="standardContextual"/>
        </w:rPr>
      </w:pPr>
      <w:hyperlink w:anchor="_Toc196749998" w:history="1">
        <w:r w:rsidRPr="00B55200">
          <w:rPr>
            <w:rStyle w:val="Hyperlink"/>
            <w:rFonts w:ascii="Public Sans" w:hAnsi="Public Sans"/>
          </w:rPr>
          <w:t>Some potential gaps in coverage</w:t>
        </w:r>
        <w:r w:rsidRPr="00B55200">
          <w:rPr>
            <w:webHidden/>
          </w:rPr>
          <w:tab/>
        </w:r>
        <w:r w:rsidRPr="00B55200">
          <w:rPr>
            <w:webHidden/>
          </w:rPr>
          <w:fldChar w:fldCharType="begin"/>
        </w:r>
        <w:r w:rsidRPr="00B55200">
          <w:rPr>
            <w:webHidden/>
          </w:rPr>
          <w:instrText xml:space="preserve"> PAGEREF _Toc196749998 \h </w:instrText>
        </w:r>
        <w:r w:rsidRPr="00B55200">
          <w:rPr>
            <w:webHidden/>
          </w:rPr>
        </w:r>
        <w:r w:rsidRPr="00B55200">
          <w:rPr>
            <w:webHidden/>
          </w:rPr>
          <w:fldChar w:fldCharType="separate"/>
        </w:r>
        <w:r w:rsidR="00F44BFC">
          <w:rPr>
            <w:webHidden/>
          </w:rPr>
          <w:t>56</w:t>
        </w:r>
        <w:r w:rsidRPr="00B55200">
          <w:rPr>
            <w:webHidden/>
          </w:rPr>
          <w:fldChar w:fldCharType="end"/>
        </w:r>
      </w:hyperlink>
    </w:p>
    <w:p w14:paraId="5269031D" w14:textId="6DF2FDA2" w:rsidR="00181C16" w:rsidRPr="00B55200" w:rsidRDefault="00181C16" w:rsidP="00181C16">
      <w:pPr>
        <w:pStyle w:val="TOC3"/>
        <w:rPr>
          <w:rFonts w:eastAsiaTheme="minorEastAsia" w:cstheme="minorBidi"/>
          <w:color w:val="auto"/>
          <w:kern w:val="2"/>
          <w:sz w:val="24"/>
          <w:u w:val="none"/>
          <w:lang w:eastAsia="en-AU"/>
          <w14:ligatures w14:val="standardContextual"/>
        </w:rPr>
      </w:pPr>
      <w:hyperlink w:anchor="_Toc196749999" w:history="1">
        <w:r w:rsidRPr="00B55200">
          <w:rPr>
            <w:rStyle w:val="Hyperlink"/>
            <w:rFonts w:ascii="Public Sans" w:hAnsi="Public Sans"/>
          </w:rPr>
          <w:t>Recognising Aboriginal and Torres Strait Islander peoples</w:t>
        </w:r>
        <w:r w:rsidRPr="00B55200">
          <w:rPr>
            <w:webHidden/>
          </w:rPr>
          <w:tab/>
        </w:r>
        <w:r w:rsidRPr="00B55200">
          <w:rPr>
            <w:webHidden/>
          </w:rPr>
          <w:fldChar w:fldCharType="begin"/>
        </w:r>
        <w:r w:rsidRPr="00B55200">
          <w:rPr>
            <w:webHidden/>
          </w:rPr>
          <w:instrText xml:space="preserve"> PAGEREF _Toc196749999 \h </w:instrText>
        </w:r>
        <w:r w:rsidRPr="00B55200">
          <w:rPr>
            <w:webHidden/>
          </w:rPr>
        </w:r>
        <w:r w:rsidRPr="00B55200">
          <w:rPr>
            <w:webHidden/>
          </w:rPr>
          <w:fldChar w:fldCharType="separate"/>
        </w:r>
        <w:r w:rsidR="00F44BFC">
          <w:rPr>
            <w:webHidden/>
          </w:rPr>
          <w:t>58</w:t>
        </w:r>
        <w:r w:rsidRPr="00B55200">
          <w:rPr>
            <w:webHidden/>
          </w:rPr>
          <w:fldChar w:fldCharType="end"/>
        </w:r>
      </w:hyperlink>
    </w:p>
    <w:p w14:paraId="21A93F7C" w14:textId="7BF497FC" w:rsidR="00181C16" w:rsidRPr="00B55200" w:rsidRDefault="00181C16" w:rsidP="00181C16">
      <w:pPr>
        <w:pStyle w:val="TOC2"/>
        <w:rPr>
          <w:rFonts w:eastAsiaTheme="minorEastAsia" w:cstheme="minorBidi"/>
          <w:b w:val="0"/>
          <w:color w:val="auto"/>
          <w:kern w:val="2"/>
          <w:sz w:val="24"/>
          <w:u w:val="none"/>
          <w:lang w:eastAsia="en-AU"/>
          <w14:ligatures w14:val="standardContextual"/>
        </w:rPr>
      </w:pPr>
      <w:hyperlink w:anchor="_Toc196750000" w:history="1">
        <w:r w:rsidRPr="00B55200">
          <w:rPr>
            <w:rStyle w:val="Hyperlink"/>
            <w:rFonts w:ascii="Public Sans" w:hAnsi="Public Sans"/>
          </w:rPr>
          <w:t>Sex discrimination</w:t>
        </w:r>
        <w:r w:rsidRPr="00B55200">
          <w:rPr>
            <w:webHidden/>
          </w:rPr>
          <w:tab/>
        </w:r>
        <w:r w:rsidRPr="00B55200">
          <w:rPr>
            <w:webHidden/>
          </w:rPr>
          <w:fldChar w:fldCharType="begin"/>
        </w:r>
        <w:r w:rsidRPr="00B55200">
          <w:rPr>
            <w:webHidden/>
          </w:rPr>
          <w:instrText xml:space="preserve"> PAGEREF _Toc196750000 \h </w:instrText>
        </w:r>
        <w:r w:rsidRPr="00B55200">
          <w:rPr>
            <w:webHidden/>
          </w:rPr>
        </w:r>
        <w:r w:rsidRPr="00B55200">
          <w:rPr>
            <w:webHidden/>
          </w:rPr>
          <w:fldChar w:fldCharType="separate"/>
        </w:r>
        <w:r w:rsidR="00F44BFC">
          <w:rPr>
            <w:webHidden/>
          </w:rPr>
          <w:t>59</w:t>
        </w:r>
        <w:r w:rsidRPr="00B55200">
          <w:rPr>
            <w:webHidden/>
          </w:rPr>
          <w:fldChar w:fldCharType="end"/>
        </w:r>
      </w:hyperlink>
    </w:p>
    <w:p w14:paraId="74F54A9D" w14:textId="13F56A3A" w:rsidR="00181C16" w:rsidRPr="00B55200" w:rsidRDefault="00181C16" w:rsidP="00181C16">
      <w:pPr>
        <w:pStyle w:val="TOC3"/>
        <w:rPr>
          <w:rFonts w:eastAsiaTheme="minorEastAsia" w:cstheme="minorBidi"/>
          <w:color w:val="auto"/>
          <w:kern w:val="2"/>
          <w:sz w:val="24"/>
          <w:u w:val="none"/>
          <w:lang w:eastAsia="en-AU"/>
          <w14:ligatures w14:val="standardContextual"/>
        </w:rPr>
      </w:pPr>
      <w:hyperlink w:anchor="_Toc196750001" w:history="1">
        <w:r w:rsidRPr="00B55200">
          <w:rPr>
            <w:rStyle w:val="Hyperlink"/>
            <w:rFonts w:ascii="Public Sans" w:hAnsi="Public Sans"/>
          </w:rPr>
          <w:t>Gender discrimination and sex discrimination</w:t>
        </w:r>
        <w:r w:rsidRPr="00B55200">
          <w:rPr>
            <w:webHidden/>
          </w:rPr>
          <w:tab/>
        </w:r>
        <w:r w:rsidRPr="00B55200">
          <w:rPr>
            <w:webHidden/>
          </w:rPr>
          <w:fldChar w:fldCharType="begin"/>
        </w:r>
        <w:r w:rsidRPr="00B55200">
          <w:rPr>
            <w:webHidden/>
          </w:rPr>
          <w:instrText xml:space="preserve"> PAGEREF _Toc196750001 \h </w:instrText>
        </w:r>
        <w:r w:rsidRPr="00B55200">
          <w:rPr>
            <w:webHidden/>
          </w:rPr>
        </w:r>
        <w:r w:rsidRPr="00B55200">
          <w:rPr>
            <w:webHidden/>
          </w:rPr>
          <w:fldChar w:fldCharType="separate"/>
        </w:r>
        <w:r w:rsidR="00F44BFC">
          <w:rPr>
            <w:webHidden/>
          </w:rPr>
          <w:t>59</w:t>
        </w:r>
        <w:r w:rsidRPr="00B55200">
          <w:rPr>
            <w:webHidden/>
          </w:rPr>
          <w:fldChar w:fldCharType="end"/>
        </w:r>
      </w:hyperlink>
    </w:p>
    <w:p w14:paraId="013C6FAF" w14:textId="13493126" w:rsidR="00181C16" w:rsidRPr="00B55200" w:rsidRDefault="00181C16" w:rsidP="00181C16">
      <w:pPr>
        <w:pStyle w:val="TOC3"/>
        <w:rPr>
          <w:rFonts w:eastAsiaTheme="minorEastAsia" w:cstheme="minorBidi"/>
          <w:color w:val="auto"/>
          <w:kern w:val="2"/>
          <w:sz w:val="24"/>
          <w:u w:val="none"/>
          <w:lang w:eastAsia="en-AU"/>
          <w14:ligatures w14:val="standardContextual"/>
        </w:rPr>
      </w:pPr>
      <w:hyperlink w:anchor="_Toc196750002" w:history="1">
        <w:r w:rsidRPr="00B55200">
          <w:rPr>
            <w:rStyle w:val="Hyperlink"/>
            <w:rFonts w:ascii="Public Sans" w:hAnsi="Public Sans"/>
          </w:rPr>
          <w:t>Binary and non-binary language</w:t>
        </w:r>
        <w:r w:rsidRPr="00B55200">
          <w:rPr>
            <w:webHidden/>
          </w:rPr>
          <w:tab/>
        </w:r>
        <w:r w:rsidRPr="00B55200">
          <w:rPr>
            <w:webHidden/>
          </w:rPr>
          <w:fldChar w:fldCharType="begin"/>
        </w:r>
        <w:r w:rsidRPr="00B55200">
          <w:rPr>
            <w:webHidden/>
          </w:rPr>
          <w:instrText xml:space="preserve"> PAGEREF _Toc196750002 \h </w:instrText>
        </w:r>
        <w:r w:rsidRPr="00B55200">
          <w:rPr>
            <w:webHidden/>
          </w:rPr>
        </w:r>
        <w:r w:rsidRPr="00B55200">
          <w:rPr>
            <w:webHidden/>
          </w:rPr>
          <w:fldChar w:fldCharType="separate"/>
        </w:r>
        <w:r w:rsidR="00F44BFC">
          <w:rPr>
            <w:webHidden/>
          </w:rPr>
          <w:t>59</w:t>
        </w:r>
        <w:r w:rsidRPr="00B55200">
          <w:rPr>
            <w:webHidden/>
          </w:rPr>
          <w:fldChar w:fldCharType="end"/>
        </w:r>
      </w:hyperlink>
    </w:p>
    <w:p w14:paraId="06954FCA" w14:textId="6BEF5D38" w:rsidR="00181C16" w:rsidRPr="00B55200" w:rsidRDefault="00181C16" w:rsidP="00181C16">
      <w:pPr>
        <w:pStyle w:val="TOC3"/>
        <w:rPr>
          <w:rFonts w:eastAsiaTheme="minorEastAsia" w:cstheme="minorBidi"/>
          <w:color w:val="auto"/>
          <w:kern w:val="2"/>
          <w:sz w:val="24"/>
          <w:u w:val="none"/>
          <w:lang w:eastAsia="en-AU"/>
          <w14:ligatures w14:val="standardContextual"/>
        </w:rPr>
      </w:pPr>
      <w:hyperlink w:anchor="_Toc196750003" w:history="1">
        <w:r w:rsidRPr="00B55200">
          <w:rPr>
            <w:rStyle w:val="Hyperlink"/>
            <w:rFonts w:ascii="Public Sans" w:hAnsi="Public Sans"/>
          </w:rPr>
          <w:t>Discrimination based on pregnancy or breastfeeding</w:t>
        </w:r>
        <w:r w:rsidRPr="00B55200">
          <w:rPr>
            <w:webHidden/>
          </w:rPr>
          <w:tab/>
        </w:r>
        <w:r w:rsidRPr="00B55200">
          <w:rPr>
            <w:webHidden/>
          </w:rPr>
          <w:fldChar w:fldCharType="begin"/>
        </w:r>
        <w:r w:rsidRPr="00B55200">
          <w:rPr>
            <w:webHidden/>
          </w:rPr>
          <w:instrText xml:space="preserve"> PAGEREF _Toc196750003 \h </w:instrText>
        </w:r>
        <w:r w:rsidRPr="00B55200">
          <w:rPr>
            <w:webHidden/>
          </w:rPr>
        </w:r>
        <w:r w:rsidRPr="00B55200">
          <w:rPr>
            <w:webHidden/>
          </w:rPr>
          <w:fldChar w:fldCharType="separate"/>
        </w:r>
        <w:r w:rsidR="00F44BFC">
          <w:rPr>
            <w:webHidden/>
          </w:rPr>
          <w:t>60</w:t>
        </w:r>
        <w:r w:rsidRPr="00B55200">
          <w:rPr>
            <w:webHidden/>
          </w:rPr>
          <w:fldChar w:fldCharType="end"/>
        </w:r>
      </w:hyperlink>
    </w:p>
    <w:p w14:paraId="2922A93D" w14:textId="7413D6BF" w:rsidR="00181C16" w:rsidRPr="00B55200" w:rsidRDefault="00181C16" w:rsidP="00181C16">
      <w:pPr>
        <w:pStyle w:val="TOC2"/>
        <w:rPr>
          <w:rFonts w:eastAsiaTheme="minorEastAsia" w:cstheme="minorBidi"/>
          <w:b w:val="0"/>
          <w:color w:val="auto"/>
          <w:kern w:val="2"/>
          <w:sz w:val="24"/>
          <w:u w:val="none"/>
          <w:lang w:eastAsia="en-AU"/>
          <w14:ligatures w14:val="standardContextual"/>
        </w:rPr>
      </w:pPr>
      <w:hyperlink w:anchor="_Toc196750004" w:history="1">
        <w:r w:rsidRPr="00B55200">
          <w:rPr>
            <w:rStyle w:val="Hyperlink"/>
            <w:rFonts w:ascii="Public Sans" w:hAnsi="Public Sans"/>
          </w:rPr>
          <w:t>Transgender grounds</w:t>
        </w:r>
        <w:r w:rsidRPr="00B55200">
          <w:rPr>
            <w:webHidden/>
          </w:rPr>
          <w:tab/>
        </w:r>
        <w:r w:rsidRPr="00B55200">
          <w:rPr>
            <w:webHidden/>
          </w:rPr>
          <w:fldChar w:fldCharType="begin"/>
        </w:r>
        <w:r w:rsidRPr="00B55200">
          <w:rPr>
            <w:webHidden/>
          </w:rPr>
          <w:instrText xml:space="preserve"> PAGEREF _Toc196750004 \h </w:instrText>
        </w:r>
        <w:r w:rsidRPr="00B55200">
          <w:rPr>
            <w:webHidden/>
          </w:rPr>
        </w:r>
        <w:r w:rsidRPr="00B55200">
          <w:rPr>
            <w:webHidden/>
          </w:rPr>
          <w:fldChar w:fldCharType="separate"/>
        </w:r>
        <w:r w:rsidR="00F44BFC">
          <w:rPr>
            <w:webHidden/>
          </w:rPr>
          <w:t>61</w:t>
        </w:r>
        <w:r w:rsidRPr="00B55200">
          <w:rPr>
            <w:webHidden/>
          </w:rPr>
          <w:fldChar w:fldCharType="end"/>
        </w:r>
      </w:hyperlink>
    </w:p>
    <w:p w14:paraId="31C3589E" w14:textId="195EDC54" w:rsidR="00181C16" w:rsidRPr="00B55200" w:rsidRDefault="00181C16" w:rsidP="00181C16">
      <w:pPr>
        <w:pStyle w:val="TOC3"/>
        <w:rPr>
          <w:rFonts w:eastAsiaTheme="minorEastAsia" w:cstheme="minorBidi"/>
          <w:color w:val="auto"/>
          <w:kern w:val="2"/>
          <w:sz w:val="24"/>
          <w:u w:val="none"/>
          <w:lang w:eastAsia="en-AU"/>
          <w14:ligatures w14:val="standardContextual"/>
        </w:rPr>
      </w:pPr>
      <w:hyperlink w:anchor="_Toc196750005" w:history="1">
        <w:r w:rsidRPr="00B55200">
          <w:rPr>
            <w:rStyle w:val="Hyperlink"/>
            <w:rFonts w:ascii="Public Sans" w:hAnsi="Public Sans"/>
          </w:rPr>
          <w:t>“Gender identity” as a potential alternative</w:t>
        </w:r>
        <w:r w:rsidRPr="00B55200">
          <w:rPr>
            <w:webHidden/>
          </w:rPr>
          <w:tab/>
        </w:r>
        <w:r w:rsidRPr="00B55200">
          <w:rPr>
            <w:webHidden/>
          </w:rPr>
          <w:fldChar w:fldCharType="begin"/>
        </w:r>
        <w:r w:rsidRPr="00B55200">
          <w:rPr>
            <w:webHidden/>
          </w:rPr>
          <w:instrText xml:space="preserve"> PAGEREF _Toc196750005 \h </w:instrText>
        </w:r>
        <w:r w:rsidRPr="00B55200">
          <w:rPr>
            <w:webHidden/>
          </w:rPr>
        </w:r>
        <w:r w:rsidRPr="00B55200">
          <w:rPr>
            <w:webHidden/>
          </w:rPr>
          <w:fldChar w:fldCharType="separate"/>
        </w:r>
        <w:r w:rsidR="00F44BFC">
          <w:rPr>
            <w:webHidden/>
          </w:rPr>
          <w:t>61</w:t>
        </w:r>
        <w:r w:rsidRPr="00B55200">
          <w:rPr>
            <w:webHidden/>
          </w:rPr>
          <w:fldChar w:fldCharType="end"/>
        </w:r>
      </w:hyperlink>
    </w:p>
    <w:p w14:paraId="2E2B7C94" w14:textId="4B7B4A51" w:rsidR="00181C16" w:rsidRPr="00B55200" w:rsidRDefault="00181C16" w:rsidP="00181C16">
      <w:pPr>
        <w:pStyle w:val="TOC3"/>
        <w:rPr>
          <w:rFonts w:eastAsiaTheme="minorEastAsia" w:cstheme="minorBidi"/>
          <w:color w:val="auto"/>
          <w:kern w:val="2"/>
          <w:sz w:val="24"/>
          <w:u w:val="none"/>
          <w:lang w:eastAsia="en-AU"/>
          <w14:ligatures w14:val="standardContextual"/>
        </w:rPr>
      </w:pPr>
      <w:hyperlink w:anchor="_Toc196750006" w:history="1">
        <w:r w:rsidRPr="00B55200">
          <w:rPr>
            <w:rStyle w:val="Hyperlink"/>
            <w:rFonts w:ascii="Public Sans" w:hAnsi="Public Sans"/>
          </w:rPr>
          <w:t>Redefining “transgender grounds”</w:t>
        </w:r>
        <w:r w:rsidRPr="00B55200">
          <w:rPr>
            <w:webHidden/>
          </w:rPr>
          <w:tab/>
        </w:r>
        <w:r w:rsidRPr="00B55200">
          <w:rPr>
            <w:webHidden/>
          </w:rPr>
          <w:fldChar w:fldCharType="begin"/>
        </w:r>
        <w:r w:rsidRPr="00B55200">
          <w:rPr>
            <w:webHidden/>
          </w:rPr>
          <w:instrText xml:space="preserve"> PAGEREF _Toc196750006 \h </w:instrText>
        </w:r>
        <w:r w:rsidRPr="00B55200">
          <w:rPr>
            <w:webHidden/>
          </w:rPr>
        </w:r>
        <w:r w:rsidRPr="00B55200">
          <w:rPr>
            <w:webHidden/>
          </w:rPr>
          <w:fldChar w:fldCharType="separate"/>
        </w:r>
        <w:r w:rsidR="00F44BFC">
          <w:rPr>
            <w:webHidden/>
          </w:rPr>
          <w:t>62</w:t>
        </w:r>
        <w:r w:rsidRPr="00B55200">
          <w:rPr>
            <w:webHidden/>
          </w:rPr>
          <w:fldChar w:fldCharType="end"/>
        </w:r>
      </w:hyperlink>
    </w:p>
    <w:p w14:paraId="55570D6C" w14:textId="28CBDE01" w:rsidR="00181C16" w:rsidRPr="00B55200" w:rsidRDefault="00181C16" w:rsidP="00181C16">
      <w:pPr>
        <w:pStyle w:val="TOC2"/>
        <w:rPr>
          <w:rFonts w:eastAsiaTheme="minorEastAsia" w:cstheme="minorBidi"/>
          <w:b w:val="0"/>
          <w:color w:val="auto"/>
          <w:kern w:val="2"/>
          <w:sz w:val="24"/>
          <w:u w:val="none"/>
          <w:lang w:eastAsia="en-AU"/>
          <w14:ligatures w14:val="standardContextual"/>
        </w:rPr>
      </w:pPr>
      <w:hyperlink w:anchor="_Toc196750007" w:history="1">
        <w:r w:rsidRPr="00B55200">
          <w:rPr>
            <w:rStyle w:val="Hyperlink"/>
            <w:rFonts w:ascii="Public Sans" w:hAnsi="Public Sans"/>
          </w:rPr>
          <w:t>Extending existing protections</w:t>
        </w:r>
        <w:r w:rsidRPr="00B55200">
          <w:rPr>
            <w:webHidden/>
          </w:rPr>
          <w:tab/>
        </w:r>
        <w:r w:rsidRPr="00B55200">
          <w:rPr>
            <w:webHidden/>
          </w:rPr>
          <w:fldChar w:fldCharType="begin"/>
        </w:r>
        <w:r w:rsidRPr="00B55200">
          <w:rPr>
            <w:webHidden/>
          </w:rPr>
          <w:instrText xml:space="preserve"> PAGEREF _Toc196750007 \h </w:instrText>
        </w:r>
        <w:r w:rsidRPr="00B55200">
          <w:rPr>
            <w:webHidden/>
          </w:rPr>
        </w:r>
        <w:r w:rsidRPr="00B55200">
          <w:rPr>
            <w:webHidden/>
          </w:rPr>
          <w:fldChar w:fldCharType="separate"/>
        </w:r>
        <w:r w:rsidR="00F44BFC">
          <w:rPr>
            <w:webHidden/>
          </w:rPr>
          <w:t>63</w:t>
        </w:r>
        <w:r w:rsidRPr="00B55200">
          <w:rPr>
            <w:webHidden/>
          </w:rPr>
          <w:fldChar w:fldCharType="end"/>
        </w:r>
      </w:hyperlink>
    </w:p>
    <w:p w14:paraId="07AACDA7" w14:textId="08FE937D" w:rsidR="00181C16" w:rsidRPr="00B55200" w:rsidRDefault="00181C16" w:rsidP="00181C16">
      <w:pPr>
        <w:pStyle w:val="TOC3"/>
        <w:rPr>
          <w:rFonts w:eastAsiaTheme="minorEastAsia" w:cstheme="minorBidi"/>
          <w:color w:val="auto"/>
          <w:kern w:val="2"/>
          <w:sz w:val="24"/>
          <w:u w:val="none"/>
          <w:lang w:eastAsia="en-AU"/>
          <w14:ligatures w14:val="standardContextual"/>
        </w:rPr>
      </w:pPr>
      <w:hyperlink w:anchor="_Toc196750008" w:history="1">
        <w:r w:rsidRPr="00B55200">
          <w:rPr>
            <w:rStyle w:val="Hyperlink"/>
            <w:rFonts w:ascii="Public Sans" w:hAnsi="Public Sans"/>
          </w:rPr>
          <w:t>Past or future attributes</w:t>
        </w:r>
        <w:r w:rsidRPr="00B55200">
          <w:rPr>
            <w:webHidden/>
          </w:rPr>
          <w:tab/>
        </w:r>
        <w:r w:rsidRPr="00B55200">
          <w:rPr>
            <w:webHidden/>
          </w:rPr>
          <w:fldChar w:fldCharType="begin"/>
        </w:r>
        <w:r w:rsidRPr="00B55200">
          <w:rPr>
            <w:webHidden/>
          </w:rPr>
          <w:instrText xml:space="preserve"> PAGEREF _Toc196750008 \h </w:instrText>
        </w:r>
        <w:r w:rsidRPr="00B55200">
          <w:rPr>
            <w:webHidden/>
          </w:rPr>
        </w:r>
        <w:r w:rsidRPr="00B55200">
          <w:rPr>
            <w:webHidden/>
          </w:rPr>
          <w:fldChar w:fldCharType="separate"/>
        </w:r>
        <w:r w:rsidR="00F44BFC">
          <w:rPr>
            <w:webHidden/>
          </w:rPr>
          <w:t>63</w:t>
        </w:r>
        <w:r w:rsidRPr="00B55200">
          <w:rPr>
            <w:webHidden/>
          </w:rPr>
          <w:fldChar w:fldCharType="end"/>
        </w:r>
      </w:hyperlink>
    </w:p>
    <w:p w14:paraId="3EA0408E" w14:textId="51A37CA0" w:rsidR="00181C16" w:rsidRPr="00B55200" w:rsidRDefault="00181C16" w:rsidP="00181C16">
      <w:pPr>
        <w:pStyle w:val="TOC3"/>
        <w:rPr>
          <w:rFonts w:eastAsiaTheme="minorEastAsia" w:cstheme="minorBidi"/>
          <w:color w:val="auto"/>
          <w:kern w:val="2"/>
          <w:sz w:val="24"/>
          <w:u w:val="none"/>
          <w:lang w:eastAsia="en-AU"/>
          <w14:ligatures w14:val="standardContextual"/>
        </w:rPr>
      </w:pPr>
      <w:hyperlink w:anchor="_Toc196750009" w:history="1">
        <w:r w:rsidRPr="00B55200">
          <w:rPr>
            <w:rStyle w:val="Hyperlink"/>
            <w:rFonts w:ascii="Public Sans" w:hAnsi="Public Sans"/>
          </w:rPr>
          <w:t>Relatives and associates of people with protected attributes</w:t>
        </w:r>
        <w:r w:rsidRPr="00B55200">
          <w:rPr>
            <w:webHidden/>
          </w:rPr>
          <w:tab/>
        </w:r>
        <w:r w:rsidRPr="00B55200">
          <w:rPr>
            <w:webHidden/>
          </w:rPr>
          <w:fldChar w:fldCharType="begin"/>
        </w:r>
        <w:r w:rsidRPr="00B55200">
          <w:rPr>
            <w:webHidden/>
          </w:rPr>
          <w:instrText xml:space="preserve"> PAGEREF _Toc196750009 \h </w:instrText>
        </w:r>
        <w:r w:rsidRPr="00B55200">
          <w:rPr>
            <w:webHidden/>
          </w:rPr>
        </w:r>
        <w:r w:rsidRPr="00B55200">
          <w:rPr>
            <w:webHidden/>
          </w:rPr>
          <w:fldChar w:fldCharType="separate"/>
        </w:r>
        <w:r w:rsidR="00F44BFC">
          <w:rPr>
            <w:webHidden/>
          </w:rPr>
          <w:t>63</w:t>
        </w:r>
        <w:r w:rsidRPr="00B55200">
          <w:rPr>
            <w:webHidden/>
          </w:rPr>
          <w:fldChar w:fldCharType="end"/>
        </w:r>
      </w:hyperlink>
    </w:p>
    <w:p w14:paraId="24D96CF7" w14:textId="77777777" w:rsidR="00181C16" w:rsidRPr="00487CF8" w:rsidRDefault="00181C16" w:rsidP="00181C16">
      <w:pPr>
        <w:pStyle w:val="TOC4"/>
        <w:rPr>
          <w:noProof w:val="0"/>
        </w:rPr>
      </w:pPr>
      <w:r w:rsidRPr="00487CF8">
        <w:rPr>
          <w:rFonts w:ascii="Arial Bold" w:hAnsi="Arial Bold"/>
          <w:noProof w:val="0"/>
        </w:rPr>
        <w:lastRenderedPageBreak/>
        <w:fldChar w:fldCharType="end"/>
      </w:r>
    </w:p>
    <w:p w14:paraId="4436105A" w14:textId="77777777" w:rsidR="00181C16" w:rsidRDefault="00181C16" w:rsidP="00181C16">
      <w:pPr>
        <w:pStyle w:val="NormalAutoChapter"/>
        <w:tabs>
          <w:tab w:val="clear" w:pos="720"/>
          <w:tab w:val="num" w:pos="2564"/>
        </w:tabs>
        <w:rPr>
          <w:color w:val="auto"/>
        </w:rPr>
      </w:pPr>
      <w:r>
        <w:rPr>
          <w:color w:val="auto"/>
        </w:rPr>
        <w:t>T</w:t>
      </w:r>
      <w:r w:rsidRPr="00207036">
        <w:rPr>
          <w:color w:val="auto"/>
        </w:rPr>
        <w:t xml:space="preserve">he </w:t>
      </w:r>
      <w:r w:rsidRPr="00207036">
        <w:rPr>
          <w:i/>
          <w:iCs/>
          <w:color w:val="auto"/>
        </w:rPr>
        <w:t>Anti-Discrimination Act 1977</w:t>
      </w:r>
      <w:r w:rsidRPr="00207036">
        <w:rPr>
          <w:color w:val="auto"/>
        </w:rPr>
        <w:t xml:space="preserve"> (NSW) (ADA) makes it unlawful to discriminate b</w:t>
      </w:r>
      <w:r>
        <w:rPr>
          <w:color w:val="auto"/>
        </w:rPr>
        <w:t xml:space="preserve">ased on certain features or “attributes” that can form part of someone’s identity. Listed in alphabetical order, the ADA prohibits discrimination based on: </w:t>
      </w:r>
    </w:p>
    <w:p w14:paraId="691E379E" w14:textId="77777777" w:rsidR="00181C16" w:rsidRDefault="00181C16" w:rsidP="00181C16">
      <w:pPr>
        <w:pStyle w:val="Normalbullet"/>
      </w:pPr>
      <w:r>
        <w:t>age</w:t>
      </w:r>
    </w:p>
    <w:p w14:paraId="474889F4" w14:textId="77777777" w:rsidR="00181C16" w:rsidRDefault="00181C16" w:rsidP="00181C16">
      <w:pPr>
        <w:pStyle w:val="Normalbullet"/>
      </w:pPr>
      <w:r>
        <w:t xml:space="preserve">carer’s responsibilities </w:t>
      </w:r>
    </w:p>
    <w:p w14:paraId="44E14283" w14:textId="77777777" w:rsidR="00181C16" w:rsidRDefault="00181C16" w:rsidP="00181C16">
      <w:pPr>
        <w:pStyle w:val="Normalbullet"/>
      </w:pPr>
      <w:r>
        <w:t>disability</w:t>
      </w:r>
    </w:p>
    <w:p w14:paraId="10C17283" w14:textId="77777777" w:rsidR="00181C16" w:rsidRPr="00487CF8" w:rsidRDefault="00181C16" w:rsidP="00181C16">
      <w:pPr>
        <w:pStyle w:val="Normalbullet"/>
      </w:pPr>
      <w:r>
        <w:t>homosexuality</w:t>
      </w:r>
    </w:p>
    <w:p w14:paraId="6852B3AD" w14:textId="77777777" w:rsidR="00181C16" w:rsidRPr="00487CF8" w:rsidRDefault="00181C16" w:rsidP="00181C16">
      <w:pPr>
        <w:pStyle w:val="Normalbullet"/>
      </w:pPr>
      <w:r w:rsidRPr="00487CF8">
        <w:t>marital or domestic status</w:t>
      </w:r>
    </w:p>
    <w:p w14:paraId="47C3D481" w14:textId="77777777" w:rsidR="00181C16" w:rsidRDefault="00181C16" w:rsidP="00181C16">
      <w:pPr>
        <w:pStyle w:val="Normalbullet"/>
      </w:pPr>
      <w:r>
        <w:t>race</w:t>
      </w:r>
    </w:p>
    <w:p w14:paraId="3EBC3ED7" w14:textId="77777777" w:rsidR="00181C16" w:rsidRDefault="00181C16" w:rsidP="00181C16">
      <w:pPr>
        <w:pStyle w:val="Normalbullet"/>
      </w:pPr>
      <w:r>
        <w:t xml:space="preserve">sex (including pregnancy and breastfeeding), and </w:t>
      </w:r>
    </w:p>
    <w:p w14:paraId="56C3A01C" w14:textId="77777777" w:rsidR="00181C16" w:rsidRDefault="00181C16" w:rsidP="00181C16">
      <w:pPr>
        <w:pStyle w:val="Normalbullet"/>
      </w:pPr>
      <w:r>
        <w:t>transgender status (referred to as “transgender grounds” in the ADA).</w:t>
      </w:r>
    </w:p>
    <w:p w14:paraId="29E2427E" w14:textId="77777777" w:rsidR="00181C16" w:rsidRDefault="00181C16" w:rsidP="00181C16">
      <w:pPr>
        <w:pStyle w:val="NormalAutoChapter"/>
        <w:tabs>
          <w:tab w:val="clear" w:pos="720"/>
          <w:tab w:val="num" w:pos="2564"/>
        </w:tabs>
        <w:rPr>
          <w:color w:val="auto"/>
        </w:rPr>
      </w:pPr>
      <w:r>
        <w:rPr>
          <w:color w:val="auto"/>
        </w:rPr>
        <w:t>It is</w:t>
      </w:r>
      <w:r w:rsidRPr="00124A88">
        <w:rPr>
          <w:color w:val="auto"/>
        </w:rPr>
        <w:t xml:space="preserve"> unlawful to discriminate against someone based on one of these attributes. </w:t>
      </w:r>
      <w:r>
        <w:rPr>
          <w:color w:val="auto"/>
        </w:rPr>
        <w:t>It is</w:t>
      </w:r>
      <w:r w:rsidRPr="00124A88">
        <w:rPr>
          <w:color w:val="auto"/>
        </w:rPr>
        <w:t xml:space="preserve"> also unlawful to discriminate based on a characteristic that people with a protected attribute either have or are presumed to have. This protects against discrimination that stems from stereotypical views. </w:t>
      </w:r>
    </w:p>
    <w:p w14:paraId="681D99F6" w14:textId="77777777" w:rsidR="00181C16" w:rsidRPr="00124A88" w:rsidRDefault="00181C16" w:rsidP="00181C16">
      <w:pPr>
        <w:pStyle w:val="NormalAutoChapter"/>
        <w:tabs>
          <w:tab w:val="clear" w:pos="720"/>
          <w:tab w:val="num" w:pos="2564"/>
        </w:tabs>
        <w:rPr>
          <w:color w:val="auto"/>
        </w:rPr>
      </w:pPr>
      <w:r>
        <w:rPr>
          <w:color w:val="auto"/>
        </w:rPr>
        <w:t>For someone to discriminate based on an attribute, they must have knowledge of the attribute.</w:t>
      </w:r>
      <w:r>
        <w:rPr>
          <w:rStyle w:val="FootnoteReference"/>
          <w:color w:val="auto"/>
        </w:rPr>
        <w:footnoteReference w:id="147"/>
      </w:r>
      <w:r>
        <w:rPr>
          <w:color w:val="auto"/>
        </w:rPr>
        <w:t xml:space="preserve"> It can be difficult to prove that a person has an attribute, particularly where an attribute is not visible (such as a hidden disability). </w:t>
      </w:r>
    </w:p>
    <w:p w14:paraId="52A8696D" w14:textId="77777777" w:rsidR="00181C16" w:rsidRDefault="00181C16" w:rsidP="00181C16">
      <w:pPr>
        <w:pStyle w:val="NormalAutoChapter"/>
        <w:tabs>
          <w:tab w:val="clear" w:pos="720"/>
          <w:tab w:val="num" w:pos="2564"/>
        </w:tabs>
        <w:rPr>
          <w:color w:val="auto"/>
        </w:rPr>
      </w:pPr>
      <w:r w:rsidRPr="00E166EE">
        <w:rPr>
          <w:color w:val="auto"/>
        </w:rPr>
        <w:t>The ADA also prohibits direct discrimination against someone based on a protected attribute of their relative or associate. But this does</w:t>
      </w:r>
      <w:r>
        <w:rPr>
          <w:color w:val="auto"/>
        </w:rPr>
        <w:t xml:space="preserve"> </w:t>
      </w:r>
      <w:r w:rsidRPr="00E166EE">
        <w:rPr>
          <w:color w:val="auto"/>
        </w:rPr>
        <w:t>n</w:t>
      </w:r>
      <w:r>
        <w:rPr>
          <w:color w:val="auto"/>
        </w:rPr>
        <w:t>o</w:t>
      </w:r>
      <w:r w:rsidRPr="00E166EE">
        <w:rPr>
          <w:color w:val="auto"/>
        </w:rPr>
        <w:t xml:space="preserve">t cover discrimination based on carer’s responsibilities. </w:t>
      </w:r>
      <w:r>
        <w:t>Also, r</w:t>
      </w:r>
      <w:r w:rsidRPr="00487CF8">
        <w:t>elatives and associates of people with any attributes are not protected from indirect discrimination</w:t>
      </w:r>
      <w:r w:rsidRPr="00E166EE">
        <w:rPr>
          <w:color w:val="auto"/>
        </w:rPr>
        <w:t xml:space="preserve">. </w:t>
      </w:r>
    </w:p>
    <w:p w14:paraId="21E16C7E" w14:textId="77777777" w:rsidR="00181C16" w:rsidRPr="00844CEB" w:rsidRDefault="00181C16" w:rsidP="00181C16">
      <w:pPr>
        <w:pStyle w:val="NormalAutoChapter"/>
        <w:tabs>
          <w:tab w:val="clear" w:pos="720"/>
          <w:tab w:val="num" w:pos="2564"/>
        </w:tabs>
        <w:rPr>
          <w:color w:val="auto"/>
        </w:rPr>
      </w:pPr>
      <w:r w:rsidRPr="00844CEB">
        <w:rPr>
          <w:color w:val="auto"/>
        </w:rPr>
        <w:t xml:space="preserve">In preliminary submissions, we heard concerns that the language used to describe and define existing protected attributes is outdated and, sometimes, offensive. Many also argued that other protected attributes should be added to the ADA. </w:t>
      </w:r>
    </w:p>
    <w:p w14:paraId="600BD4D8" w14:textId="77777777" w:rsidR="00181C16" w:rsidRDefault="00181C16" w:rsidP="00181C16">
      <w:pPr>
        <w:pStyle w:val="NormalAutoChapter"/>
        <w:tabs>
          <w:tab w:val="clear" w:pos="720"/>
          <w:tab w:val="num" w:pos="2564"/>
        </w:tabs>
      </w:pPr>
      <w:r>
        <w:t xml:space="preserve">In this chapter, we ask if the way the existing protected attributes are expressed or defined should change. We also set out some attribute-specific exceptions that limit the scope of the protections in certain circumstances. We consider other exceptions in </w:t>
      </w:r>
      <w:r w:rsidRPr="00B45742">
        <w:t xml:space="preserve">chapters 6 and 7. </w:t>
      </w:r>
    </w:p>
    <w:p w14:paraId="40F14FB7" w14:textId="77777777" w:rsidR="00181C16" w:rsidRPr="00A035BC" w:rsidRDefault="00181C16" w:rsidP="00181C16">
      <w:pPr>
        <w:pStyle w:val="NormalAutoChapter"/>
        <w:tabs>
          <w:tab w:val="clear" w:pos="720"/>
          <w:tab w:val="num" w:pos="2564"/>
        </w:tabs>
      </w:pPr>
      <w:r>
        <w:rPr>
          <w:color w:val="auto"/>
        </w:rPr>
        <w:t>We set out some options for reform suggested by preliminary submissions and our research. But we encourage you to raise other issues and make other suggestions.</w:t>
      </w:r>
    </w:p>
    <w:p w14:paraId="048BF2E1" w14:textId="77777777" w:rsidR="00181C16" w:rsidRDefault="00181C16" w:rsidP="00181C16">
      <w:pPr>
        <w:pStyle w:val="NormalAutoChapter"/>
        <w:tabs>
          <w:tab w:val="clear" w:pos="720"/>
          <w:tab w:val="num" w:pos="2564"/>
        </w:tabs>
      </w:pPr>
      <w:r>
        <w:lastRenderedPageBreak/>
        <w:t xml:space="preserve">In the </w:t>
      </w:r>
      <w:r w:rsidRPr="00B45742">
        <w:t>next chapter,</w:t>
      </w:r>
      <w:r>
        <w:t xml:space="preserve"> we build on this discussion by asking if it should be unlawful to discriminate based on other protected attributes.</w:t>
      </w:r>
    </w:p>
    <w:p w14:paraId="07F15B96" w14:textId="77777777" w:rsidR="00181C16" w:rsidRPr="000678E9" w:rsidRDefault="00181C16" w:rsidP="00181C16">
      <w:pPr>
        <w:pStyle w:val="NormalAutoChapter"/>
        <w:tabs>
          <w:tab w:val="clear" w:pos="720"/>
          <w:tab w:val="num" w:pos="2564"/>
        </w:tabs>
        <w:spacing w:after="240"/>
        <w:rPr>
          <w:color w:val="auto"/>
        </w:rPr>
      </w:pPr>
      <w:r w:rsidRPr="000678E9">
        <w:rPr>
          <w:color w:val="auto"/>
        </w:rPr>
        <w:t xml:space="preserve">The ADA also prohibits vilification based on certain protected attributes, some of which are also protected against discrimination. </w:t>
      </w:r>
      <w:r>
        <w:rPr>
          <w:color w:val="auto"/>
        </w:rPr>
        <w:t xml:space="preserve">While we focus on discrimination in this chapter, </w:t>
      </w:r>
      <w:r w:rsidRPr="000678E9">
        <w:rPr>
          <w:color w:val="auto"/>
        </w:rPr>
        <w:t xml:space="preserve">we note where the definitions </w:t>
      </w:r>
      <w:r>
        <w:rPr>
          <w:color w:val="auto"/>
        </w:rPr>
        <w:t xml:space="preserve">of protected attributes </w:t>
      </w:r>
      <w:r w:rsidRPr="000678E9">
        <w:rPr>
          <w:color w:val="auto"/>
        </w:rPr>
        <w:t xml:space="preserve">apply to vilification </w:t>
      </w:r>
      <w:r w:rsidRPr="00B45742">
        <w:rPr>
          <w:color w:val="auto"/>
        </w:rPr>
        <w:t>too. Chapter 8 provides</w:t>
      </w:r>
      <w:r>
        <w:rPr>
          <w:color w:val="auto"/>
        </w:rPr>
        <w:t xml:space="preserve"> more detail on </w:t>
      </w:r>
      <w:r w:rsidRPr="000678E9">
        <w:rPr>
          <w:color w:val="auto"/>
        </w:rPr>
        <w:t xml:space="preserve">the </w:t>
      </w:r>
      <w:r>
        <w:rPr>
          <w:color w:val="auto"/>
        </w:rPr>
        <w:t>law about v</w:t>
      </w:r>
      <w:r w:rsidRPr="000678E9">
        <w:rPr>
          <w:color w:val="auto"/>
        </w:rPr>
        <w:t>ilification</w:t>
      </w:r>
      <w:r>
        <w:rPr>
          <w:color w:val="auto"/>
        </w:rPr>
        <w:t>.</w:t>
      </w:r>
    </w:p>
    <w:p w14:paraId="515345A9" w14:textId="778C6878" w:rsidR="00181C16" w:rsidRPr="00487CF8" w:rsidRDefault="00181C16" w:rsidP="00181C16">
      <w:pPr>
        <w:pStyle w:val="Heading1"/>
        <w:rPr>
          <w:rFonts w:eastAsia="Calibri"/>
        </w:rPr>
      </w:pPr>
      <w:bookmarkStart w:id="117" w:name="_Toc196749984"/>
      <w:bookmarkStart w:id="118" w:name="_Toc196826829"/>
      <w:r>
        <w:t>Age</w:t>
      </w:r>
      <w:bookmarkEnd w:id="117"/>
      <w:bookmarkEnd w:id="118"/>
    </w:p>
    <w:p w14:paraId="02A438C5" w14:textId="77777777" w:rsidR="00181C16" w:rsidRDefault="00181C16" w:rsidP="00181C16">
      <w:pPr>
        <w:pStyle w:val="NormalAutoChapter"/>
        <w:tabs>
          <w:tab w:val="clear" w:pos="720"/>
          <w:tab w:val="num" w:pos="2564"/>
        </w:tabs>
      </w:pPr>
      <w:r>
        <w:t>The ADA protects people against discrimination based on their age, and the age of their relatives or associates. Age includes “age group”.</w:t>
      </w:r>
      <w:r>
        <w:rPr>
          <w:rStyle w:val="FootnoteReference"/>
        </w:rPr>
        <w:footnoteReference w:id="148"/>
      </w:r>
      <w:r>
        <w:t xml:space="preserve"> It also covers discrimination based on the characteristics that people of a particular age or age group </w:t>
      </w:r>
      <w:r>
        <w:rPr>
          <w:lang w:eastAsia="en-US"/>
        </w:rPr>
        <w:t>generally have or are thought to have</w:t>
      </w:r>
      <w:r>
        <w:t>.</w:t>
      </w:r>
      <w:r>
        <w:rPr>
          <w:rStyle w:val="FootnoteReference"/>
        </w:rPr>
        <w:footnoteReference w:id="149"/>
      </w:r>
      <w:r>
        <w:t xml:space="preserve"> </w:t>
      </w:r>
    </w:p>
    <w:p w14:paraId="71227EE8" w14:textId="77777777" w:rsidR="00181C16" w:rsidRDefault="00181C16" w:rsidP="00181C16">
      <w:pPr>
        <w:pStyle w:val="NormalAutoChapter"/>
        <w:tabs>
          <w:tab w:val="clear" w:pos="720"/>
          <w:tab w:val="num" w:pos="2564"/>
        </w:tabs>
      </w:pPr>
      <w:r>
        <w:t>We did not receive any options in preliminary submissions for changing the definition or scope of this attribute. However, we welcome any suggestions.</w:t>
      </w:r>
    </w:p>
    <w:p w14:paraId="536B83F7" w14:textId="77777777" w:rsidR="00181C16" w:rsidRPr="00181C16" w:rsidRDefault="00181C16" w:rsidP="00181C16">
      <w:pPr>
        <w:pStyle w:val="NormalAutoChapter"/>
        <w:tabs>
          <w:tab w:val="clear" w:pos="720"/>
          <w:tab w:val="num" w:pos="1146"/>
        </w:tabs>
        <w:rPr>
          <w:color w:val="000000" w:themeColor="text1"/>
        </w:rPr>
      </w:pPr>
      <w:r w:rsidRPr="00181C16">
        <w:rPr>
          <w:color w:val="000000" w:themeColor="text1"/>
        </w:rPr>
        <w:t>The ADA also separately protects against compulsory retirement due to age. This does not apply to judges or certain other office holders.</w:t>
      </w:r>
      <w:r w:rsidRPr="00181C16">
        <w:rPr>
          <w:rStyle w:val="FootnoteReference"/>
          <w:color w:val="000000" w:themeColor="text1"/>
        </w:rPr>
        <w:footnoteReference w:id="150"/>
      </w:r>
      <w:r w:rsidRPr="00181C16">
        <w:rPr>
          <w:color w:val="000000" w:themeColor="text1"/>
        </w:rPr>
        <w:t xml:space="preserve"> In 1999, the NSW Law Reform Commission (NSWLRC) recommended that this be merged with the prohibition against age discrimination, to align their coverage.</w:t>
      </w:r>
      <w:r w:rsidRPr="00181C16">
        <w:rPr>
          <w:rStyle w:val="FootnoteReference"/>
          <w:color w:val="000000" w:themeColor="text1"/>
        </w:rPr>
        <w:footnoteReference w:id="151"/>
      </w:r>
      <w:r w:rsidRPr="00181C16">
        <w:rPr>
          <w:color w:val="000000" w:themeColor="text1"/>
        </w:rPr>
        <w:t xml:space="preserve"> </w:t>
      </w:r>
    </w:p>
    <w:p w14:paraId="5EB28B0C" w14:textId="77777777" w:rsidR="00181C16" w:rsidRPr="00C94B03" w:rsidRDefault="00181C16" w:rsidP="00181C16">
      <w:pPr>
        <w:pStyle w:val="NormalAutoChapter"/>
        <w:tabs>
          <w:tab w:val="clear" w:pos="720"/>
          <w:tab w:val="num" w:pos="2564"/>
        </w:tabs>
      </w:pPr>
      <w:r>
        <w:t xml:space="preserve">The ADA contains exceptions that allow otherwise unlawful age discrimination. These include exceptions in relation to </w:t>
      </w:r>
      <w:r w:rsidRPr="00C94B03">
        <w:t>credit applications</w:t>
      </w:r>
      <w:r>
        <w:t xml:space="preserve">, </w:t>
      </w:r>
      <w:r w:rsidRPr="00A543B1">
        <w:t>some compulsory retiremen</w:t>
      </w:r>
      <w:r>
        <w:t>t</w:t>
      </w:r>
      <w:r w:rsidRPr="00A543B1">
        <w:t xml:space="preserve"> </w:t>
      </w:r>
      <w:r w:rsidRPr="00C94B03">
        <w:t>and laws about the legal capacity or welfare of people under 18 years old.</w:t>
      </w:r>
      <w:r w:rsidRPr="00C94B03">
        <w:rPr>
          <w:rStyle w:val="FootnoteReference"/>
        </w:rPr>
        <w:footnoteReference w:id="152"/>
      </w:r>
      <w:r w:rsidRPr="00C94B03">
        <w:t xml:space="preserve"> </w:t>
      </w:r>
    </w:p>
    <w:p w14:paraId="028D2FEB" w14:textId="77777777" w:rsidR="00181C16" w:rsidRDefault="00181C16" w:rsidP="00181C16">
      <w:pPr>
        <w:pStyle w:val="NormalAutoChapter"/>
        <w:tabs>
          <w:tab w:val="clear" w:pos="720"/>
          <w:tab w:val="num" w:pos="2564"/>
        </w:tabs>
      </w:pPr>
      <w:r>
        <w:t xml:space="preserve">An exception applies to certain acts relating to driver licences. Where done to meet safety considerations that are reasonable in the circumstances, it is not unlawful to discriminate based on age relating to: </w:t>
      </w:r>
    </w:p>
    <w:p w14:paraId="7D73F4B4" w14:textId="77777777" w:rsidR="00181C16" w:rsidRDefault="00181C16" w:rsidP="00181C16">
      <w:pPr>
        <w:pStyle w:val="Normalbullet"/>
      </w:pPr>
      <w:r>
        <w:t xml:space="preserve">the </w:t>
      </w:r>
      <w:proofErr w:type="gramStart"/>
      <w:r>
        <w:t>manner in which</w:t>
      </w:r>
      <w:proofErr w:type="gramEnd"/>
      <w:r>
        <w:t xml:space="preserve"> fitness to control a vehicle is assessed, or </w:t>
      </w:r>
    </w:p>
    <w:p w14:paraId="647F8F48" w14:textId="77777777" w:rsidR="00181C16" w:rsidRPr="00D91572" w:rsidRDefault="00181C16" w:rsidP="00181C16">
      <w:pPr>
        <w:pStyle w:val="Normalbullet"/>
      </w:pPr>
      <w:r>
        <w:t>the terms and conditions on which, and length of time during which, a licence to drive or ride a vehicle is provided or made available.</w:t>
      </w:r>
      <w:r>
        <w:rPr>
          <w:rStyle w:val="FootnoteReference"/>
        </w:rPr>
        <w:footnoteReference w:id="153"/>
      </w:r>
      <w:r>
        <w:t xml:space="preserve">  </w:t>
      </w:r>
    </w:p>
    <w:p w14:paraId="0CA8B1AC" w14:textId="77777777" w:rsidR="00181C16" w:rsidRPr="00460C85" w:rsidRDefault="00181C16" w:rsidP="00181C16">
      <w:pPr>
        <w:pStyle w:val="NormalAutoChapter"/>
        <w:tabs>
          <w:tab w:val="clear" w:pos="720"/>
          <w:tab w:val="num" w:pos="2564"/>
        </w:tabs>
        <w:rPr>
          <w:color w:val="auto"/>
        </w:rPr>
      </w:pPr>
      <w:r>
        <w:lastRenderedPageBreak/>
        <w:t xml:space="preserve">In 1999 the NSWLRC recommended the repeal of this exception. It thought the same objective could be achieved through the general exception relating to compliance with statutory requirements (which we consider in </w:t>
      </w:r>
      <w:r w:rsidRPr="00840EE8">
        <w:t>chapter 7).</w:t>
      </w:r>
    </w:p>
    <w:p w14:paraId="3EB4D845" w14:textId="77777777" w:rsidR="00181C16" w:rsidRPr="00C94B03" w:rsidRDefault="00181C16" w:rsidP="00181C16">
      <w:pPr>
        <w:pStyle w:val="NormalAutoChapter"/>
        <w:tabs>
          <w:tab w:val="clear" w:pos="720"/>
          <w:tab w:val="num" w:pos="2564"/>
        </w:tabs>
      </w:pPr>
      <w:r w:rsidRPr="00C94B03">
        <w:t xml:space="preserve">The ADA also allows for the creation of regulations to declare any otherwise unlawful </w:t>
      </w:r>
      <w:r>
        <w:t>age discrimination</w:t>
      </w:r>
      <w:r w:rsidRPr="00C94B03">
        <w:t xml:space="preserve"> lawful.</w:t>
      </w:r>
      <w:r w:rsidRPr="00C94B03">
        <w:rPr>
          <w:rStyle w:val="FootnoteReference"/>
          <w:color w:val="auto"/>
        </w:rPr>
        <w:footnoteReference w:id="154"/>
      </w:r>
      <w:r w:rsidRPr="00C94B03">
        <w:t xml:space="preserve"> For example, the </w:t>
      </w:r>
      <w:r w:rsidRPr="00C94B03">
        <w:rPr>
          <w:i/>
          <w:iCs/>
        </w:rPr>
        <w:t>Anti-Discrimination Regulation 2019</w:t>
      </w:r>
      <w:r w:rsidRPr="00C94B03">
        <w:t xml:space="preserve"> </w:t>
      </w:r>
      <w:r>
        <w:t>(NSW) makes</w:t>
      </w:r>
      <w:r w:rsidRPr="00C94B03">
        <w:t xml:space="preserve"> it lawful for a registered club to give a benefit to a member based on age.</w:t>
      </w:r>
      <w:r>
        <w:rPr>
          <w:rStyle w:val="FootnoteReference"/>
          <w:color w:val="auto"/>
        </w:rPr>
        <w:footnoteReference w:id="155"/>
      </w:r>
    </w:p>
    <w:p w14:paraId="3AD99F2A" w14:textId="77777777" w:rsidR="00181C16" w:rsidRPr="003B1BD0" w:rsidRDefault="00181C16" w:rsidP="00181C16">
      <w:pPr>
        <w:pStyle w:val="Recommendationheading"/>
      </w:pPr>
      <w:r w:rsidRPr="003B1BD0">
        <w:t xml:space="preserve">Question 4.1: Age discrimination </w:t>
      </w:r>
    </w:p>
    <w:p w14:paraId="49BBEEC4" w14:textId="6DA46FDD" w:rsidR="00181C16" w:rsidRDefault="00181C16" w:rsidP="00181C16">
      <w:pPr>
        <w:pStyle w:val="Recommendationhanging1"/>
      </w:pPr>
      <w:r>
        <w:t xml:space="preserve">(1) </w:t>
      </w:r>
      <w:r>
        <w:tab/>
      </w:r>
      <w:r w:rsidRPr="003B1BD0">
        <w:t>What</w:t>
      </w:r>
      <w:r w:rsidR="00F55080">
        <w:t xml:space="preserve"> changes, if any,</w:t>
      </w:r>
      <w:r>
        <w:t xml:space="preserve"> s</w:t>
      </w:r>
      <w:r w:rsidRPr="003B1BD0">
        <w:t xml:space="preserve">hould be made to the way the ADA expresses and defines the protected attribute of “age”? </w:t>
      </w:r>
    </w:p>
    <w:p w14:paraId="49C3AD3E" w14:textId="1ECD4C78" w:rsidR="00181C16" w:rsidRPr="003B1BD0" w:rsidRDefault="00181C16" w:rsidP="00181C16">
      <w:pPr>
        <w:pStyle w:val="Recommendationhanging1"/>
      </w:pPr>
      <w:r>
        <w:t xml:space="preserve">(2) </w:t>
      </w:r>
      <w:r>
        <w:tab/>
        <w:t>What</w:t>
      </w:r>
      <w:r w:rsidR="00F55080">
        <w:t xml:space="preserve"> changes, if any,</w:t>
      </w:r>
      <w:r>
        <w:t xml:space="preserve"> should be made to the age-related exceptions?</w:t>
      </w:r>
    </w:p>
    <w:p w14:paraId="72DA0DC5" w14:textId="77777777" w:rsidR="00181C16" w:rsidRDefault="00181C16" w:rsidP="00181C16">
      <w:pPr>
        <w:pStyle w:val="Heading1"/>
      </w:pPr>
      <w:bookmarkStart w:id="119" w:name="_Toc196749985"/>
      <w:bookmarkStart w:id="120" w:name="_Toc196826830"/>
      <w:r>
        <w:t>Carer’s responsibilities</w:t>
      </w:r>
      <w:bookmarkEnd w:id="119"/>
      <w:bookmarkEnd w:id="120"/>
    </w:p>
    <w:p w14:paraId="324F2E23" w14:textId="77777777" w:rsidR="00181C16" w:rsidRDefault="00181C16" w:rsidP="00181C16">
      <w:pPr>
        <w:pStyle w:val="NormalAutoChapter"/>
        <w:tabs>
          <w:tab w:val="clear" w:pos="720"/>
          <w:tab w:val="num" w:pos="2564"/>
        </w:tabs>
        <w:rPr>
          <w:lang w:eastAsia="en-US"/>
        </w:rPr>
      </w:pPr>
      <w:r>
        <w:rPr>
          <w:lang w:eastAsia="en-US"/>
        </w:rPr>
        <w:t xml:space="preserve">The ADA protects against discrimination based on someone’s responsibilities as a </w:t>
      </w:r>
      <w:proofErr w:type="spellStart"/>
      <w:r>
        <w:rPr>
          <w:lang w:eastAsia="en-US"/>
        </w:rPr>
        <w:t>carer</w:t>
      </w:r>
      <w:proofErr w:type="spellEnd"/>
      <w:r>
        <w:rPr>
          <w:lang w:eastAsia="en-US"/>
        </w:rPr>
        <w:t>. This covers responsibilities to care for or support:</w:t>
      </w:r>
    </w:p>
    <w:p w14:paraId="22A9BA07" w14:textId="77777777" w:rsidR="00181C16" w:rsidRDefault="00181C16" w:rsidP="00181C16">
      <w:pPr>
        <w:pStyle w:val="Normalbullet"/>
      </w:pPr>
      <w:r>
        <w:t>their child or stepchild, who is dependent on them or in need of care or support</w:t>
      </w:r>
    </w:p>
    <w:p w14:paraId="645252B1" w14:textId="77777777" w:rsidR="00181C16" w:rsidRDefault="00181C16" w:rsidP="00181C16">
      <w:pPr>
        <w:pStyle w:val="Normalbullet"/>
      </w:pPr>
      <w:r>
        <w:t>any child or adult in need of care or support, if they are an authorised carer or guardian, or have parental responsibility under legislation, or</w:t>
      </w:r>
    </w:p>
    <w:p w14:paraId="453B3A53" w14:textId="77777777" w:rsidR="00181C16" w:rsidRDefault="00181C16" w:rsidP="00181C16">
      <w:pPr>
        <w:pStyle w:val="Normalbullet"/>
      </w:pPr>
      <w:r>
        <w:t>any immediate family member (as defined) in need of care or support.</w:t>
      </w:r>
      <w:r w:rsidRPr="00487CF8">
        <w:rPr>
          <w:rStyle w:val="FootnoteReference"/>
          <w:rFonts w:eastAsia="Calibri"/>
        </w:rPr>
        <w:footnoteReference w:id="156"/>
      </w:r>
    </w:p>
    <w:p w14:paraId="0C395CD2" w14:textId="77777777" w:rsidR="00181C16" w:rsidRDefault="00181C16" w:rsidP="00181C16">
      <w:pPr>
        <w:pStyle w:val="NormalAutoChapter"/>
        <w:tabs>
          <w:tab w:val="clear" w:pos="720"/>
          <w:tab w:val="num" w:pos="2564"/>
        </w:tabs>
      </w:pPr>
      <w:r>
        <w:t>The ADA also protects against discrimination based on past and/or future carer’s responsibilities. This includes responsibilities that someone is thought to have currently, has had previously, or will have in future.</w:t>
      </w:r>
      <w:r>
        <w:rPr>
          <w:rStyle w:val="FootnoteReference"/>
        </w:rPr>
        <w:footnoteReference w:id="157"/>
      </w:r>
    </w:p>
    <w:p w14:paraId="0FAA8F87" w14:textId="77777777" w:rsidR="00181C16" w:rsidRDefault="00181C16" w:rsidP="00181C16">
      <w:pPr>
        <w:pStyle w:val="NormalAutoChapter"/>
        <w:tabs>
          <w:tab w:val="clear" w:pos="720"/>
          <w:tab w:val="num" w:pos="2564"/>
        </w:tabs>
      </w:pPr>
      <w:r>
        <w:t>An issue is whether this attribute, as currently defined, sufficiently reflects the diversity of cultures and relationships in our community. If not, there are a range of other options to consider.</w:t>
      </w:r>
    </w:p>
    <w:p w14:paraId="1D50DA1A" w14:textId="77777777" w:rsidR="00181C16" w:rsidRPr="008A53D9" w:rsidRDefault="00181C16" w:rsidP="00181C16">
      <w:pPr>
        <w:pStyle w:val="Heading2"/>
      </w:pPr>
      <w:bookmarkStart w:id="121" w:name="_Toc196749986"/>
      <w:bookmarkStart w:id="122" w:name="_Toc196826831"/>
      <w:r>
        <w:t>Whether the attribute should be defined</w:t>
      </w:r>
      <w:bookmarkEnd w:id="121"/>
      <w:bookmarkEnd w:id="122"/>
    </w:p>
    <w:p w14:paraId="41CBE9CB" w14:textId="77777777" w:rsidR="00181C16" w:rsidRPr="00EF52BC" w:rsidRDefault="00181C16" w:rsidP="00181C16">
      <w:pPr>
        <w:pStyle w:val="NormalAutoChapter"/>
        <w:tabs>
          <w:tab w:val="clear" w:pos="720"/>
          <w:tab w:val="num" w:pos="2564"/>
        </w:tabs>
      </w:pPr>
      <w:r>
        <w:rPr>
          <w:rFonts w:eastAsia="Calibri"/>
        </w:rPr>
        <w:t xml:space="preserve">The widest approach </w:t>
      </w:r>
      <w:r w:rsidRPr="00506423">
        <w:rPr>
          <w:rFonts w:eastAsia="Calibri"/>
        </w:rPr>
        <w:t>could be to</w:t>
      </w:r>
      <w:r>
        <w:rPr>
          <w:rFonts w:eastAsia="Calibri"/>
        </w:rPr>
        <w:t xml:space="preserve"> leave the attribute undefined</w:t>
      </w:r>
      <w:r w:rsidRPr="00506423">
        <w:rPr>
          <w:rFonts w:eastAsia="Calibri"/>
        </w:rPr>
        <w:t>.</w:t>
      </w:r>
      <w:r>
        <w:rPr>
          <w:rFonts w:eastAsia="Calibri"/>
        </w:rPr>
        <w:t xml:space="preserve"> This could allow its meaning to change with time and respond to diverse family structures.</w:t>
      </w:r>
      <w:r w:rsidRPr="00FF1E76">
        <w:rPr>
          <w:rStyle w:val="FootnoteReference"/>
          <w:color w:val="auto"/>
          <w:lang w:eastAsia="en-US"/>
        </w:rPr>
        <w:footnoteReference w:id="158"/>
      </w:r>
      <w:r>
        <w:rPr>
          <w:rFonts w:eastAsia="Calibri"/>
        </w:rPr>
        <w:t xml:space="preserve"> </w:t>
      </w:r>
      <w:r>
        <w:t xml:space="preserve"> </w:t>
      </w:r>
    </w:p>
    <w:p w14:paraId="46D4DC20" w14:textId="77777777" w:rsidR="00181C16" w:rsidRPr="00960165" w:rsidRDefault="00181C16" w:rsidP="00181C16">
      <w:pPr>
        <w:pStyle w:val="NormalAutoChapter"/>
        <w:tabs>
          <w:tab w:val="clear" w:pos="720"/>
          <w:tab w:val="num" w:pos="2564"/>
        </w:tabs>
      </w:pPr>
      <w:r>
        <w:rPr>
          <w:rFonts w:eastAsia="Calibri"/>
        </w:rPr>
        <w:lastRenderedPageBreak/>
        <w:t>In 2024, the Queensland Parliament enacted reforms to:</w:t>
      </w:r>
    </w:p>
    <w:p w14:paraId="6F0D871F" w14:textId="77777777" w:rsidR="00181C16" w:rsidRPr="00960165" w:rsidRDefault="00181C16" w:rsidP="00181C16">
      <w:pPr>
        <w:pStyle w:val="Normalbullet"/>
      </w:pPr>
      <w:r>
        <w:rPr>
          <w:rFonts w:eastAsia="Calibri"/>
        </w:rPr>
        <w:t>remove the existing attribute, and definition, of “family responsibilities”, and</w:t>
      </w:r>
    </w:p>
    <w:p w14:paraId="7505A5BF" w14:textId="77777777" w:rsidR="00181C16" w:rsidRPr="00E54EDF" w:rsidRDefault="00181C16" w:rsidP="00181C16">
      <w:pPr>
        <w:pStyle w:val="Normalbullet"/>
      </w:pPr>
      <w:r w:rsidRPr="00960165">
        <w:rPr>
          <w:rFonts w:eastAsia="Calibri"/>
        </w:rPr>
        <w:t xml:space="preserve">replace it with </w:t>
      </w:r>
      <w:r>
        <w:rPr>
          <w:rFonts w:eastAsia="Calibri"/>
        </w:rPr>
        <w:t xml:space="preserve">a new attribute of </w:t>
      </w:r>
      <w:r w:rsidRPr="00960165">
        <w:rPr>
          <w:rFonts w:eastAsia="Calibri"/>
        </w:rPr>
        <w:t>“family, carer or kinship responsibilities”, without defining its scope.</w:t>
      </w:r>
      <w:r w:rsidRPr="00487CF8">
        <w:rPr>
          <w:rStyle w:val="FootnoteReference"/>
        </w:rPr>
        <w:footnoteReference w:id="159"/>
      </w:r>
      <w:r w:rsidRPr="00960165">
        <w:rPr>
          <w:rFonts w:eastAsia="Calibri"/>
        </w:rPr>
        <w:t xml:space="preserve"> </w:t>
      </w:r>
    </w:p>
    <w:p w14:paraId="74B48965" w14:textId="1B7738D8" w:rsidR="00181C16" w:rsidRPr="00603E0F" w:rsidRDefault="00181C16" w:rsidP="00181C16">
      <w:pPr>
        <w:pStyle w:val="NormalAutoChapter"/>
        <w:tabs>
          <w:tab w:val="clear" w:pos="720"/>
          <w:tab w:val="num" w:pos="2564"/>
        </w:tabs>
        <w:rPr>
          <w:color w:val="auto"/>
        </w:rPr>
      </w:pPr>
      <w:r w:rsidRPr="00603E0F">
        <w:rPr>
          <w:color w:val="auto"/>
        </w:rPr>
        <w:t xml:space="preserve">These changes, along with other reforms to Queensland’s discrimination law, were due to commence on 1 July 2025. However, the current Queensland Government </w:t>
      </w:r>
      <w:r w:rsidR="00F37DE6">
        <w:rPr>
          <w:color w:val="auto"/>
        </w:rPr>
        <w:t xml:space="preserve">decided </w:t>
      </w:r>
      <w:r w:rsidRPr="00603E0F">
        <w:rPr>
          <w:color w:val="auto"/>
        </w:rPr>
        <w:t>to postpone the commencement of the reform</w:t>
      </w:r>
      <w:r w:rsidR="00BB62B2">
        <w:rPr>
          <w:color w:val="auto"/>
        </w:rPr>
        <w:t>s</w:t>
      </w:r>
      <w:r w:rsidRPr="00603E0F">
        <w:rPr>
          <w:color w:val="auto"/>
        </w:rPr>
        <w:t xml:space="preserve"> to conduct further consultations.</w:t>
      </w:r>
      <w:r w:rsidRPr="00603E0F">
        <w:rPr>
          <w:rStyle w:val="FootnoteReference"/>
          <w:color w:val="auto"/>
        </w:rPr>
        <w:footnoteReference w:id="160"/>
      </w:r>
      <w:r w:rsidRPr="00603E0F">
        <w:rPr>
          <w:color w:val="auto"/>
        </w:rPr>
        <w:t xml:space="preserve"> </w:t>
      </w:r>
    </w:p>
    <w:p w14:paraId="4D07CF04" w14:textId="77777777" w:rsidR="00181C16" w:rsidRPr="00EF52BC" w:rsidRDefault="00181C16" w:rsidP="00181C16">
      <w:pPr>
        <w:pStyle w:val="NormalAutoChapter"/>
        <w:tabs>
          <w:tab w:val="clear" w:pos="720"/>
          <w:tab w:val="num" w:pos="2564"/>
        </w:tabs>
      </w:pPr>
      <w:r w:rsidRPr="00603E0F">
        <w:rPr>
          <w:color w:val="auto"/>
        </w:rPr>
        <w:t>If the ADA’s definition</w:t>
      </w:r>
      <w:r>
        <w:t xml:space="preserve"> was repealed, but not replaced, it is unclear how courts or tribunals would interpret it. Questions may arise as to whether the attribute should be interpreted differently to the former statutory definition. This could lead to uncertainty.  </w:t>
      </w:r>
    </w:p>
    <w:p w14:paraId="3F9DB8E0" w14:textId="77777777" w:rsidR="00181C16" w:rsidRPr="008A53D9" w:rsidRDefault="00181C16" w:rsidP="00181C16">
      <w:pPr>
        <w:pStyle w:val="Heading2"/>
        <w:rPr>
          <w:rFonts w:eastAsia="Calibri"/>
          <w:lang w:eastAsia="en-AU"/>
        </w:rPr>
      </w:pPr>
      <w:bookmarkStart w:id="123" w:name="_Toc196749987"/>
      <w:bookmarkStart w:id="124" w:name="_Toc196826832"/>
      <w:r>
        <w:rPr>
          <w:rFonts w:eastAsia="Calibri"/>
        </w:rPr>
        <w:t>Options for different definitions of “carer”</w:t>
      </w:r>
      <w:bookmarkEnd w:id="123"/>
      <w:bookmarkEnd w:id="124"/>
    </w:p>
    <w:p w14:paraId="20CA3CD9" w14:textId="77777777" w:rsidR="00181C16" w:rsidRPr="00BE589F" w:rsidRDefault="00181C16" w:rsidP="00181C16">
      <w:pPr>
        <w:pStyle w:val="NormalAutoChapter"/>
        <w:tabs>
          <w:tab w:val="clear" w:pos="720"/>
          <w:tab w:val="num" w:pos="2564"/>
        </w:tabs>
        <w:rPr>
          <w:rFonts w:eastAsia="Calibri"/>
        </w:rPr>
      </w:pPr>
      <w:r w:rsidRPr="00BE589F">
        <w:rPr>
          <w:color w:val="auto"/>
          <w:lang w:eastAsia="en-US"/>
        </w:rPr>
        <w:t xml:space="preserve">Some might prefer that the legislation provide more guidance, without being too narrow. </w:t>
      </w:r>
      <w:r>
        <w:rPr>
          <w:color w:val="auto"/>
          <w:lang w:eastAsia="en-US"/>
        </w:rPr>
        <w:t>O</w:t>
      </w:r>
      <w:r w:rsidRPr="00BE589F">
        <w:rPr>
          <w:color w:val="auto"/>
          <w:lang w:eastAsia="en-US"/>
        </w:rPr>
        <w:t xml:space="preserve">ne option could be to use a wider definition of “carer” that does not depend on specific categories. For instance, the </w:t>
      </w:r>
      <w:r w:rsidRPr="00BE589F">
        <w:rPr>
          <w:rFonts w:eastAsia="Calibri"/>
        </w:rPr>
        <w:t>Victorian discrimination law does not use categories. It defines a “carer” as a person on whom someone is wholly or substantially dependent for ongoing care and attention, generally excluding commercial arrangements.</w:t>
      </w:r>
      <w:r w:rsidRPr="00487CF8">
        <w:rPr>
          <w:rStyle w:val="FootnoteReference"/>
          <w:rFonts w:eastAsia="Calibri"/>
        </w:rPr>
        <w:footnoteReference w:id="161"/>
      </w:r>
      <w:r w:rsidRPr="00BE589F">
        <w:rPr>
          <w:rFonts w:eastAsia="Calibri"/>
        </w:rPr>
        <w:t xml:space="preserve">  </w:t>
      </w:r>
    </w:p>
    <w:p w14:paraId="098D11A6" w14:textId="77777777" w:rsidR="00181C16" w:rsidRPr="000E4768" w:rsidRDefault="00181C16" w:rsidP="00181C16">
      <w:pPr>
        <w:pStyle w:val="NormalAutoChapter"/>
        <w:tabs>
          <w:tab w:val="clear" w:pos="720"/>
          <w:tab w:val="num" w:pos="2564"/>
        </w:tabs>
        <w:rPr>
          <w:color w:val="auto"/>
          <w:lang w:eastAsia="en-US"/>
        </w:rPr>
      </w:pPr>
      <w:r w:rsidRPr="00515EFA">
        <w:rPr>
          <w:color w:val="auto"/>
          <w:lang w:eastAsia="en-US"/>
        </w:rPr>
        <w:t>A</w:t>
      </w:r>
      <w:r>
        <w:rPr>
          <w:color w:val="auto"/>
          <w:lang w:eastAsia="en-US"/>
        </w:rPr>
        <w:t xml:space="preserve"> different idea </w:t>
      </w:r>
      <w:r w:rsidRPr="00515EFA">
        <w:rPr>
          <w:color w:val="auto"/>
          <w:lang w:eastAsia="en-US"/>
        </w:rPr>
        <w:t xml:space="preserve">could be to align the ADA with the </w:t>
      </w:r>
      <w:r w:rsidRPr="00515EFA">
        <w:rPr>
          <w:i/>
          <w:iCs/>
          <w:color w:val="auto"/>
          <w:lang w:eastAsia="en-US"/>
        </w:rPr>
        <w:t xml:space="preserve">Carers (Recognition) Act 2010 </w:t>
      </w:r>
      <w:r w:rsidRPr="00515EFA">
        <w:rPr>
          <w:color w:val="auto"/>
          <w:lang w:eastAsia="en-US"/>
        </w:rPr>
        <w:t>(NSW).</w:t>
      </w:r>
      <w:r w:rsidRPr="00487CF8">
        <w:rPr>
          <w:rStyle w:val="FootnoteReference"/>
          <w:rFonts w:eastAsia="Calibri"/>
        </w:rPr>
        <w:footnoteReference w:id="162"/>
      </w:r>
      <w:r w:rsidRPr="00515EFA">
        <w:rPr>
          <w:rFonts w:eastAsia="Calibri"/>
        </w:rPr>
        <w:t xml:space="preserve"> This defines a carer as someone who provides ongoing personal care and assistance to a person with disability, or a person who needs care because of a medical condition, mental illness or old age.</w:t>
      </w:r>
      <w:r w:rsidRPr="00487CF8">
        <w:rPr>
          <w:rStyle w:val="FootnoteReference"/>
          <w:rFonts w:eastAsia="Calibri"/>
        </w:rPr>
        <w:footnoteReference w:id="163"/>
      </w:r>
      <w:r w:rsidRPr="00515EFA">
        <w:rPr>
          <w:rFonts w:eastAsia="Calibri"/>
        </w:rPr>
        <w:t xml:space="preserve"> </w:t>
      </w:r>
    </w:p>
    <w:p w14:paraId="03EAC55B" w14:textId="77777777" w:rsidR="00181C16" w:rsidRPr="00515EFA" w:rsidRDefault="00181C16" w:rsidP="00181C16">
      <w:pPr>
        <w:pStyle w:val="NormalAutoChapter"/>
        <w:tabs>
          <w:tab w:val="clear" w:pos="720"/>
          <w:tab w:val="num" w:pos="2564"/>
        </w:tabs>
        <w:rPr>
          <w:color w:val="auto"/>
          <w:lang w:eastAsia="en-US"/>
        </w:rPr>
      </w:pPr>
      <w:r w:rsidRPr="00515EFA">
        <w:rPr>
          <w:rFonts w:eastAsia="Calibri"/>
        </w:rPr>
        <w:t xml:space="preserve">If this </w:t>
      </w:r>
      <w:r>
        <w:rPr>
          <w:rFonts w:eastAsia="Calibri"/>
        </w:rPr>
        <w:t>w</w:t>
      </w:r>
      <w:r w:rsidRPr="00515EFA">
        <w:rPr>
          <w:rFonts w:eastAsia="Calibri"/>
        </w:rPr>
        <w:t>ere adopted, consideration should be given to including other existing aspects of the ADA definition. For instance, the definition in</w:t>
      </w:r>
      <w:r>
        <w:rPr>
          <w:rFonts w:eastAsia="Calibri"/>
        </w:rPr>
        <w:t xml:space="preserve"> the</w:t>
      </w:r>
      <w:r w:rsidRPr="00515EFA">
        <w:rPr>
          <w:rFonts w:eastAsia="Calibri"/>
        </w:rPr>
        <w:t xml:space="preserve"> carer’s legislation does</w:t>
      </w:r>
      <w:r>
        <w:rPr>
          <w:rFonts w:eastAsia="Calibri"/>
        </w:rPr>
        <w:t xml:space="preserve"> </w:t>
      </w:r>
      <w:r w:rsidRPr="00515EFA">
        <w:rPr>
          <w:rFonts w:eastAsia="Calibri"/>
        </w:rPr>
        <w:t>n</w:t>
      </w:r>
      <w:r>
        <w:rPr>
          <w:rFonts w:eastAsia="Calibri"/>
        </w:rPr>
        <w:t>o</w:t>
      </w:r>
      <w:r w:rsidRPr="00515EFA">
        <w:rPr>
          <w:rFonts w:eastAsia="Calibri"/>
        </w:rPr>
        <w:t>t cover caring for other children or adults that need care or support.</w:t>
      </w:r>
    </w:p>
    <w:p w14:paraId="60A1E270" w14:textId="77777777" w:rsidR="00181C16" w:rsidRPr="008A53D9" w:rsidRDefault="00181C16" w:rsidP="00181C16">
      <w:pPr>
        <w:pStyle w:val="Heading2"/>
        <w:rPr>
          <w:lang w:eastAsia="en-AU"/>
        </w:rPr>
      </w:pPr>
      <w:bookmarkStart w:id="125" w:name="_Toc196749988"/>
      <w:bookmarkStart w:id="126" w:name="_Toc196826833"/>
      <w:r>
        <w:lastRenderedPageBreak/>
        <w:t>Other forms of relationships could be recognised</w:t>
      </w:r>
      <w:bookmarkEnd w:id="125"/>
      <w:bookmarkEnd w:id="126"/>
      <w:r>
        <w:t xml:space="preserve"> </w:t>
      </w:r>
    </w:p>
    <w:p w14:paraId="3D78CD3C" w14:textId="77777777" w:rsidR="00181C16" w:rsidRPr="00B737C6" w:rsidRDefault="00181C16" w:rsidP="00181C16">
      <w:pPr>
        <w:pStyle w:val="NormalAutoChapter"/>
        <w:tabs>
          <w:tab w:val="clear" w:pos="720"/>
          <w:tab w:val="num" w:pos="2564"/>
        </w:tabs>
      </w:pPr>
      <w:r w:rsidRPr="00032890">
        <w:rPr>
          <w:color w:val="auto"/>
          <w:lang w:eastAsia="en-US"/>
        </w:rPr>
        <w:t xml:space="preserve">Another option could be to expressly recognise certain other relationships. For instance, </w:t>
      </w:r>
      <w:r>
        <w:rPr>
          <w:color w:val="auto"/>
          <w:lang w:eastAsia="en-US"/>
        </w:rPr>
        <w:t>discrimination law</w:t>
      </w:r>
      <w:r w:rsidRPr="00032890">
        <w:rPr>
          <w:color w:val="auto"/>
          <w:lang w:eastAsia="en-US"/>
        </w:rPr>
        <w:t xml:space="preserve"> </w:t>
      </w:r>
      <w:r>
        <w:rPr>
          <w:color w:val="auto"/>
          <w:lang w:eastAsia="en-US"/>
        </w:rPr>
        <w:t xml:space="preserve">in the Australian Capital Territory (ACT) </w:t>
      </w:r>
      <w:r w:rsidRPr="00032890">
        <w:rPr>
          <w:color w:val="auto"/>
          <w:lang w:eastAsia="en-US"/>
        </w:rPr>
        <w:t>recognises</w:t>
      </w:r>
      <w:r>
        <w:rPr>
          <w:color w:val="auto"/>
          <w:lang w:eastAsia="en-US"/>
        </w:rPr>
        <w:t xml:space="preserve"> the attribute of</w:t>
      </w:r>
      <w:r w:rsidRPr="00032890">
        <w:rPr>
          <w:color w:val="auto"/>
          <w:lang w:eastAsia="en-US"/>
        </w:rPr>
        <w:t xml:space="preserve"> “parent, family, carer or kinship responsibilities”.</w:t>
      </w:r>
      <w:r>
        <w:rPr>
          <w:rStyle w:val="FootnoteReference"/>
          <w:rFonts w:eastAsia="Calibri"/>
        </w:rPr>
        <w:footnoteReference w:id="164"/>
      </w:r>
      <w:r w:rsidRPr="00032890">
        <w:rPr>
          <w:color w:val="auto"/>
          <w:lang w:eastAsia="en-US"/>
        </w:rPr>
        <w:t xml:space="preserve"> </w:t>
      </w:r>
      <w:r w:rsidRPr="00032890">
        <w:rPr>
          <w:rStyle w:val="CommentReference"/>
          <w:sz w:val="22"/>
          <w:szCs w:val="24"/>
        </w:rPr>
        <w:t xml:space="preserve">This could encompass </w:t>
      </w:r>
      <w:r w:rsidRPr="00032890">
        <w:rPr>
          <w:rFonts w:eastAsia="Calibri"/>
        </w:rPr>
        <w:t>a variety of family, caring and kinship relationships, including kinship connections among Aboriginal and Torres Strait Islander communities.</w:t>
      </w:r>
      <w:r>
        <w:rPr>
          <w:rStyle w:val="FootnoteReference"/>
          <w:rFonts w:eastAsia="Calibri"/>
        </w:rPr>
        <w:footnoteReference w:id="165"/>
      </w:r>
      <w:r w:rsidRPr="00032890">
        <w:rPr>
          <w:rFonts w:eastAsia="Calibri"/>
        </w:rPr>
        <w:t xml:space="preserve"> It could also include kinship responsibilities of other Indigenous peoples and cultural groups.</w:t>
      </w:r>
    </w:p>
    <w:p w14:paraId="5E665BE0" w14:textId="77777777" w:rsidR="00181C16" w:rsidRDefault="00181C16" w:rsidP="00181C16">
      <w:pPr>
        <w:pStyle w:val="NormalAutoChapter"/>
        <w:tabs>
          <w:tab w:val="num" w:pos="2564"/>
        </w:tabs>
        <w:rPr>
          <w:color w:val="auto"/>
          <w:lang w:eastAsia="en-US"/>
        </w:rPr>
      </w:pPr>
      <w:r>
        <w:rPr>
          <w:color w:val="auto"/>
          <w:lang w:eastAsia="en-US"/>
        </w:rPr>
        <w:t>Some other discrimination laws also separately protect against discrimination based on</w:t>
      </w:r>
      <w:r w:rsidRPr="00BA361D">
        <w:rPr>
          <w:color w:val="auto"/>
          <w:lang w:eastAsia="en-US"/>
        </w:rPr>
        <w:t xml:space="preserve"> “parental status”</w:t>
      </w:r>
      <w:r>
        <w:rPr>
          <w:color w:val="auto"/>
          <w:lang w:eastAsia="en-US"/>
        </w:rPr>
        <w:t>.</w:t>
      </w:r>
      <w:r w:rsidRPr="00BA361D">
        <w:rPr>
          <w:color w:val="auto"/>
          <w:lang w:eastAsia="en-US"/>
        </w:rPr>
        <w:t xml:space="preserve"> This</w:t>
      </w:r>
      <w:r>
        <w:rPr>
          <w:color w:val="auto"/>
          <w:lang w:eastAsia="en-US"/>
        </w:rPr>
        <w:t xml:space="preserve"> includes the status of </w:t>
      </w:r>
      <w:r w:rsidRPr="00BA361D">
        <w:rPr>
          <w:color w:val="auto"/>
          <w:lang w:eastAsia="en-US"/>
        </w:rPr>
        <w:t>being or not being a parent.</w:t>
      </w:r>
      <w:r>
        <w:rPr>
          <w:rStyle w:val="FootnoteReference"/>
          <w:color w:val="auto"/>
          <w:lang w:eastAsia="en-US"/>
        </w:rPr>
        <w:footnoteReference w:id="166"/>
      </w:r>
      <w:r w:rsidRPr="00BA361D">
        <w:rPr>
          <w:color w:val="auto"/>
          <w:lang w:eastAsia="en-US"/>
        </w:rPr>
        <w:t xml:space="preserve"> </w:t>
      </w:r>
      <w:r>
        <w:rPr>
          <w:color w:val="auto"/>
          <w:lang w:eastAsia="en-US"/>
        </w:rPr>
        <w:t xml:space="preserve">The ADA does not currently recognise the status of “not” being a parent. </w:t>
      </w:r>
    </w:p>
    <w:p w14:paraId="17DF7B7E" w14:textId="77777777" w:rsidR="00181C16" w:rsidRPr="005C4FE8" w:rsidRDefault="00181C16" w:rsidP="00181C16">
      <w:pPr>
        <w:pStyle w:val="Recommendationheading"/>
      </w:pPr>
      <w:r w:rsidRPr="005C4FE8">
        <w:t>Question 4.2: Discrimination based on carer’s responsibilities</w:t>
      </w:r>
    </w:p>
    <w:p w14:paraId="73913F73" w14:textId="77777777" w:rsidR="00181C16" w:rsidRPr="00AF073A" w:rsidRDefault="00181C16" w:rsidP="00181C16">
      <w:pPr>
        <w:pStyle w:val="Recommendationhanging1"/>
      </w:pPr>
      <w:r>
        <w:t>(1)</w:t>
      </w:r>
      <w:r>
        <w:tab/>
        <w:t xml:space="preserve">What changes, if any, should be made to the way the ADA expresses and defines the protected attribute of “responsibilities as a carer”? </w:t>
      </w:r>
    </w:p>
    <w:p w14:paraId="263C2533" w14:textId="77777777" w:rsidR="00181C16" w:rsidRPr="00AF073A" w:rsidRDefault="00181C16" w:rsidP="00181C16">
      <w:pPr>
        <w:pStyle w:val="Recommendationhanging1"/>
      </w:pPr>
      <w:r>
        <w:t>(2)</w:t>
      </w:r>
      <w:r>
        <w:tab/>
        <w:t>Should the ADA separately protect against discrimination based on someone’s status of being, or not being, a parent?</w:t>
      </w:r>
    </w:p>
    <w:p w14:paraId="6C6BEA45" w14:textId="77777777" w:rsidR="00181C16" w:rsidRDefault="00181C16" w:rsidP="00181C16">
      <w:pPr>
        <w:pStyle w:val="Heading1"/>
      </w:pPr>
      <w:bookmarkStart w:id="127" w:name="_Toc196749989"/>
      <w:bookmarkStart w:id="128" w:name="_Toc196826834"/>
      <w:r>
        <w:t>Disability discrimination</w:t>
      </w:r>
      <w:bookmarkEnd w:id="127"/>
      <w:bookmarkEnd w:id="128"/>
      <w:r>
        <w:t xml:space="preserve"> </w:t>
      </w:r>
    </w:p>
    <w:p w14:paraId="0307439E" w14:textId="77777777" w:rsidR="00181C16" w:rsidRDefault="00181C16" w:rsidP="00181C16">
      <w:pPr>
        <w:pStyle w:val="NormalAutoChapter"/>
        <w:tabs>
          <w:tab w:val="clear" w:pos="720"/>
          <w:tab w:val="num" w:pos="2564"/>
        </w:tabs>
        <w:rPr>
          <w:lang w:eastAsia="en-US"/>
        </w:rPr>
      </w:pPr>
      <w:bookmarkStart w:id="129" w:name="_Hlk182821675"/>
      <w:r>
        <w:rPr>
          <w:lang w:eastAsia="en-US"/>
        </w:rPr>
        <w:t>The ADA protects against discrimination based on someone’s disability, or the disability of their relative or associate.</w:t>
      </w:r>
      <w:r>
        <w:rPr>
          <w:rStyle w:val="FootnoteReference"/>
          <w:lang w:eastAsia="en-US"/>
        </w:rPr>
        <w:footnoteReference w:id="167"/>
      </w:r>
      <w:r>
        <w:rPr>
          <w:lang w:eastAsia="en-US"/>
        </w:rPr>
        <w:t xml:space="preserve"> </w:t>
      </w:r>
      <w:r w:rsidRPr="004C797D">
        <w:rPr>
          <w:color w:val="auto"/>
        </w:rPr>
        <w:t xml:space="preserve">As we discuss in </w:t>
      </w:r>
      <w:r w:rsidRPr="00F34EE8">
        <w:rPr>
          <w:color w:val="auto"/>
        </w:rPr>
        <w:t>chapter 8, the</w:t>
      </w:r>
      <w:r w:rsidRPr="004C797D">
        <w:rPr>
          <w:color w:val="auto"/>
        </w:rPr>
        <w:t xml:space="preserve"> ADA does not protect against disability vilification. However, it does protect against vilification </w:t>
      </w:r>
      <w:r>
        <w:rPr>
          <w:color w:val="auto"/>
        </w:rPr>
        <w:t xml:space="preserve">against a person, or group of persons, with </w:t>
      </w:r>
      <w:r w:rsidRPr="004C797D">
        <w:rPr>
          <w:color w:val="auto"/>
        </w:rPr>
        <w:t>HIV/AIDS.</w:t>
      </w:r>
      <w:r>
        <w:rPr>
          <w:rStyle w:val="FootnoteReference"/>
          <w:color w:val="auto"/>
        </w:rPr>
        <w:footnoteReference w:id="168"/>
      </w:r>
      <w:r>
        <w:rPr>
          <w:lang w:eastAsia="en-US"/>
        </w:rPr>
        <w:t xml:space="preserve">  </w:t>
      </w:r>
    </w:p>
    <w:p w14:paraId="48B9C343" w14:textId="77777777" w:rsidR="00181C16" w:rsidRPr="00E863AE" w:rsidRDefault="00181C16" w:rsidP="00181C16">
      <w:pPr>
        <w:pStyle w:val="NormalAutoChapter"/>
        <w:tabs>
          <w:tab w:val="clear" w:pos="720"/>
          <w:tab w:val="num" w:pos="2564"/>
        </w:tabs>
      </w:pPr>
      <w:r>
        <w:rPr>
          <w:lang w:eastAsia="en-US"/>
        </w:rPr>
        <w:t xml:space="preserve">The ADA </w:t>
      </w:r>
      <w:bookmarkEnd w:id="129"/>
      <w:r w:rsidRPr="00E863AE">
        <w:t xml:space="preserve">defines </w:t>
      </w:r>
      <w:r>
        <w:t>“</w:t>
      </w:r>
      <w:r w:rsidRPr="00E863AE">
        <w:t>disability</w:t>
      </w:r>
      <w:r>
        <w:t>”</w:t>
      </w:r>
      <w:r w:rsidRPr="00E863AE">
        <w:t xml:space="preserve"> as </w:t>
      </w:r>
    </w:p>
    <w:p w14:paraId="1984CA65" w14:textId="77777777" w:rsidR="00181C16" w:rsidRPr="00E863AE" w:rsidRDefault="00181C16" w:rsidP="00181C16">
      <w:pPr>
        <w:pStyle w:val="Quotation1hanging"/>
      </w:pPr>
      <w:r w:rsidRPr="00E863AE">
        <w:t>(a)</w:t>
      </w:r>
      <w:r>
        <w:tab/>
      </w:r>
      <w:r w:rsidRPr="00E863AE">
        <w:t>total or partial loss of a person’s bodily or mental functions or of a part of a person’s body, or</w:t>
      </w:r>
    </w:p>
    <w:p w14:paraId="16554223" w14:textId="77777777" w:rsidR="00181C16" w:rsidRPr="00E863AE" w:rsidRDefault="00181C16" w:rsidP="00181C16">
      <w:pPr>
        <w:pStyle w:val="Quotation1hanging"/>
      </w:pPr>
      <w:r w:rsidRPr="00E863AE">
        <w:t>(b)</w:t>
      </w:r>
      <w:r>
        <w:tab/>
      </w:r>
      <w:r w:rsidRPr="00E863AE">
        <w:t>the presence in a person’s body of organisms causing or capable of causing disease or illness, or</w:t>
      </w:r>
    </w:p>
    <w:p w14:paraId="5FD6EA17" w14:textId="77777777" w:rsidR="00181C16" w:rsidRPr="00E863AE" w:rsidRDefault="00181C16" w:rsidP="00181C16">
      <w:pPr>
        <w:pStyle w:val="Quotation1hanging"/>
      </w:pPr>
      <w:r w:rsidRPr="00E863AE">
        <w:t>(c)</w:t>
      </w:r>
      <w:r>
        <w:tab/>
      </w:r>
      <w:r w:rsidRPr="00E863AE">
        <w:t>the malfunction, malformation or disfigurement of a part of a person’s body, or</w:t>
      </w:r>
    </w:p>
    <w:p w14:paraId="52DF6918" w14:textId="77777777" w:rsidR="00181C16" w:rsidRPr="00E863AE" w:rsidRDefault="00181C16" w:rsidP="00181C16">
      <w:pPr>
        <w:pStyle w:val="Quotation1hanging"/>
      </w:pPr>
      <w:r w:rsidRPr="00E863AE">
        <w:t>(d)</w:t>
      </w:r>
      <w:r>
        <w:tab/>
      </w:r>
      <w:r w:rsidRPr="00E863AE">
        <w:t>a disorder or malfunction that results in a person learning differently from a person without the disorder or malfunction, or</w:t>
      </w:r>
    </w:p>
    <w:p w14:paraId="5FCF9768" w14:textId="77777777" w:rsidR="00181C16" w:rsidRPr="00E863AE" w:rsidRDefault="00181C16" w:rsidP="00181C16">
      <w:pPr>
        <w:pStyle w:val="Quotation1hanging"/>
      </w:pPr>
      <w:r w:rsidRPr="00E863AE">
        <w:lastRenderedPageBreak/>
        <w:t>(e)</w:t>
      </w:r>
      <w:r>
        <w:tab/>
      </w:r>
      <w:r w:rsidRPr="00E863AE">
        <w:t>a disorder, illness or disease that affects a person’s thought processes, perception of reality, emotions or judgment or that results in disturbed behaviour.</w:t>
      </w:r>
      <w:r w:rsidRPr="00E863AE">
        <w:rPr>
          <w:rStyle w:val="FootnoteReference"/>
          <w:lang w:val="en-AU"/>
        </w:rPr>
        <w:footnoteReference w:id="169"/>
      </w:r>
    </w:p>
    <w:p w14:paraId="39F05AE1" w14:textId="77777777" w:rsidR="00181C16" w:rsidRDefault="00181C16" w:rsidP="00181C16">
      <w:pPr>
        <w:pStyle w:val="NormalAutoChapter"/>
        <w:tabs>
          <w:tab w:val="clear" w:pos="720"/>
          <w:tab w:val="num" w:pos="2564"/>
        </w:tabs>
        <w:rPr>
          <w:lang w:eastAsia="en-US"/>
        </w:rPr>
      </w:pPr>
      <w:r>
        <w:t xml:space="preserve">This is </w:t>
      </w:r>
      <w:proofErr w:type="gramStart"/>
      <w:r>
        <w:t>similar to</w:t>
      </w:r>
      <w:proofErr w:type="gramEnd"/>
      <w:r>
        <w:t xml:space="preserve"> the definition in the </w:t>
      </w:r>
      <w:r w:rsidRPr="00E30872">
        <w:rPr>
          <w:i/>
          <w:iCs/>
        </w:rPr>
        <w:t>Disability Discrimination Act</w:t>
      </w:r>
      <w:r>
        <w:rPr>
          <w:i/>
          <w:iCs/>
        </w:rPr>
        <w:t xml:space="preserve"> </w:t>
      </w:r>
      <w:r w:rsidRPr="007F375E">
        <w:rPr>
          <w:i/>
          <w:iCs/>
        </w:rPr>
        <w:t>1992</w:t>
      </w:r>
      <w:r>
        <w:t xml:space="preserve"> (Cth) (</w:t>
      </w:r>
      <w:r w:rsidRPr="00E30872">
        <w:rPr>
          <w:i/>
          <w:iCs/>
        </w:rPr>
        <w:t>Disability Discrimination Act</w:t>
      </w:r>
      <w:r>
        <w:t>).</w:t>
      </w:r>
      <w:r>
        <w:rPr>
          <w:rStyle w:val="FootnoteReference"/>
        </w:rPr>
        <w:footnoteReference w:id="170"/>
      </w:r>
      <w:r>
        <w:t xml:space="preserve"> However, we note some differences below.</w:t>
      </w:r>
    </w:p>
    <w:p w14:paraId="54DB4B5E" w14:textId="77777777" w:rsidR="00181C16" w:rsidRDefault="00181C16" w:rsidP="00181C16">
      <w:pPr>
        <w:pStyle w:val="NormalAutoChapter"/>
        <w:tabs>
          <w:tab w:val="clear" w:pos="720"/>
          <w:tab w:val="num" w:pos="2564"/>
        </w:tabs>
        <w:rPr>
          <w:lang w:eastAsia="en-US"/>
        </w:rPr>
      </w:pPr>
      <w:r>
        <w:rPr>
          <w:color w:val="auto"/>
        </w:rPr>
        <w:t xml:space="preserve">Although </w:t>
      </w:r>
      <w:r>
        <w:t>it does not use these terms,</w:t>
      </w:r>
      <w:r>
        <w:rPr>
          <w:color w:val="auto"/>
        </w:rPr>
        <w:t xml:space="preserve"> </w:t>
      </w:r>
      <w:r>
        <w:t>the</w:t>
      </w:r>
      <w:r>
        <w:rPr>
          <w:color w:val="auto"/>
        </w:rPr>
        <w:t xml:space="preserve"> ADA’s definition is broad enough to </w:t>
      </w:r>
      <w:r>
        <w:t>include</w:t>
      </w:r>
      <w:r>
        <w:rPr>
          <w:color w:val="auto"/>
        </w:rPr>
        <w:t xml:space="preserve"> a range of conditions including </w:t>
      </w:r>
      <w:r w:rsidRPr="00487CF8">
        <w:t>physical disability</w:t>
      </w:r>
      <w:r>
        <w:t xml:space="preserve">, </w:t>
      </w:r>
      <w:r w:rsidRPr="00487CF8">
        <w:t>cognitive impairment</w:t>
      </w:r>
      <w:r>
        <w:t xml:space="preserve">, </w:t>
      </w:r>
      <w:r w:rsidRPr="00487CF8">
        <w:t xml:space="preserve">mental illness, learning differences </w:t>
      </w:r>
      <w:r>
        <w:t>and</w:t>
      </w:r>
      <w:r w:rsidRPr="00487CF8">
        <w:rPr>
          <w:color w:val="auto"/>
          <w:lang w:eastAsia="en-US"/>
        </w:rPr>
        <w:t xml:space="preserve"> people living with</w:t>
      </w:r>
      <w:r>
        <w:t xml:space="preserve"> illnesses such as</w:t>
      </w:r>
      <w:r w:rsidRPr="00487CF8">
        <w:rPr>
          <w:color w:val="auto"/>
          <w:lang w:eastAsia="en-US"/>
        </w:rPr>
        <w:t xml:space="preserve"> HIV and hepatitis</w:t>
      </w:r>
      <w:r>
        <w:t>. “</w:t>
      </w:r>
      <w:r w:rsidRPr="002D340C">
        <w:t>Disability</w:t>
      </w:r>
      <w:r>
        <w:t>”</w:t>
      </w:r>
      <w:r w:rsidRPr="002D340C">
        <w:t xml:space="preserve"> </w:t>
      </w:r>
      <w:r>
        <w:t xml:space="preserve">also </w:t>
      </w:r>
      <w:r w:rsidRPr="002D340C">
        <w:t>includes past, future and presumed disability.</w:t>
      </w:r>
      <w:r w:rsidRPr="002D340C">
        <w:rPr>
          <w:rStyle w:val="FootnoteReference"/>
          <w:color w:val="auto"/>
        </w:rPr>
        <w:footnoteReference w:id="171"/>
      </w:r>
      <w:r>
        <w:t xml:space="preserve"> </w:t>
      </w:r>
    </w:p>
    <w:p w14:paraId="7BE748FC" w14:textId="77777777" w:rsidR="00181C16" w:rsidRDefault="00181C16" w:rsidP="00181C16">
      <w:pPr>
        <w:pStyle w:val="NormalAutoChapter"/>
        <w:tabs>
          <w:tab w:val="clear" w:pos="720"/>
          <w:tab w:val="num" w:pos="2564"/>
        </w:tabs>
      </w:pPr>
      <w:r>
        <w:rPr>
          <w:lang w:eastAsia="en-US"/>
        </w:rPr>
        <w:t xml:space="preserve">It is also unlawful to discriminate against someone based on characteristics that a person with that disability generally has or is generally thought to have. Among other things, this includes conduct based on a person having: </w:t>
      </w:r>
    </w:p>
    <w:p w14:paraId="72E7E4B4" w14:textId="77777777" w:rsidR="00181C16" w:rsidRDefault="00181C16" w:rsidP="00181C16">
      <w:pPr>
        <w:pStyle w:val="Normalbullet"/>
      </w:pPr>
      <w:r>
        <w:t>an assistance dog, where the disability relates to vision, hearing or mobility (which we discuss below)</w:t>
      </w:r>
    </w:p>
    <w:p w14:paraId="453DC2A7" w14:textId="77777777" w:rsidR="00181C16" w:rsidRDefault="00181C16" w:rsidP="00181C16">
      <w:pPr>
        <w:pStyle w:val="Normalbullet"/>
      </w:pPr>
      <w:r>
        <w:t>a palliative or therapeutic device, or mechanical equipment, to help them, or</w:t>
      </w:r>
    </w:p>
    <w:p w14:paraId="6D6164D8" w14:textId="77777777" w:rsidR="00181C16" w:rsidRDefault="00181C16" w:rsidP="00181C16">
      <w:pPr>
        <w:pStyle w:val="Normalbullet"/>
      </w:pPr>
      <w:r>
        <w:t>an interpreter, reader, assistant or carer who provides interpretive, reading or other services.</w:t>
      </w:r>
      <w:r>
        <w:rPr>
          <w:rStyle w:val="FootnoteReference"/>
        </w:rPr>
        <w:footnoteReference w:id="172"/>
      </w:r>
    </w:p>
    <w:p w14:paraId="4C66AD0D" w14:textId="77777777" w:rsidR="00181C16" w:rsidRDefault="00181C16" w:rsidP="00181C16">
      <w:pPr>
        <w:pStyle w:val="Heading2"/>
      </w:pPr>
      <w:bookmarkStart w:id="130" w:name="_Toc196749990"/>
      <w:bookmarkStart w:id="131" w:name="_Toc196826835"/>
      <w:r>
        <w:t>The language used to define “disability”</w:t>
      </w:r>
      <w:bookmarkEnd w:id="130"/>
      <w:bookmarkEnd w:id="131"/>
    </w:p>
    <w:p w14:paraId="1A09ABDC" w14:textId="77777777" w:rsidR="00181C16" w:rsidRPr="00277205" w:rsidRDefault="00181C16" w:rsidP="00181C16">
      <w:pPr>
        <w:pStyle w:val="NormalAutoChapter"/>
        <w:tabs>
          <w:tab w:val="clear" w:pos="720"/>
          <w:tab w:val="num" w:pos="2564"/>
        </w:tabs>
      </w:pPr>
      <w:r w:rsidRPr="00277205">
        <w:rPr>
          <w:color w:val="auto"/>
        </w:rPr>
        <w:t>We have heard concerns about the language the ADA uses to define disability. Many think the definition is outdated and overly limited</w:t>
      </w:r>
      <w:r>
        <w:rPr>
          <w:color w:val="auto"/>
        </w:rPr>
        <w:t>.</w:t>
      </w:r>
    </w:p>
    <w:p w14:paraId="0012CC20" w14:textId="77777777" w:rsidR="00181C16" w:rsidRPr="00DA1BEF" w:rsidRDefault="00181C16" w:rsidP="00181C16">
      <w:pPr>
        <w:pStyle w:val="Heading3"/>
      </w:pPr>
      <w:r>
        <w:t xml:space="preserve">Negative or deficit-based language </w:t>
      </w:r>
    </w:p>
    <w:p w14:paraId="6C2D99C0" w14:textId="77777777" w:rsidR="00181C16" w:rsidRPr="006143E7" w:rsidRDefault="00181C16" w:rsidP="00181C16">
      <w:pPr>
        <w:pStyle w:val="NormalAutoChapter"/>
        <w:tabs>
          <w:tab w:val="clear" w:pos="720"/>
          <w:tab w:val="num" w:pos="2564"/>
        </w:tabs>
      </w:pPr>
      <w:r w:rsidRPr="00277205">
        <w:rPr>
          <w:color w:val="auto"/>
        </w:rPr>
        <w:t xml:space="preserve">Discrimination laws across Australia, including the ADA, </w:t>
      </w:r>
      <w:r>
        <w:t>define</w:t>
      </w:r>
      <w:r w:rsidRPr="00E863AE">
        <w:t xml:space="preserve"> disability </w:t>
      </w:r>
      <w:r>
        <w:t>with reference to negative or deficit-based terms</w:t>
      </w:r>
      <w:r w:rsidRPr="00E863AE">
        <w:t>.</w:t>
      </w:r>
      <w:r>
        <w:t xml:space="preserve"> </w:t>
      </w:r>
      <w:r w:rsidRPr="00277205">
        <w:rPr>
          <w:color w:val="auto"/>
        </w:rPr>
        <w:t>These terms include “disorder”, “malfunction”, “malformation”, “disfigurement” and “disturbed behaviour”.</w:t>
      </w:r>
      <w:r w:rsidRPr="00E863AE">
        <w:rPr>
          <w:rStyle w:val="FootnoteReference"/>
        </w:rPr>
        <w:footnoteReference w:id="173"/>
      </w:r>
      <w:r w:rsidRPr="00277205">
        <w:rPr>
          <w:color w:val="auto"/>
        </w:rPr>
        <w:t xml:space="preserve"> This is because they mostly align with the definition in the </w:t>
      </w:r>
      <w:r w:rsidRPr="00277205">
        <w:rPr>
          <w:i/>
          <w:iCs/>
          <w:color w:val="auto"/>
        </w:rPr>
        <w:t xml:space="preserve">Disability Discrimination Act. </w:t>
      </w:r>
    </w:p>
    <w:p w14:paraId="2C704873" w14:textId="77777777" w:rsidR="00181C16" w:rsidRDefault="00181C16" w:rsidP="00181C16">
      <w:pPr>
        <w:pStyle w:val="NormalAutoChapter"/>
        <w:tabs>
          <w:tab w:val="clear" w:pos="720"/>
          <w:tab w:val="num" w:pos="2564"/>
        </w:tabs>
      </w:pPr>
      <w:r>
        <w:t xml:space="preserve">It may be possible to replace them with more inclusive alternatives, while keeping the essence of the definition in the </w:t>
      </w:r>
      <w:r w:rsidRPr="00DC0D4A">
        <w:rPr>
          <w:i/>
          <w:iCs/>
        </w:rPr>
        <w:t>Disability Discrimination Act</w:t>
      </w:r>
      <w:r>
        <w:t>.</w:t>
      </w:r>
      <w:r w:rsidRPr="00CC706A">
        <w:t xml:space="preserve"> </w:t>
      </w:r>
      <w:r>
        <w:t>For instance, there have been proposals to:</w:t>
      </w:r>
    </w:p>
    <w:p w14:paraId="6A98220A" w14:textId="77777777" w:rsidR="00181C16" w:rsidRDefault="00181C16" w:rsidP="00181C16">
      <w:pPr>
        <w:pStyle w:val="Normalbullet"/>
      </w:pPr>
      <w:r>
        <w:lastRenderedPageBreak/>
        <w:t>refer to “disfigurement of part of the body”, but delete the references to “malfunction” and “malformation”,</w:t>
      </w:r>
      <w:r>
        <w:rPr>
          <w:rStyle w:val="FootnoteReference"/>
        </w:rPr>
        <w:footnoteReference w:id="174"/>
      </w:r>
      <w:r>
        <w:t xml:space="preserve"> or </w:t>
      </w:r>
    </w:p>
    <w:p w14:paraId="695ED7A9" w14:textId="77777777" w:rsidR="00181C16" w:rsidRDefault="00181C16" w:rsidP="00181C16">
      <w:pPr>
        <w:pStyle w:val="Normalbullet"/>
      </w:pPr>
      <w:r>
        <w:t>replace “</w:t>
      </w:r>
      <w:r w:rsidRPr="00A14FCB">
        <w:t>the malfunction, malformation or disfigurement of a part of a person’s body</w:t>
      </w:r>
      <w:r>
        <w:t>” with “an impairment or disturbance in the structure or functioning of the person’s body or a part of the person’s body”.</w:t>
      </w:r>
      <w:r>
        <w:rPr>
          <w:rStyle w:val="FootnoteReference"/>
        </w:rPr>
        <w:footnoteReference w:id="175"/>
      </w:r>
    </w:p>
    <w:p w14:paraId="76845C29" w14:textId="77777777" w:rsidR="00181C16" w:rsidRDefault="00181C16" w:rsidP="00181C16">
      <w:pPr>
        <w:pStyle w:val="NormalAutoChapter"/>
        <w:tabs>
          <w:tab w:val="clear" w:pos="720"/>
          <w:tab w:val="num" w:pos="2564"/>
        </w:tabs>
      </w:pPr>
      <w:r>
        <w:t xml:space="preserve">Alternative words might be “restriction” or “limitation”. These words are used, for example, in the </w:t>
      </w:r>
      <w:r w:rsidRPr="00EC4F26">
        <w:t>World Health Organi</w:t>
      </w:r>
      <w:r>
        <w:t>z</w:t>
      </w:r>
      <w:r w:rsidRPr="00EC4F26">
        <w:t>ation</w:t>
      </w:r>
      <w:r>
        <w:t>’s</w:t>
      </w:r>
      <w:r w:rsidRPr="00EC4F26">
        <w:t xml:space="preserve"> International Classification of Functioning, Disability and Health </w:t>
      </w:r>
      <w:r>
        <w:t>and medical or census definitions.</w:t>
      </w:r>
      <w:r>
        <w:rPr>
          <w:rStyle w:val="FootnoteReference"/>
        </w:rPr>
        <w:footnoteReference w:id="176"/>
      </w:r>
      <w:r>
        <w:t xml:space="preserve"> </w:t>
      </w:r>
    </w:p>
    <w:p w14:paraId="4ED09511" w14:textId="77777777" w:rsidR="00181C16" w:rsidRDefault="00181C16" w:rsidP="00181C16">
      <w:pPr>
        <w:pStyle w:val="Heading3"/>
      </w:pPr>
      <w:r>
        <w:t xml:space="preserve">A social model of disability </w:t>
      </w:r>
    </w:p>
    <w:p w14:paraId="32F396E7" w14:textId="77777777" w:rsidR="00181C16" w:rsidRDefault="00181C16" w:rsidP="00181C16">
      <w:pPr>
        <w:pStyle w:val="NormalAutoChapter"/>
        <w:tabs>
          <w:tab w:val="clear" w:pos="720"/>
          <w:tab w:val="num" w:pos="2564"/>
        </w:tabs>
        <w:rPr>
          <w:color w:val="auto"/>
        </w:rPr>
      </w:pPr>
      <w:r>
        <w:rPr>
          <w:color w:val="auto"/>
        </w:rPr>
        <w:t xml:space="preserve">Another issue is whether the definition should reflect a social model or a human rights model of disability.  </w:t>
      </w:r>
    </w:p>
    <w:p w14:paraId="45F0DAB5" w14:textId="77777777" w:rsidR="00181C16" w:rsidRDefault="00181C16" w:rsidP="00181C16">
      <w:pPr>
        <w:pStyle w:val="NormalAutoChapter"/>
        <w:tabs>
          <w:tab w:val="clear" w:pos="720"/>
          <w:tab w:val="num" w:pos="2564"/>
        </w:tabs>
        <w:rPr>
          <w:color w:val="auto"/>
        </w:rPr>
      </w:pPr>
      <w:r>
        <w:rPr>
          <w:color w:val="auto"/>
        </w:rPr>
        <w:t xml:space="preserve">The definitions in the ADA, the </w:t>
      </w:r>
      <w:r w:rsidRPr="00E30872">
        <w:rPr>
          <w:i/>
          <w:iCs/>
          <w:color w:val="auto"/>
        </w:rPr>
        <w:t>Disability Discrimination Act</w:t>
      </w:r>
      <w:r>
        <w:rPr>
          <w:color w:val="auto"/>
        </w:rPr>
        <w:t xml:space="preserve"> and other Australian discrimination laws reflect a “medical model” of disability. This views disability as a deficit, abnormality or medical problem requiring a cure.</w:t>
      </w:r>
      <w:r>
        <w:rPr>
          <w:rStyle w:val="FootnoteReference"/>
          <w:color w:val="auto"/>
        </w:rPr>
        <w:footnoteReference w:id="177"/>
      </w:r>
      <w:r>
        <w:rPr>
          <w:color w:val="auto"/>
        </w:rPr>
        <w:t xml:space="preserve"> It does not account for external factors that may cause, worsen or alleviate disability.</w:t>
      </w:r>
    </w:p>
    <w:p w14:paraId="440333D6" w14:textId="77777777" w:rsidR="00181C16" w:rsidRPr="00173F89" w:rsidRDefault="00181C16" w:rsidP="00181C16">
      <w:pPr>
        <w:pStyle w:val="NormalAutoChapter"/>
        <w:tabs>
          <w:tab w:val="clear" w:pos="720"/>
          <w:tab w:val="num" w:pos="2564"/>
        </w:tabs>
        <w:rPr>
          <w:color w:val="auto"/>
        </w:rPr>
      </w:pPr>
      <w:r w:rsidRPr="00314416">
        <w:rPr>
          <w:color w:val="auto"/>
        </w:rPr>
        <w:t>The social model</w:t>
      </w:r>
      <w:r>
        <w:rPr>
          <w:color w:val="auto"/>
        </w:rPr>
        <w:t xml:space="preserve"> is the “response to, and rejection of” the medical model.</w:t>
      </w:r>
      <w:r>
        <w:rPr>
          <w:rStyle w:val="FootnoteReference"/>
          <w:color w:val="auto"/>
        </w:rPr>
        <w:footnoteReference w:id="178"/>
      </w:r>
      <w:r>
        <w:rPr>
          <w:color w:val="auto"/>
        </w:rPr>
        <w:t xml:space="preserve"> </w:t>
      </w:r>
      <w:r>
        <w:t>It argues that people are disabled by social and environmental barriers to participation, including physical and communication barriers, and discriminatory attitudes. It also includes the failure to give people with disability the adjustments they need to participate in society.</w:t>
      </w:r>
      <w:r>
        <w:rPr>
          <w:rStyle w:val="FootnoteReference"/>
        </w:rPr>
        <w:footnoteReference w:id="179"/>
      </w:r>
      <w:r>
        <w:t xml:space="preserve"> </w:t>
      </w:r>
    </w:p>
    <w:p w14:paraId="49E869AA" w14:textId="77777777" w:rsidR="00181C16" w:rsidRPr="00314416" w:rsidRDefault="00181C16" w:rsidP="00181C16">
      <w:pPr>
        <w:pStyle w:val="NormalAutoChapter"/>
        <w:tabs>
          <w:tab w:val="clear" w:pos="720"/>
          <w:tab w:val="num" w:pos="2564"/>
        </w:tabs>
        <w:rPr>
          <w:color w:val="auto"/>
        </w:rPr>
      </w:pPr>
      <w:r>
        <w:rPr>
          <w:color w:val="auto"/>
        </w:rPr>
        <w:t>A</w:t>
      </w:r>
      <w:r w:rsidRPr="00314416">
        <w:rPr>
          <w:color w:val="auto"/>
        </w:rPr>
        <w:t xml:space="preserve"> human rights </w:t>
      </w:r>
      <w:r>
        <w:rPr>
          <w:color w:val="auto"/>
        </w:rPr>
        <w:t xml:space="preserve">approach or model can identify structural, policy and legal changes </w:t>
      </w:r>
      <w:r w:rsidRPr="00314416">
        <w:rPr>
          <w:color w:val="auto"/>
        </w:rPr>
        <w:t xml:space="preserve">to enable </w:t>
      </w:r>
      <w:r>
        <w:rPr>
          <w:color w:val="auto"/>
        </w:rPr>
        <w:t xml:space="preserve">people with disability to have </w:t>
      </w:r>
      <w:r w:rsidRPr="00314416">
        <w:rPr>
          <w:color w:val="auto"/>
        </w:rPr>
        <w:t>full and equal access to their rights.</w:t>
      </w:r>
      <w:r>
        <w:rPr>
          <w:rStyle w:val="FootnoteReference"/>
          <w:color w:val="auto"/>
        </w:rPr>
        <w:footnoteReference w:id="180"/>
      </w:r>
      <w:r>
        <w:rPr>
          <w:color w:val="auto"/>
        </w:rPr>
        <w:t xml:space="preserve"> </w:t>
      </w:r>
    </w:p>
    <w:p w14:paraId="742A7F30" w14:textId="77777777" w:rsidR="00181C16" w:rsidRPr="002D340C" w:rsidRDefault="00181C16" w:rsidP="00181C16">
      <w:pPr>
        <w:pStyle w:val="NormalAutoChapter"/>
        <w:tabs>
          <w:tab w:val="clear" w:pos="720"/>
          <w:tab w:val="num" w:pos="2564"/>
        </w:tabs>
        <w:rPr>
          <w:color w:val="auto"/>
        </w:rPr>
      </w:pPr>
      <w:r>
        <w:rPr>
          <w:color w:val="auto"/>
        </w:rPr>
        <w:lastRenderedPageBreak/>
        <w:t>T</w:t>
      </w:r>
      <w:r w:rsidRPr="002D340C">
        <w:rPr>
          <w:color w:val="auto"/>
        </w:rPr>
        <w:t>he</w:t>
      </w:r>
      <w:r>
        <w:rPr>
          <w:color w:val="auto"/>
        </w:rPr>
        <w:t xml:space="preserve"> </w:t>
      </w:r>
      <w:r w:rsidRPr="00AC2089">
        <w:rPr>
          <w:i/>
          <w:iCs/>
          <w:color w:val="auto"/>
        </w:rPr>
        <w:t>Convention on the Rights of Persons with Disabilities</w:t>
      </w:r>
      <w:r>
        <w:rPr>
          <w:color w:val="auto"/>
        </w:rPr>
        <w:t xml:space="preserve"> (CRPD)</w:t>
      </w:r>
      <w:r w:rsidRPr="002D340C">
        <w:rPr>
          <w:color w:val="auto"/>
        </w:rPr>
        <w:t xml:space="preserve"> </w:t>
      </w:r>
      <w:r>
        <w:rPr>
          <w:color w:val="auto"/>
        </w:rPr>
        <w:t>is sometimes described as representing both approaches.</w:t>
      </w:r>
      <w:r>
        <w:rPr>
          <w:rStyle w:val="FootnoteReference"/>
          <w:color w:val="auto"/>
        </w:rPr>
        <w:footnoteReference w:id="181"/>
      </w:r>
      <w:r>
        <w:rPr>
          <w:color w:val="auto"/>
        </w:rPr>
        <w:t xml:space="preserve"> The CRPD states</w:t>
      </w:r>
      <w:r w:rsidRPr="002D340C">
        <w:rPr>
          <w:color w:val="auto"/>
        </w:rPr>
        <w:t xml:space="preserve">: </w:t>
      </w:r>
    </w:p>
    <w:p w14:paraId="1D5E4BE0" w14:textId="77777777" w:rsidR="00181C16" w:rsidRPr="002D340C" w:rsidRDefault="00181C16" w:rsidP="00181C16">
      <w:pPr>
        <w:pStyle w:val="Quotationnormal"/>
        <w:rPr>
          <w:color w:val="auto"/>
        </w:rPr>
      </w:pPr>
      <w:r w:rsidRPr="00DD4873">
        <w:t>Persons with disabilities include those who have long-term physical, mental, intellectual or sensory impairments which in interaction with various barriers may hinder their full and effective participation in society on an equal basis with others</w:t>
      </w:r>
      <w:r w:rsidRPr="002D340C">
        <w:rPr>
          <w:color w:val="auto"/>
        </w:rPr>
        <w:t>.</w:t>
      </w:r>
      <w:r w:rsidRPr="00DD4873">
        <w:rPr>
          <w:rStyle w:val="FootnoteReference"/>
          <w:lang w:eastAsia="en-AU"/>
        </w:rPr>
        <w:footnoteReference w:id="182"/>
      </w:r>
    </w:p>
    <w:p w14:paraId="45919888" w14:textId="77777777" w:rsidR="00181C16" w:rsidRDefault="00181C16" w:rsidP="00181C16">
      <w:pPr>
        <w:pStyle w:val="NormalAutoChapter"/>
        <w:tabs>
          <w:tab w:val="num" w:pos="2564"/>
        </w:tabs>
      </w:pPr>
      <w:r>
        <w:t xml:space="preserve">In NSW, a private member’s bill proposes to implement aspects of the CRPD definition. This would </w:t>
      </w:r>
      <w:r>
        <w:rPr>
          <w:color w:val="auto"/>
        </w:rPr>
        <w:t>retain aspects of the current ADA definition but incorporate aspects of the CRPD definition.</w:t>
      </w:r>
      <w:r>
        <w:rPr>
          <w:rStyle w:val="FootnoteReference"/>
          <w:color w:val="auto"/>
        </w:rPr>
        <w:footnoteReference w:id="183"/>
      </w:r>
      <w:r>
        <w:t xml:space="preserve"> </w:t>
      </w:r>
    </w:p>
    <w:p w14:paraId="7D95702B" w14:textId="77777777" w:rsidR="00181C16" w:rsidRDefault="00181C16" w:rsidP="00181C16">
      <w:pPr>
        <w:pStyle w:val="NormalAutoChapter"/>
        <w:tabs>
          <w:tab w:val="num" w:pos="2564"/>
        </w:tabs>
      </w:pPr>
      <w:r>
        <w:t xml:space="preserve">One preliminary submission proposed another definition: </w:t>
      </w:r>
    </w:p>
    <w:p w14:paraId="68FD2EDC" w14:textId="77777777" w:rsidR="00181C16" w:rsidRPr="00967F99" w:rsidRDefault="00181C16" w:rsidP="00181C16">
      <w:pPr>
        <w:pStyle w:val="Quotationnormal"/>
        <w:rPr>
          <w:lang w:eastAsia="en-AU"/>
        </w:rPr>
      </w:pPr>
      <w:r w:rsidRPr="00967F99">
        <w:rPr>
          <w:lang w:eastAsia="en-AU"/>
        </w:rPr>
        <w:t>disability is any impairment, including a physical, mental, intellectual, cognitive, neurological, learning, communication, or sensory impairment, or a functional limitation whether permanent, temporary, or episodic in nature, whether evident or not, that, in interaction with a barrier, hinders a person’s full and equal participation in society.</w:t>
      </w:r>
      <w:r>
        <w:rPr>
          <w:rStyle w:val="FootnoteReference"/>
          <w:lang w:eastAsia="en-AU"/>
        </w:rPr>
        <w:footnoteReference w:id="184"/>
      </w:r>
    </w:p>
    <w:p w14:paraId="53FB96E5" w14:textId="77777777" w:rsidR="00181C16" w:rsidRDefault="00181C16" w:rsidP="00181C16">
      <w:pPr>
        <w:pStyle w:val="NormalAutoChapter"/>
        <w:tabs>
          <w:tab w:val="clear" w:pos="720"/>
          <w:tab w:val="num" w:pos="2564"/>
        </w:tabs>
      </w:pPr>
      <w:r>
        <w:rPr>
          <w:color w:val="auto"/>
        </w:rPr>
        <w:t xml:space="preserve">There may be </w:t>
      </w:r>
      <w:r>
        <w:t xml:space="preserve">benefits in keeping the ADA definition consistent with other Australian discrimination laws. However, the ADA could reflect the social and human rights models in other ways, including underpinning a new proactive requirement to provide adjustments, which we consider in </w:t>
      </w:r>
      <w:r w:rsidRPr="00011304">
        <w:t>chapter 11.</w:t>
      </w:r>
      <w:r>
        <w:t xml:space="preserve"> </w:t>
      </w:r>
    </w:p>
    <w:p w14:paraId="75D8BB63" w14:textId="77777777" w:rsidR="00181C16" w:rsidRPr="00A9538A" w:rsidRDefault="00181C16" w:rsidP="00181C16">
      <w:pPr>
        <w:pStyle w:val="Heading2"/>
      </w:pPr>
      <w:bookmarkStart w:id="138" w:name="_Toc196749991"/>
      <w:bookmarkStart w:id="139" w:name="_Toc196826836"/>
      <w:r>
        <w:t>Options for expanding the ADA’s coverage</w:t>
      </w:r>
      <w:bookmarkEnd w:id="138"/>
      <w:bookmarkEnd w:id="139"/>
    </w:p>
    <w:p w14:paraId="1699A9E5" w14:textId="77777777" w:rsidR="00181C16" w:rsidRPr="00A60C27" w:rsidRDefault="00181C16" w:rsidP="00181C16">
      <w:pPr>
        <w:pStyle w:val="NormalAutoChapter"/>
        <w:tabs>
          <w:tab w:val="clear" w:pos="720"/>
          <w:tab w:val="num" w:pos="2564"/>
        </w:tabs>
      </w:pPr>
      <w:r>
        <w:rPr>
          <w:color w:val="auto"/>
        </w:rPr>
        <w:t xml:space="preserve">The ADA definition is broad. It does not specify </w:t>
      </w:r>
      <w:proofErr w:type="gramStart"/>
      <w:r>
        <w:rPr>
          <w:color w:val="auto"/>
        </w:rPr>
        <w:t>particular disabilities</w:t>
      </w:r>
      <w:proofErr w:type="gramEnd"/>
      <w:r>
        <w:rPr>
          <w:color w:val="auto"/>
        </w:rPr>
        <w:t xml:space="preserve"> or require any severity of symptoms. It covers physical, mental and cognitive impairments, and certain illnesses.</w:t>
      </w:r>
    </w:p>
    <w:p w14:paraId="20178372" w14:textId="77777777" w:rsidR="00181C16" w:rsidRDefault="00181C16" w:rsidP="00181C16">
      <w:pPr>
        <w:pStyle w:val="NormalAutoChapter"/>
        <w:tabs>
          <w:tab w:val="clear" w:pos="720"/>
          <w:tab w:val="num" w:pos="2564"/>
        </w:tabs>
      </w:pPr>
      <w:r>
        <w:rPr>
          <w:color w:val="auto"/>
          <w:lang w:eastAsia="en-US"/>
        </w:rPr>
        <w:t>However, some</w:t>
      </w:r>
      <w:r w:rsidRPr="00F67CC6">
        <w:rPr>
          <w:color w:val="auto"/>
          <w:lang w:eastAsia="en-US"/>
        </w:rPr>
        <w:t xml:space="preserve"> think the definition should </w:t>
      </w:r>
      <w:r>
        <w:rPr>
          <w:color w:val="auto"/>
          <w:lang w:eastAsia="en-US"/>
        </w:rPr>
        <w:t xml:space="preserve">more clearly </w:t>
      </w:r>
      <w:r w:rsidRPr="00F67CC6">
        <w:rPr>
          <w:color w:val="auto"/>
          <w:lang w:eastAsia="en-US"/>
        </w:rPr>
        <w:t xml:space="preserve">include </w:t>
      </w:r>
      <w:r w:rsidRPr="00F67CC6">
        <w:t>psychosocial disability</w:t>
      </w:r>
      <w:r>
        <w:t>, mental illness or addiction. For instance, the Queensland Human Rights Commission (QHRC) noted concerns that the Queensland definition might not cover people who experience episodic mental conditions, or who do not meet diagnostic criteria.</w:t>
      </w:r>
      <w:r>
        <w:rPr>
          <w:rStyle w:val="FootnoteReference"/>
        </w:rPr>
        <w:footnoteReference w:id="185"/>
      </w:r>
    </w:p>
    <w:p w14:paraId="411A6A4E" w14:textId="77777777" w:rsidR="00181C16" w:rsidRDefault="00181C16" w:rsidP="00181C16">
      <w:pPr>
        <w:pStyle w:val="NormalAutoChapter"/>
        <w:tabs>
          <w:tab w:val="clear" w:pos="720"/>
          <w:tab w:val="num" w:pos="2564"/>
        </w:tabs>
        <w:rPr>
          <w:color w:val="auto"/>
        </w:rPr>
      </w:pPr>
      <w:r>
        <w:rPr>
          <w:color w:val="auto"/>
        </w:rPr>
        <w:t xml:space="preserve">Another </w:t>
      </w:r>
      <w:r w:rsidRPr="00543B1C">
        <w:rPr>
          <w:color w:val="auto"/>
        </w:rPr>
        <w:t xml:space="preserve">issue is whether the definition should expressly refer to addiction to alcohol or other drugs. </w:t>
      </w:r>
      <w:r>
        <w:rPr>
          <w:color w:val="auto"/>
        </w:rPr>
        <w:t>Currently</w:t>
      </w:r>
      <w:r w:rsidRPr="00543B1C">
        <w:rPr>
          <w:color w:val="auto"/>
        </w:rPr>
        <w:t xml:space="preserve">, addiction </w:t>
      </w:r>
      <w:r>
        <w:rPr>
          <w:color w:val="auto"/>
        </w:rPr>
        <w:t xml:space="preserve">can fall within the definition of disability </w:t>
      </w:r>
      <w:r w:rsidRPr="00543B1C">
        <w:rPr>
          <w:color w:val="auto"/>
        </w:rPr>
        <w:t>if characterised as affecting</w:t>
      </w:r>
      <w:r>
        <w:rPr>
          <w:color w:val="auto"/>
        </w:rPr>
        <w:t>:</w:t>
      </w:r>
    </w:p>
    <w:p w14:paraId="2D6D0D86" w14:textId="77777777" w:rsidR="00181C16" w:rsidRDefault="00181C16" w:rsidP="00181C16">
      <w:pPr>
        <w:pStyle w:val="Normalbullet"/>
      </w:pPr>
      <w:r w:rsidRPr="00543B1C">
        <w:lastRenderedPageBreak/>
        <w:t xml:space="preserve">bodily and mental functions, and/or </w:t>
      </w:r>
    </w:p>
    <w:p w14:paraId="4BACA9B1" w14:textId="77777777" w:rsidR="00181C16" w:rsidRPr="00543B1C" w:rsidRDefault="00181C16" w:rsidP="00181C16">
      <w:pPr>
        <w:pStyle w:val="Normalbullet"/>
      </w:pPr>
      <w:r w:rsidRPr="00543B1C">
        <w:t>thought processes, perception of reality, emotions or judgment or disturbed behaviour.</w:t>
      </w:r>
      <w:r w:rsidRPr="00487CF8">
        <w:rPr>
          <w:rStyle w:val="FootnoteReference"/>
        </w:rPr>
        <w:footnoteReference w:id="186"/>
      </w:r>
      <w:r w:rsidRPr="00543B1C">
        <w:t xml:space="preserve"> </w:t>
      </w:r>
      <w:r>
        <w:t xml:space="preserve"> </w:t>
      </w:r>
    </w:p>
    <w:p w14:paraId="39F6C73D" w14:textId="77777777" w:rsidR="00181C16" w:rsidRDefault="00181C16" w:rsidP="00181C16">
      <w:pPr>
        <w:pStyle w:val="NormalAutoChapter"/>
        <w:tabs>
          <w:tab w:val="clear" w:pos="720"/>
          <w:tab w:val="num" w:pos="2564"/>
        </w:tabs>
        <w:rPr>
          <w:color w:val="auto"/>
        </w:rPr>
      </w:pPr>
      <w:r>
        <w:t>The ADA’s prohibition on disability discrimination at work does not apply if the disability relates to a person’s addiction to a prohibited drug.</w:t>
      </w:r>
      <w:r>
        <w:rPr>
          <w:rStyle w:val="FootnoteReference"/>
          <w:lang w:eastAsia="en-US"/>
        </w:rPr>
        <w:footnoteReference w:id="187"/>
      </w:r>
      <w:r>
        <w:t xml:space="preserve"> We discuss concerns about this exception in </w:t>
      </w:r>
      <w:r w:rsidRPr="00011304">
        <w:t>chapter 6.</w:t>
      </w:r>
      <w:r w:rsidRPr="0046094E">
        <w:rPr>
          <w:color w:val="auto"/>
        </w:rPr>
        <w:t xml:space="preserve"> </w:t>
      </w:r>
      <w:r w:rsidRPr="002D340C">
        <w:rPr>
          <w:color w:val="auto"/>
        </w:rPr>
        <w:t xml:space="preserve"> </w:t>
      </w:r>
    </w:p>
    <w:p w14:paraId="4B464421" w14:textId="77777777" w:rsidR="00181C16" w:rsidRPr="00751418" w:rsidRDefault="00181C16" w:rsidP="00181C16">
      <w:pPr>
        <w:pStyle w:val="NormalAutoChapter"/>
        <w:tabs>
          <w:tab w:val="clear" w:pos="720"/>
          <w:tab w:val="num" w:pos="2564"/>
        </w:tabs>
        <w:rPr>
          <w:color w:val="auto"/>
        </w:rPr>
      </w:pPr>
      <w:r>
        <w:rPr>
          <w:color w:val="auto"/>
        </w:rPr>
        <w:t xml:space="preserve">Whether an addiction falls within the definition depends on each </w:t>
      </w:r>
      <w:proofErr w:type="gramStart"/>
      <w:r>
        <w:rPr>
          <w:color w:val="auto"/>
        </w:rPr>
        <w:t>particular case</w:t>
      </w:r>
      <w:proofErr w:type="gramEnd"/>
      <w:r>
        <w:rPr>
          <w:color w:val="auto"/>
        </w:rPr>
        <w:t>. It is possible that a gambling addiction could be covered by the definition also. However, tribunals have not yet confirmed this in NSW.</w:t>
      </w:r>
      <w:r>
        <w:rPr>
          <w:rStyle w:val="FootnoteReference"/>
          <w:color w:val="auto"/>
        </w:rPr>
        <w:footnoteReference w:id="188"/>
      </w:r>
      <w:r>
        <w:rPr>
          <w:color w:val="auto"/>
        </w:rPr>
        <w:t xml:space="preserve">  </w:t>
      </w:r>
    </w:p>
    <w:p w14:paraId="61B07F14" w14:textId="77777777" w:rsidR="00181C16" w:rsidRDefault="00181C16" w:rsidP="00181C16">
      <w:pPr>
        <w:pStyle w:val="NormalAutoChapter"/>
        <w:tabs>
          <w:tab w:val="clear" w:pos="720"/>
          <w:tab w:val="num" w:pos="2564"/>
        </w:tabs>
      </w:pPr>
      <w:r w:rsidRPr="00867B3E">
        <w:rPr>
          <w:color w:val="auto"/>
          <w:lang w:eastAsia="en-US"/>
        </w:rPr>
        <w:t>No</w:t>
      </w:r>
      <w:r>
        <w:t xml:space="preserve"> other Australian discrimination law explicitly covers addiction in the definition of disability.</w:t>
      </w:r>
      <w:r w:rsidRPr="00867B3E">
        <w:rPr>
          <w:color w:val="auto"/>
        </w:rPr>
        <w:t xml:space="preserve"> However, </w:t>
      </w:r>
      <w:r>
        <w:rPr>
          <w:color w:val="auto"/>
        </w:rPr>
        <w:t>t</w:t>
      </w:r>
      <w:r>
        <w:t>he QHRC recommended that the definition should clearly include addiction.</w:t>
      </w:r>
      <w:r>
        <w:rPr>
          <w:rStyle w:val="FootnoteReference"/>
        </w:rPr>
        <w:footnoteReference w:id="189"/>
      </w:r>
      <w:r>
        <w:t xml:space="preserve"> </w:t>
      </w:r>
    </w:p>
    <w:p w14:paraId="4B07FAFB" w14:textId="77777777" w:rsidR="00181C16" w:rsidRPr="00A9538A" w:rsidRDefault="00181C16" w:rsidP="00181C16">
      <w:pPr>
        <w:pStyle w:val="NormalAutoChapter"/>
        <w:tabs>
          <w:tab w:val="clear" w:pos="720"/>
          <w:tab w:val="num" w:pos="2564"/>
        </w:tabs>
        <w:rPr>
          <w:color w:val="auto"/>
        </w:rPr>
      </w:pPr>
      <w:r>
        <w:t xml:space="preserve">An alternative could be to protect against discrimination based on “health status”, separately from disability. This could cover health conditions that fall outside the definition of disability, or conditions not considered to be disability by those who experience them. We discuss this option </w:t>
      </w:r>
      <w:r w:rsidRPr="00011304">
        <w:t>in chapter 5.</w:t>
      </w:r>
      <w:r>
        <w:t xml:space="preserve">  </w:t>
      </w:r>
    </w:p>
    <w:p w14:paraId="0C344B6C" w14:textId="77777777" w:rsidR="00181C16" w:rsidRPr="002D340C" w:rsidRDefault="00181C16" w:rsidP="00181C16">
      <w:pPr>
        <w:pStyle w:val="Heading2"/>
      </w:pPr>
      <w:bookmarkStart w:id="142" w:name="_Toc196749992"/>
      <w:bookmarkStart w:id="143" w:name="_Toc196826837"/>
      <w:r>
        <w:t>Recognising the rights of people with a</w:t>
      </w:r>
      <w:r w:rsidRPr="002D340C">
        <w:t>ssistance animals</w:t>
      </w:r>
      <w:bookmarkEnd w:id="142"/>
      <w:bookmarkEnd w:id="143"/>
    </w:p>
    <w:p w14:paraId="4D3E38B6" w14:textId="77777777" w:rsidR="00181C16" w:rsidRDefault="00181C16" w:rsidP="00181C16">
      <w:pPr>
        <w:pStyle w:val="NormalAutoChapter"/>
        <w:tabs>
          <w:tab w:val="clear" w:pos="720"/>
          <w:tab w:val="num" w:pos="2564"/>
        </w:tabs>
        <w:rPr>
          <w:lang w:eastAsia="en-US"/>
        </w:rPr>
      </w:pPr>
      <w:r>
        <w:rPr>
          <w:color w:val="auto"/>
          <w:lang w:eastAsia="en-US"/>
        </w:rPr>
        <w:t xml:space="preserve">Another concern, raised in preliminary submissions, relates to the way the ADA refers to assistance animals. </w:t>
      </w:r>
      <w:r w:rsidRPr="002D340C">
        <w:rPr>
          <w:color w:val="auto"/>
          <w:lang w:eastAsia="en-US"/>
        </w:rPr>
        <w:t>The ADA treats the use of an assistance dog as a “characteristic” that is generally held by people with disability relating to vision, hearing or</w:t>
      </w:r>
      <w:r>
        <w:rPr>
          <w:lang w:eastAsia="en-US"/>
        </w:rPr>
        <w:t xml:space="preserve"> mobility.</w:t>
      </w:r>
      <w:r w:rsidRPr="00487CF8">
        <w:rPr>
          <w:rStyle w:val="FootnoteReference"/>
          <w:color w:val="auto"/>
        </w:rPr>
        <w:footnoteReference w:id="190"/>
      </w:r>
      <w:r>
        <w:rPr>
          <w:lang w:eastAsia="en-US"/>
        </w:rPr>
        <w:t xml:space="preserve"> Discrimination based on this characteristic is a form of disability discrimination.</w:t>
      </w:r>
    </w:p>
    <w:p w14:paraId="67128D15" w14:textId="77777777" w:rsidR="00181C16" w:rsidRDefault="00181C16" w:rsidP="00181C16">
      <w:pPr>
        <w:pStyle w:val="NormalAutoChapter"/>
        <w:tabs>
          <w:tab w:val="clear" w:pos="720"/>
          <w:tab w:val="num" w:pos="2564"/>
        </w:tabs>
        <w:rPr>
          <w:lang w:eastAsia="en-US"/>
        </w:rPr>
      </w:pPr>
      <w:r>
        <w:rPr>
          <w:lang w:eastAsia="en-US"/>
        </w:rPr>
        <w:t>However, under the ADA there is no protection for someone who has:</w:t>
      </w:r>
    </w:p>
    <w:p w14:paraId="4DBB5F35" w14:textId="77777777" w:rsidR="00181C16" w:rsidRDefault="00181C16" w:rsidP="00181C16">
      <w:pPr>
        <w:pStyle w:val="Normalbullet"/>
      </w:pPr>
      <w:r>
        <w:t>an assistance animal other than a dog, or</w:t>
      </w:r>
    </w:p>
    <w:p w14:paraId="28404268" w14:textId="77777777" w:rsidR="00181C16" w:rsidRDefault="00181C16" w:rsidP="00181C16">
      <w:pPr>
        <w:pStyle w:val="Normalbullet"/>
      </w:pPr>
      <w:r>
        <w:t>disability that does not relate to vision, hearing or mobility.</w:t>
      </w:r>
    </w:p>
    <w:p w14:paraId="44405491" w14:textId="77777777" w:rsidR="00181C16" w:rsidRPr="0052389D" w:rsidRDefault="00181C16" w:rsidP="00181C16">
      <w:pPr>
        <w:pStyle w:val="NormalAutoChapter"/>
        <w:tabs>
          <w:tab w:val="clear" w:pos="720"/>
          <w:tab w:val="num" w:pos="2564"/>
        </w:tabs>
        <w:rPr>
          <w:strike/>
        </w:rPr>
      </w:pPr>
      <w:r>
        <w:rPr>
          <w:color w:val="auto"/>
        </w:rPr>
        <w:t xml:space="preserve">People with disabilities that are unrelated to vision, hearing or mobility often also use assistance dogs. </w:t>
      </w:r>
      <w:r w:rsidRPr="0052389D">
        <w:rPr>
          <w:color w:val="auto"/>
        </w:rPr>
        <w:t xml:space="preserve">For instance, they can be used to support people </w:t>
      </w:r>
      <w:r>
        <w:rPr>
          <w:color w:val="auto"/>
        </w:rPr>
        <w:t>who have a</w:t>
      </w:r>
      <w:r w:rsidRPr="0052389D">
        <w:rPr>
          <w:color w:val="auto"/>
        </w:rPr>
        <w:t xml:space="preserve"> psychosocial disability, mental illness</w:t>
      </w:r>
      <w:r>
        <w:rPr>
          <w:color w:val="auto"/>
        </w:rPr>
        <w:t xml:space="preserve"> or who experience</w:t>
      </w:r>
      <w:r w:rsidRPr="0052389D">
        <w:rPr>
          <w:color w:val="auto"/>
        </w:rPr>
        <w:t xml:space="preserve"> seizures. </w:t>
      </w:r>
      <w:r>
        <w:t>Also, a</w:t>
      </w:r>
      <w:r w:rsidRPr="00CF11CA">
        <w:t xml:space="preserve">nimals </w:t>
      </w:r>
      <w:r w:rsidRPr="00CF11CA">
        <w:lastRenderedPageBreak/>
        <w:t xml:space="preserve">other than dogs </w:t>
      </w:r>
      <w:r>
        <w:t xml:space="preserve">assist </w:t>
      </w:r>
      <w:r w:rsidRPr="00CF11CA">
        <w:t>people with disability. For example,</w:t>
      </w:r>
      <w:r>
        <w:t xml:space="preserve"> horses are used during</w:t>
      </w:r>
      <w:r w:rsidRPr="00CF11CA">
        <w:t xml:space="preserve"> equine therapy for people with psychosocial support needs. </w:t>
      </w:r>
    </w:p>
    <w:p w14:paraId="72F90EC5" w14:textId="77777777" w:rsidR="00181C16" w:rsidRDefault="00181C16" w:rsidP="00181C16">
      <w:pPr>
        <w:pStyle w:val="NormalAutoChapter"/>
        <w:tabs>
          <w:tab w:val="clear" w:pos="720"/>
          <w:tab w:val="num" w:pos="2564"/>
        </w:tabs>
        <w:rPr>
          <w:color w:val="auto"/>
        </w:rPr>
      </w:pPr>
      <w:r>
        <w:t xml:space="preserve">The </w:t>
      </w:r>
      <w:r w:rsidRPr="00E30872">
        <w:rPr>
          <w:i/>
          <w:iCs/>
        </w:rPr>
        <w:t>Disability Discrimination Act</w:t>
      </w:r>
      <w:r>
        <w:t xml:space="preserve"> is broader than the ADA. It </w:t>
      </w:r>
      <w:r w:rsidRPr="00487CF8">
        <w:rPr>
          <w:color w:val="auto"/>
        </w:rPr>
        <w:t>protects all people with disability when they use an assistance animal</w:t>
      </w:r>
      <w:r>
        <w:rPr>
          <w:color w:val="auto"/>
        </w:rPr>
        <w:t>, defined as any animal:</w:t>
      </w:r>
    </w:p>
    <w:p w14:paraId="57B8A270" w14:textId="77777777" w:rsidR="00181C16" w:rsidRPr="00487CF8" w:rsidRDefault="00181C16" w:rsidP="00181C16">
      <w:pPr>
        <w:pStyle w:val="Normalbullet"/>
      </w:pPr>
      <w:r w:rsidRPr="00487CF8">
        <w:t>accredited under state or territory law to assist people with disability</w:t>
      </w:r>
    </w:p>
    <w:p w14:paraId="613C7ABA" w14:textId="77777777" w:rsidR="00181C16" w:rsidRPr="00487CF8" w:rsidRDefault="00181C16" w:rsidP="00181C16">
      <w:pPr>
        <w:pStyle w:val="Normalbullet"/>
      </w:pPr>
      <w:r w:rsidRPr="00487CF8">
        <w:t>accredited by a prescribed animal training organisation, or</w:t>
      </w:r>
    </w:p>
    <w:p w14:paraId="683D1BD1" w14:textId="77777777" w:rsidR="00181C16" w:rsidRPr="00487CF8" w:rsidRDefault="00181C16" w:rsidP="00181C16">
      <w:pPr>
        <w:pStyle w:val="Normalbullet"/>
      </w:pPr>
      <w:r w:rsidRPr="00487CF8">
        <w:t>trained to assist people with disability.</w:t>
      </w:r>
      <w:r w:rsidRPr="00487CF8">
        <w:rPr>
          <w:rStyle w:val="FootnoteReference"/>
        </w:rPr>
        <w:footnoteReference w:id="191"/>
      </w:r>
    </w:p>
    <w:p w14:paraId="0B61107F" w14:textId="77777777" w:rsidR="00181C16" w:rsidRPr="00105EE8" w:rsidRDefault="00181C16" w:rsidP="00181C16">
      <w:pPr>
        <w:pStyle w:val="NormalAutoChapter"/>
        <w:tabs>
          <w:tab w:val="clear" w:pos="720"/>
          <w:tab w:val="num" w:pos="2564"/>
        </w:tabs>
        <w:rPr>
          <w:strike/>
          <w:color w:val="auto"/>
        </w:rPr>
      </w:pPr>
      <w:r>
        <w:rPr>
          <w:color w:val="auto"/>
        </w:rPr>
        <w:t xml:space="preserve">There are also differences between the ADA and the </w:t>
      </w:r>
      <w:r w:rsidRPr="00105EE8">
        <w:rPr>
          <w:i/>
          <w:iCs/>
          <w:color w:val="auto"/>
        </w:rPr>
        <w:t>Companion Animals Act 1988</w:t>
      </w:r>
      <w:r>
        <w:rPr>
          <w:color w:val="auto"/>
        </w:rPr>
        <w:t xml:space="preserve"> (NSW). This Act contains rules about when assistance animals must be allowed in NSW. It uses the </w:t>
      </w:r>
      <w:r w:rsidRPr="00C51B0C">
        <w:rPr>
          <w:i/>
          <w:iCs/>
          <w:color w:val="auto"/>
        </w:rPr>
        <w:t>Disability Discrimination Act</w:t>
      </w:r>
      <w:r>
        <w:rPr>
          <w:color w:val="auto"/>
        </w:rPr>
        <w:t xml:space="preserve"> definition of an assistance animal.</w:t>
      </w:r>
      <w:r>
        <w:rPr>
          <w:rStyle w:val="FootnoteReference"/>
          <w:color w:val="auto"/>
        </w:rPr>
        <w:footnoteReference w:id="192"/>
      </w:r>
    </w:p>
    <w:p w14:paraId="25C29D5F" w14:textId="3410880F" w:rsidR="00181C16" w:rsidRPr="002D340C" w:rsidRDefault="00181C16" w:rsidP="00181C16">
      <w:pPr>
        <w:pStyle w:val="NormalAutoChapter"/>
        <w:tabs>
          <w:tab w:val="clear" w:pos="720"/>
          <w:tab w:val="num" w:pos="2564"/>
        </w:tabs>
        <w:rPr>
          <w:strike/>
          <w:color w:val="auto"/>
        </w:rPr>
      </w:pPr>
      <w:r w:rsidRPr="00487CF8">
        <w:rPr>
          <w:color w:val="auto"/>
        </w:rPr>
        <w:t xml:space="preserve">Recent reviews in </w:t>
      </w:r>
      <w:r>
        <w:rPr>
          <w:color w:val="auto"/>
        </w:rPr>
        <w:t>Western Australia (</w:t>
      </w:r>
      <w:r w:rsidRPr="00487CF8">
        <w:rPr>
          <w:color w:val="auto"/>
        </w:rPr>
        <w:t>WA</w:t>
      </w:r>
      <w:r>
        <w:rPr>
          <w:color w:val="auto"/>
        </w:rPr>
        <w:t>)</w:t>
      </w:r>
      <w:r w:rsidRPr="00487CF8">
        <w:rPr>
          <w:color w:val="auto"/>
        </w:rPr>
        <w:t xml:space="preserve"> and Queensland supported </w:t>
      </w:r>
      <w:r>
        <w:rPr>
          <w:color w:val="auto"/>
        </w:rPr>
        <w:t xml:space="preserve">the approach in the </w:t>
      </w:r>
      <w:r w:rsidRPr="00C51B0C">
        <w:rPr>
          <w:i/>
          <w:iCs/>
          <w:color w:val="auto"/>
        </w:rPr>
        <w:t>Disability Discrimination Act</w:t>
      </w:r>
      <w:r w:rsidRPr="00487CF8">
        <w:rPr>
          <w:color w:val="auto"/>
        </w:rPr>
        <w:t>.</w:t>
      </w:r>
      <w:r w:rsidRPr="00487CF8">
        <w:rPr>
          <w:rStyle w:val="FootnoteReference"/>
          <w:color w:val="auto"/>
        </w:rPr>
        <w:footnoteReference w:id="193"/>
      </w:r>
      <w:r>
        <w:rPr>
          <w:color w:val="auto"/>
        </w:rPr>
        <w:t xml:space="preserve"> However, this has not been implemented in either state. By contrast, </w:t>
      </w:r>
      <w:r>
        <w:t>discrimination legislation in the Northern Territory (NT), ACT and South Australia recognises other accredited assistance animals (</w:t>
      </w:r>
      <w:r w:rsidR="00F05FE3">
        <w:t xml:space="preserve">as well as </w:t>
      </w:r>
      <w:r>
        <w:t>dogs).</w:t>
      </w:r>
      <w:r>
        <w:rPr>
          <w:rStyle w:val="FootnoteReference"/>
        </w:rPr>
        <w:footnoteReference w:id="194"/>
      </w:r>
    </w:p>
    <w:p w14:paraId="361C190F" w14:textId="77777777" w:rsidR="00181C16" w:rsidRDefault="00181C16" w:rsidP="00181C16">
      <w:pPr>
        <w:pStyle w:val="Heading2"/>
      </w:pPr>
      <w:bookmarkStart w:id="144" w:name="_Toc196749993"/>
      <w:bookmarkStart w:id="145" w:name="_Toc196826838"/>
      <w:r>
        <w:t>Discrimination based on genetic information</w:t>
      </w:r>
      <w:bookmarkEnd w:id="144"/>
      <w:bookmarkEnd w:id="145"/>
    </w:p>
    <w:p w14:paraId="6EFA1C3A" w14:textId="77777777" w:rsidR="00181C16" w:rsidRDefault="00181C16" w:rsidP="00181C16">
      <w:pPr>
        <w:pStyle w:val="NormalAutoChapter"/>
        <w:tabs>
          <w:tab w:val="clear" w:pos="720"/>
          <w:tab w:val="num" w:pos="2564"/>
        </w:tabs>
        <w:rPr>
          <w:lang w:eastAsia="en-US"/>
        </w:rPr>
      </w:pPr>
      <w:r>
        <w:rPr>
          <w:lang w:eastAsia="en-US"/>
        </w:rPr>
        <w:t>With advances in technology, the use of genetic information is of increasing concern. For instance, should employers be allowed to screen potential employees for genetic predisposition to disability?</w:t>
      </w:r>
      <w:r>
        <w:rPr>
          <w:rStyle w:val="FootnoteReference"/>
          <w:color w:val="auto"/>
        </w:rPr>
        <w:footnoteReference w:id="195"/>
      </w:r>
    </w:p>
    <w:p w14:paraId="0C19DDBA" w14:textId="77777777" w:rsidR="00181C16" w:rsidRDefault="00181C16" w:rsidP="00181C16">
      <w:pPr>
        <w:pStyle w:val="NormalAutoChapter"/>
        <w:tabs>
          <w:tab w:val="clear" w:pos="720"/>
          <w:tab w:val="num" w:pos="2564"/>
        </w:tabs>
        <w:rPr>
          <w:lang w:eastAsia="en-US"/>
        </w:rPr>
      </w:pPr>
      <w:r>
        <w:rPr>
          <w:lang w:eastAsia="en-US"/>
        </w:rPr>
        <w:t>In some cases, the ADA can protect against discrimination based on genetic information, because it covers discrimination based on a possible future disability.</w:t>
      </w:r>
      <w:r>
        <w:rPr>
          <w:rStyle w:val="FootnoteReference"/>
          <w:lang w:eastAsia="en-US"/>
        </w:rPr>
        <w:footnoteReference w:id="196"/>
      </w:r>
      <w:r>
        <w:rPr>
          <w:lang w:eastAsia="en-US"/>
        </w:rPr>
        <w:t xml:space="preserve"> However, there may benefits of an express protection.  </w:t>
      </w:r>
    </w:p>
    <w:p w14:paraId="575BD766" w14:textId="77777777" w:rsidR="00181C16" w:rsidRDefault="00181C16" w:rsidP="00181C16">
      <w:pPr>
        <w:pStyle w:val="NormalAutoChapter"/>
        <w:tabs>
          <w:tab w:val="clear" w:pos="720"/>
          <w:tab w:val="num" w:pos="2564"/>
        </w:tabs>
      </w:pPr>
      <w:r>
        <w:rPr>
          <w:lang w:eastAsia="en-US"/>
        </w:rPr>
        <w:lastRenderedPageBreak/>
        <w:t xml:space="preserve">One option could be to </w:t>
      </w:r>
      <w:r>
        <w:t>include “a genetic predisposition” to disability in the definition of disability.</w:t>
      </w:r>
      <w:r w:rsidRPr="00F8134F">
        <w:rPr>
          <w:color w:val="auto"/>
        </w:rPr>
        <w:t xml:space="preserve"> </w:t>
      </w:r>
      <w:r w:rsidRPr="002D340C">
        <w:t xml:space="preserve">The </w:t>
      </w:r>
      <w:r w:rsidRPr="00E30872">
        <w:rPr>
          <w:i/>
          <w:iCs/>
        </w:rPr>
        <w:t>Disability Discrimination Act</w:t>
      </w:r>
      <w:r>
        <w:t xml:space="preserve"> </w:t>
      </w:r>
      <w:r w:rsidRPr="002D340C">
        <w:t>states that a possible future disability includes a genetic predisposition to that disability.</w:t>
      </w:r>
      <w:r w:rsidRPr="002D340C">
        <w:rPr>
          <w:rStyle w:val="FootnoteReference"/>
          <w:color w:val="auto"/>
        </w:rPr>
        <w:footnoteReference w:id="197"/>
      </w:r>
      <w:r w:rsidRPr="002D340C">
        <w:t xml:space="preserve"> </w:t>
      </w:r>
    </w:p>
    <w:p w14:paraId="7963520C" w14:textId="77777777" w:rsidR="00181C16" w:rsidRDefault="00181C16" w:rsidP="00181C16">
      <w:pPr>
        <w:pStyle w:val="NormalAutoChapter"/>
        <w:tabs>
          <w:tab w:val="clear" w:pos="720"/>
          <w:tab w:val="num" w:pos="2564"/>
        </w:tabs>
        <w:rPr>
          <w:color w:val="auto"/>
          <w:lang w:eastAsia="en-US"/>
        </w:rPr>
      </w:pPr>
      <w:r w:rsidRPr="004A251C">
        <w:rPr>
          <w:color w:val="auto"/>
        </w:rPr>
        <w:t>Another option could be to add “genetic information” as a separate protected attribute</w:t>
      </w:r>
      <w:r>
        <w:rPr>
          <w:color w:val="auto"/>
        </w:rPr>
        <w:t>, like t</w:t>
      </w:r>
      <w:r w:rsidRPr="004A251C">
        <w:rPr>
          <w:color w:val="auto"/>
        </w:rPr>
        <w:t xml:space="preserve">he </w:t>
      </w:r>
      <w:r>
        <w:rPr>
          <w:color w:val="auto"/>
        </w:rPr>
        <w:t>ACT</w:t>
      </w:r>
      <w:r w:rsidRPr="004A251C">
        <w:rPr>
          <w:color w:val="auto"/>
        </w:rPr>
        <w:t>.</w:t>
      </w:r>
      <w:r w:rsidRPr="004A251C">
        <w:rPr>
          <w:rStyle w:val="FootnoteReference"/>
          <w:color w:val="auto"/>
        </w:rPr>
        <w:footnoteReference w:id="198"/>
      </w:r>
      <w:r w:rsidRPr="004A251C">
        <w:rPr>
          <w:color w:val="auto"/>
        </w:rPr>
        <w:t xml:space="preserve"> </w:t>
      </w:r>
      <w:r>
        <w:rPr>
          <w:color w:val="auto"/>
        </w:rPr>
        <w:t xml:space="preserve">This </w:t>
      </w:r>
      <w:r w:rsidRPr="004A251C">
        <w:rPr>
          <w:color w:val="auto"/>
        </w:rPr>
        <w:t xml:space="preserve">could cover situations in which genetic information </w:t>
      </w:r>
      <w:r>
        <w:rPr>
          <w:color w:val="auto"/>
        </w:rPr>
        <w:t xml:space="preserve">is </w:t>
      </w:r>
      <w:r w:rsidRPr="004A251C">
        <w:rPr>
          <w:color w:val="auto"/>
        </w:rPr>
        <w:t>used for purposes other than predicting disability.</w:t>
      </w:r>
      <w:r w:rsidRPr="004A251C">
        <w:rPr>
          <w:rStyle w:val="FootnoteReference"/>
          <w:color w:val="auto"/>
        </w:rPr>
        <w:footnoteReference w:id="199"/>
      </w:r>
      <w:r w:rsidRPr="004A251C">
        <w:rPr>
          <w:color w:val="auto"/>
        </w:rPr>
        <w:t xml:space="preserve"> For example, it could prevent employers </w:t>
      </w:r>
      <w:r>
        <w:rPr>
          <w:color w:val="auto"/>
        </w:rPr>
        <w:t xml:space="preserve">basing employment decisions on </w:t>
      </w:r>
      <w:r w:rsidRPr="004A251C">
        <w:rPr>
          <w:color w:val="auto"/>
        </w:rPr>
        <w:t xml:space="preserve">genetic information that suggests </w:t>
      </w:r>
      <w:r>
        <w:rPr>
          <w:color w:val="auto"/>
        </w:rPr>
        <w:t xml:space="preserve">certain </w:t>
      </w:r>
      <w:r w:rsidRPr="004A251C">
        <w:rPr>
          <w:color w:val="auto"/>
        </w:rPr>
        <w:t xml:space="preserve">behavioural characteristics. </w:t>
      </w:r>
    </w:p>
    <w:p w14:paraId="724F8912" w14:textId="77777777" w:rsidR="00181C16" w:rsidRDefault="00181C16" w:rsidP="00181C16">
      <w:pPr>
        <w:pStyle w:val="Heading2"/>
      </w:pPr>
      <w:bookmarkStart w:id="147" w:name="_Toc196749994"/>
      <w:bookmarkStart w:id="148" w:name="_Toc196826839"/>
      <w:r>
        <w:t>The public health exception</w:t>
      </w:r>
      <w:bookmarkEnd w:id="147"/>
      <w:bookmarkEnd w:id="148"/>
      <w:r>
        <w:t xml:space="preserve"> </w:t>
      </w:r>
    </w:p>
    <w:p w14:paraId="704A7B56" w14:textId="77777777" w:rsidR="00181C16" w:rsidRDefault="00181C16" w:rsidP="00181C16">
      <w:pPr>
        <w:pStyle w:val="NormalAutoChapter"/>
        <w:tabs>
          <w:tab w:val="clear" w:pos="720"/>
          <w:tab w:val="num" w:pos="1146"/>
          <w:tab w:val="num" w:pos="2564"/>
        </w:tabs>
        <w:rPr>
          <w:color w:val="auto"/>
        </w:rPr>
      </w:pPr>
      <w:r w:rsidRPr="00E128A3">
        <w:rPr>
          <w:color w:val="auto"/>
        </w:rPr>
        <w:t>It</w:t>
      </w:r>
      <w:r w:rsidRPr="00E128A3">
        <w:rPr>
          <w:color w:val="auto"/>
          <w:lang w:eastAsia="en-US"/>
        </w:rPr>
        <w:t xml:space="preserve"> </w:t>
      </w:r>
      <w:r>
        <w:rPr>
          <w:color w:val="auto"/>
          <w:lang w:eastAsia="en-US"/>
        </w:rPr>
        <w:t>is not</w:t>
      </w:r>
      <w:r w:rsidRPr="00E128A3">
        <w:rPr>
          <w:color w:val="auto"/>
          <w:lang w:eastAsia="en-US"/>
        </w:rPr>
        <w:t xml:space="preserve"> unlawful to discriminate based on disability if the disability is an infectious disease, and </w:t>
      </w:r>
      <w:r>
        <w:rPr>
          <w:color w:val="auto"/>
          <w:lang w:eastAsia="en-US"/>
        </w:rPr>
        <w:t>the discrimination is</w:t>
      </w:r>
      <w:r w:rsidRPr="00C5526F">
        <w:rPr>
          <w:color w:val="auto"/>
          <w:lang w:eastAsia="en-US"/>
        </w:rPr>
        <w:t xml:space="preserve"> reasonably necessary to protect public health.</w:t>
      </w:r>
      <w:r w:rsidRPr="00C5526F">
        <w:rPr>
          <w:rStyle w:val="FootnoteReference"/>
          <w:color w:val="auto"/>
          <w:lang w:eastAsia="en-US"/>
        </w:rPr>
        <w:footnoteReference w:id="200"/>
      </w:r>
      <w:r w:rsidRPr="00C5526F">
        <w:rPr>
          <w:color w:val="auto"/>
          <w:lang w:eastAsia="en-US"/>
        </w:rPr>
        <w:t xml:space="preserve"> As the NSWLRC noted in 1999, this exception is based on the view that</w:t>
      </w:r>
      <w:r>
        <w:rPr>
          <w:color w:val="auto"/>
          <w:lang w:eastAsia="en-US"/>
        </w:rPr>
        <w:t xml:space="preserve"> it i</w:t>
      </w:r>
      <w:r w:rsidRPr="00C5526F">
        <w:rPr>
          <w:color w:val="auto"/>
          <w:lang w:eastAsia="en-US"/>
        </w:rPr>
        <w:t>s necessary to control the spread of infectious disease.</w:t>
      </w:r>
      <w:r w:rsidRPr="00C5526F">
        <w:rPr>
          <w:rStyle w:val="FootnoteReference"/>
          <w:color w:val="auto"/>
          <w:lang w:eastAsia="en-US"/>
        </w:rPr>
        <w:footnoteReference w:id="201"/>
      </w:r>
    </w:p>
    <w:p w14:paraId="746A7F8F" w14:textId="77777777" w:rsidR="00181C16" w:rsidRPr="00C5526F" w:rsidRDefault="00181C16" w:rsidP="00181C16">
      <w:pPr>
        <w:pStyle w:val="NormalAutoChapter"/>
        <w:tabs>
          <w:tab w:val="clear" w:pos="720"/>
          <w:tab w:val="num" w:pos="1146"/>
          <w:tab w:val="num" w:pos="2564"/>
        </w:tabs>
        <w:rPr>
          <w:color w:val="auto"/>
        </w:rPr>
      </w:pPr>
      <w:bookmarkStart w:id="149" w:name="_Hlk189753176"/>
      <w:r w:rsidRPr="0083327C">
        <w:rPr>
          <w:color w:val="auto"/>
        </w:rPr>
        <w:t xml:space="preserve">The </w:t>
      </w:r>
      <w:r w:rsidRPr="00CF3962">
        <w:rPr>
          <w:i/>
          <w:iCs/>
          <w:color w:val="auto"/>
        </w:rPr>
        <w:t>Disability Discrimination Act</w:t>
      </w:r>
      <w:r>
        <w:rPr>
          <w:color w:val="auto"/>
        </w:rPr>
        <w:t xml:space="preserve"> </w:t>
      </w:r>
      <w:r w:rsidRPr="0083327C">
        <w:rPr>
          <w:color w:val="auto"/>
        </w:rPr>
        <w:t xml:space="preserve">and discrimination laws of </w:t>
      </w:r>
      <w:r>
        <w:rPr>
          <w:color w:val="auto"/>
        </w:rPr>
        <w:t>the ACT</w:t>
      </w:r>
      <w:r w:rsidRPr="0083327C">
        <w:rPr>
          <w:color w:val="auto"/>
        </w:rPr>
        <w:t xml:space="preserve">, </w:t>
      </w:r>
      <w:r>
        <w:rPr>
          <w:color w:val="auto"/>
        </w:rPr>
        <w:t>NT</w:t>
      </w:r>
      <w:r w:rsidRPr="0083327C">
        <w:rPr>
          <w:color w:val="auto"/>
        </w:rPr>
        <w:t xml:space="preserve"> and </w:t>
      </w:r>
      <w:r>
        <w:rPr>
          <w:color w:val="auto"/>
        </w:rPr>
        <w:t>Queensland</w:t>
      </w:r>
      <w:r w:rsidRPr="0083327C">
        <w:rPr>
          <w:color w:val="auto"/>
        </w:rPr>
        <w:t xml:space="preserve"> have similar exceptions.</w:t>
      </w:r>
      <w:r>
        <w:rPr>
          <w:rStyle w:val="FootnoteReference"/>
          <w:color w:val="auto"/>
        </w:rPr>
        <w:footnoteReference w:id="202"/>
      </w:r>
    </w:p>
    <w:bookmarkEnd w:id="149"/>
    <w:p w14:paraId="34AC91C1" w14:textId="77777777" w:rsidR="00181C16" w:rsidRPr="00C5526F" w:rsidRDefault="00181C16" w:rsidP="00181C16">
      <w:pPr>
        <w:pStyle w:val="NormalAutoChapter"/>
        <w:tabs>
          <w:tab w:val="clear" w:pos="720"/>
          <w:tab w:val="num" w:pos="1146"/>
          <w:tab w:val="num" w:pos="2564"/>
        </w:tabs>
        <w:rPr>
          <w:color w:val="auto"/>
        </w:rPr>
      </w:pPr>
      <w:r w:rsidRPr="00C5526F">
        <w:rPr>
          <w:color w:val="auto"/>
          <w:lang w:eastAsia="en-US"/>
        </w:rPr>
        <w:t xml:space="preserve">However, </w:t>
      </w:r>
      <w:r>
        <w:rPr>
          <w:color w:val="auto"/>
          <w:lang w:eastAsia="en-US"/>
        </w:rPr>
        <w:t xml:space="preserve">in 1999 </w:t>
      </w:r>
      <w:r w:rsidRPr="00C5526F">
        <w:rPr>
          <w:color w:val="auto"/>
          <w:lang w:eastAsia="en-US"/>
        </w:rPr>
        <w:t>the NSWLRC recommended changes to make the exception more targeted. It recommended the exception apply where:</w:t>
      </w:r>
    </w:p>
    <w:p w14:paraId="5B6055E1" w14:textId="77777777" w:rsidR="00181C16" w:rsidRPr="00C5526F" w:rsidRDefault="00181C16" w:rsidP="00181C16">
      <w:pPr>
        <w:pStyle w:val="Normalbullet"/>
      </w:pPr>
      <w:r w:rsidRPr="00C5526F">
        <w:t xml:space="preserve">the disability involves a condition that is transmissible in circumstances that might arise </w:t>
      </w:r>
      <w:r>
        <w:t xml:space="preserve">if </w:t>
      </w:r>
      <w:r w:rsidRPr="00C5526F">
        <w:t>a certain act is</w:t>
      </w:r>
      <w:r>
        <w:t xml:space="preserve"> no</w:t>
      </w:r>
      <w:r w:rsidRPr="00C5526F">
        <w:t>t done, and</w:t>
      </w:r>
    </w:p>
    <w:p w14:paraId="19CB7E7E" w14:textId="77777777" w:rsidR="00181C16" w:rsidRPr="00C5526F" w:rsidRDefault="00181C16" w:rsidP="00181C16">
      <w:pPr>
        <w:pStyle w:val="Normalbullet"/>
      </w:pPr>
      <w:r w:rsidRPr="00C5526F">
        <w:t>the act is based on medical or expert opinion, upon which it</w:t>
      </w:r>
      <w:r>
        <w:t xml:space="preserve"> i</w:t>
      </w:r>
      <w:r w:rsidRPr="00C5526F">
        <w:t xml:space="preserve">s reasonable to rely in the circumstances, and </w:t>
      </w:r>
    </w:p>
    <w:p w14:paraId="2EC074E0" w14:textId="77777777" w:rsidR="00181C16" w:rsidRPr="00E128A3" w:rsidRDefault="00181C16" w:rsidP="00181C16">
      <w:pPr>
        <w:pStyle w:val="Normalbullet"/>
      </w:pPr>
      <w:r w:rsidRPr="00C5526F">
        <w:t>the act is proportionate to the risks.</w:t>
      </w:r>
      <w:r w:rsidRPr="00E128A3">
        <w:rPr>
          <w:rStyle w:val="FootnoteReference"/>
        </w:rPr>
        <w:footnoteReference w:id="203"/>
      </w:r>
    </w:p>
    <w:p w14:paraId="28508BB2" w14:textId="77777777" w:rsidR="00181C16" w:rsidRPr="00F77181" w:rsidRDefault="00181C16" w:rsidP="00181C16">
      <w:pPr>
        <w:pStyle w:val="NormalAutoChapter"/>
        <w:tabs>
          <w:tab w:val="clear" w:pos="720"/>
          <w:tab w:val="num" w:pos="1146"/>
        </w:tabs>
        <w:rPr>
          <w:color w:val="auto"/>
          <w:lang w:eastAsia="en-US"/>
        </w:rPr>
      </w:pPr>
      <w:r w:rsidRPr="00F77181">
        <w:rPr>
          <w:color w:val="auto"/>
        </w:rPr>
        <w:lastRenderedPageBreak/>
        <w:t xml:space="preserve">The NSWLRC also recommended an exception for acts done to comply with the </w:t>
      </w:r>
      <w:r w:rsidRPr="00F77181">
        <w:rPr>
          <w:i/>
          <w:iCs/>
          <w:color w:val="auto"/>
        </w:rPr>
        <w:t>Public Health Act 1991</w:t>
      </w:r>
      <w:r w:rsidRPr="00F77181">
        <w:rPr>
          <w:color w:val="auto"/>
        </w:rPr>
        <w:t xml:space="preserve"> (NSW) or the </w:t>
      </w:r>
      <w:r w:rsidRPr="00F77181">
        <w:rPr>
          <w:i/>
          <w:iCs/>
          <w:color w:val="auto"/>
        </w:rPr>
        <w:t>Mental Health Act 1990</w:t>
      </w:r>
      <w:r w:rsidRPr="00F77181">
        <w:rPr>
          <w:color w:val="auto"/>
        </w:rPr>
        <w:t xml:space="preserve"> (NSW).</w:t>
      </w:r>
      <w:r w:rsidRPr="00E128A3">
        <w:rPr>
          <w:rStyle w:val="FootnoteReference"/>
          <w:color w:val="auto"/>
        </w:rPr>
        <w:footnoteReference w:id="204"/>
      </w:r>
    </w:p>
    <w:p w14:paraId="350BE8BB" w14:textId="77777777" w:rsidR="00181C16" w:rsidRPr="00A82EFA" w:rsidRDefault="00181C16" w:rsidP="00181C16">
      <w:pPr>
        <w:pStyle w:val="Recommendationheading"/>
      </w:pPr>
      <w:r w:rsidRPr="00A82EFA">
        <w:t xml:space="preserve">Question 4.3: Disability discrimination </w:t>
      </w:r>
    </w:p>
    <w:p w14:paraId="24EC2933" w14:textId="7A58C23B" w:rsidR="00181C16" w:rsidRPr="00CA11CB" w:rsidRDefault="00181C16" w:rsidP="00181C16">
      <w:pPr>
        <w:pStyle w:val="Recommendationhanging1"/>
      </w:pPr>
      <w:r w:rsidRPr="00CA11CB">
        <w:t>(1)</w:t>
      </w:r>
      <w:r w:rsidRPr="00CA11CB">
        <w:tab/>
        <w:t>What</w:t>
      </w:r>
      <w:r w:rsidR="00F55080">
        <w:t xml:space="preserve"> changes, if any,</w:t>
      </w:r>
      <w:r>
        <w:t xml:space="preserve"> </w:t>
      </w:r>
      <w:r w:rsidRPr="00CA11CB">
        <w:t>should be made to the way the ADA expresses and defines the protected attribute of “disability”?</w:t>
      </w:r>
    </w:p>
    <w:p w14:paraId="12F54626" w14:textId="77777777" w:rsidR="00181C16" w:rsidRDefault="00181C16" w:rsidP="00181C16">
      <w:pPr>
        <w:pStyle w:val="Recommendationhanging1"/>
      </w:pPr>
      <w:r w:rsidRPr="00CA11CB">
        <w:t>(2)</w:t>
      </w:r>
      <w:r w:rsidRPr="00CA11CB">
        <w:tab/>
        <w:t xml:space="preserve">Should a new attribute be created to protect against genetic information discrimination? Or should this be added to the existing definition of disability? </w:t>
      </w:r>
    </w:p>
    <w:p w14:paraId="6690D141" w14:textId="0295A6A9" w:rsidR="00181C16" w:rsidRPr="00CA11CB" w:rsidRDefault="00181C16" w:rsidP="00181C16">
      <w:pPr>
        <w:pStyle w:val="Recommendationhanging1"/>
      </w:pPr>
      <w:r>
        <w:t xml:space="preserve">(3) </w:t>
      </w:r>
      <w:r>
        <w:tab/>
        <w:t>What</w:t>
      </w:r>
      <w:r w:rsidR="00F55080">
        <w:t xml:space="preserve"> changes, if any,</w:t>
      </w:r>
      <w:r>
        <w:t xml:space="preserve"> should be made to the public health exception?</w:t>
      </w:r>
    </w:p>
    <w:p w14:paraId="5CB8A652" w14:textId="77777777" w:rsidR="00181C16" w:rsidRDefault="00181C16" w:rsidP="00181C16">
      <w:pPr>
        <w:pStyle w:val="Heading1"/>
      </w:pPr>
      <w:bookmarkStart w:id="150" w:name="_Toc196749995"/>
      <w:bookmarkStart w:id="151" w:name="_Toc196826840"/>
      <w:r>
        <w:t>Homosexuality</w:t>
      </w:r>
      <w:bookmarkEnd w:id="150"/>
      <w:bookmarkEnd w:id="151"/>
    </w:p>
    <w:p w14:paraId="32D16D5C" w14:textId="77777777" w:rsidR="00181C16" w:rsidRDefault="00181C16" w:rsidP="00181C16">
      <w:pPr>
        <w:pStyle w:val="NormalAutoChapter"/>
        <w:tabs>
          <w:tab w:val="clear" w:pos="720"/>
          <w:tab w:val="num" w:pos="2564"/>
        </w:tabs>
        <w:rPr>
          <w:color w:val="auto"/>
          <w:lang w:eastAsia="en-US"/>
        </w:rPr>
      </w:pPr>
      <w:r w:rsidRPr="00765BC9">
        <w:rPr>
          <w:color w:val="auto"/>
          <w:lang w:eastAsia="en-US"/>
        </w:rPr>
        <w:t>The ADA prohibits</w:t>
      </w:r>
      <w:r>
        <w:rPr>
          <w:color w:val="auto"/>
          <w:lang w:eastAsia="en-US"/>
        </w:rPr>
        <w:t xml:space="preserve"> both</w:t>
      </w:r>
      <w:r w:rsidRPr="00765BC9">
        <w:rPr>
          <w:color w:val="auto"/>
          <w:lang w:eastAsia="en-US"/>
        </w:rPr>
        <w:t xml:space="preserve"> discrimination and vilification based on “homosexuality”. </w:t>
      </w:r>
      <w:r>
        <w:rPr>
          <w:color w:val="auto"/>
          <w:lang w:eastAsia="en-US"/>
        </w:rPr>
        <w:t xml:space="preserve">It </w:t>
      </w:r>
      <w:r w:rsidRPr="00765BC9">
        <w:rPr>
          <w:color w:val="auto"/>
          <w:lang w:eastAsia="en-US"/>
        </w:rPr>
        <w:t>protects “homosexual persons</w:t>
      </w:r>
      <w:proofErr w:type="gramStart"/>
      <w:r w:rsidRPr="00765BC9">
        <w:rPr>
          <w:color w:val="auto"/>
          <w:lang w:eastAsia="en-US"/>
        </w:rPr>
        <w:t>”</w:t>
      </w:r>
      <w:proofErr w:type="gramEnd"/>
      <w:r w:rsidRPr="00765BC9">
        <w:rPr>
          <w:color w:val="auto"/>
          <w:lang w:eastAsia="en-US"/>
        </w:rPr>
        <w:t xml:space="preserve"> and anyone thought to be a “homosexual person”. “Homosexual” is defined as a “male or female homosexual”.</w:t>
      </w:r>
      <w:r>
        <w:rPr>
          <w:rStyle w:val="FootnoteReference"/>
          <w:color w:val="auto"/>
          <w:lang w:eastAsia="en-US"/>
        </w:rPr>
        <w:footnoteReference w:id="205"/>
      </w:r>
      <w:r w:rsidRPr="00765BC9">
        <w:rPr>
          <w:color w:val="auto"/>
          <w:lang w:eastAsia="en-US"/>
        </w:rPr>
        <w:t xml:space="preserve"> </w:t>
      </w:r>
    </w:p>
    <w:p w14:paraId="275D2689" w14:textId="77777777" w:rsidR="00181C16" w:rsidRPr="00BF0B46" w:rsidRDefault="00181C16" w:rsidP="00181C16">
      <w:pPr>
        <w:pStyle w:val="NormalAutoChapter"/>
        <w:tabs>
          <w:tab w:val="clear" w:pos="720"/>
          <w:tab w:val="num" w:pos="2564"/>
        </w:tabs>
        <w:rPr>
          <w:color w:val="auto"/>
          <w:lang w:eastAsia="en-US"/>
        </w:rPr>
      </w:pPr>
      <w:r>
        <w:rPr>
          <w:color w:val="auto"/>
          <w:lang w:eastAsia="en-US"/>
        </w:rPr>
        <w:t>However, t</w:t>
      </w:r>
      <w:r w:rsidRPr="00BF0B46">
        <w:rPr>
          <w:color w:val="auto"/>
          <w:lang w:eastAsia="en-US"/>
        </w:rPr>
        <w:t>h</w:t>
      </w:r>
      <w:r>
        <w:rPr>
          <w:color w:val="auto"/>
          <w:lang w:eastAsia="en-US"/>
        </w:rPr>
        <w:t xml:space="preserve">is attribute does not </w:t>
      </w:r>
      <w:r w:rsidRPr="00BF0B46">
        <w:rPr>
          <w:color w:val="auto"/>
          <w:lang w:eastAsia="en-US"/>
        </w:rPr>
        <w:t xml:space="preserve">include other sexual orientations, like asexuality, bisexuality and heterosexuality. Many preliminary submissions told us that this leaves a significant gap in protection. </w:t>
      </w:r>
    </w:p>
    <w:p w14:paraId="3B9C0D84" w14:textId="77777777" w:rsidR="00181C16" w:rsidRDefault="00181C16" w:rsidP="00181C16">
      <w:pPr>
        <w:pStyle w:val="NormalAutoChapter"/>
        <w:tabs>
          <w:tab w:val="clear" w:pos="720"/>
          <w:tab w:val="num" w:pos="2564"/>
        </w:tabs>
      </w:pPr>
      <w:r>
        <w:t xml:space="preserve">Across Australia, </w:t>
      </w:r>
      <w:r w:rsidRPr="00FA7393">
        <w:t>laws use other expressions such as “sexual orientation” or “sexuality”</w:t>
      </w:r>
      <w:r>
        <w:t>. They are defined to recognise the rights of a wider range of people. These laws provide a range of options to consider.</w:t>
      </w:r>
    </w:p>
    <w:p w14:paraId="6CBF602F" w14:textId="77777777" w:rsidR="00181C16" w:rsidRPr="00FA7393" w:rsidRDefault="00181C16" w:rsidP="00181C16">
      <w:pPr>
        <w:pStyle w:val="NormalAutoChapter"/>
        <w:tabs>
          <w:tab w:val="clear" w:pos="720"/>
          <w:tab w:val="num" w:pos="2564"/>
        </w:tabs>
      </w:pPr>
      <w:r>
        <w:t>For instance, s</w:t>
      </w:r>
      <w:r w:rsidRPr="00FA7393">
        <w:t xml:space="preserve"> 93Z of the </w:t>
      </w:r>
      <w:r w:rsidRPr="00FA7393">
        <w:rPr>
          <w:i/>
          <w:iCs/>
        </w:rPr>
        <w:t>Crimes Act</w:t>
      </w:r>
      <w:r w:rsidRPr="00FA7393">
        <w:t xml:space="preserve"> </w:t>
      </w:r>
      <w:r w:rsidRPr="009A33CF">
        <w:rPr>
          <w:i/>
          <w:iCs/>
        </w:rPr>
        <w:t>1900</w:t>
      </w:r>
      <w:r>
        <w:t xml:space="preserve"> (NSW) (</w:t>
      </w:r>
      <w:r w:rsidRPr="00372330">
        <w:rPr>
          <w:i/>
          <w:iCs/>
        </w:rPr>
        <w:t>Crimes Act</w:t>
      </w:r>
      <w:r>
        <w:t xml:space="preserve">) currently makes it an offence to threaten or incite violence based on “sexual orientation”, among other attributes. Like </w:t>
      </w:r>
      <w:r w:rsidRPr="00FA7393">
        <w:t xml:space="preserve">the </w:t>
      </w:r>
      <w:r w:rsidRPr="00FA7393">
        <w:rPr>
          <w:i/>
          <w:iCs/>
        </w:rPr>
        <w:t>Sex Discrimination Act</w:t>
      </w:r>
      <w:r>
        <w:rPr>
          <w:i/>
          <w:iCs/>
        </w:rPr>
        <w:t xml:space="preserve"> 1984 </w:t>
      </w:r>
      <w:r w:rsidRPr="00372330">
        <w:t>(Cth)</w:t>
      </w:r>
      <w:r>
        <w:t xml:space="preserve"> (</w:t>
      </w:r>
      <w:r w:rsidRPr="00372330">
        <w:rPr>
          <w:i/>
          <w:iCs/>
        </w:rPr>
        <w:t>Sex Discrimination Act</w:t>
      </w:r>
      <w:r>
        <w:t xml:space="preserve">), the </w:t>
      </w:r>
      <w:r w:rsidRPr="009A33CF">
        <w:rPr>
          <w:i/>
          <w:iCs/>
        </w:rPr>
        <w:t>Crimes Act</w:t>
      </w:r>
      <w:r>
        <w:t xml:space="preserve"> defines this to </w:t>
      </w:r>
      <w:r w:rsidRPr="00FA7393">
        <w:t xml:space="preserve">include sexual orientation towards people of: </w:t>
      </w:r>
    </w:p>
    <w:p w14:paraId="04D9E61C" w14:textId="77777777" w:rsidR="00181C16" w:rsidRPr="00BD07F9" w:rsidRDefault="00181C16" w:rsidP="00181C16">
      <w:pPr>
        <w:pStyle w:val="Normalbullet"/>
        <w:rPr>
          <w:lang w:eastAsia="en-AU"/>
        </w:rPr>
      </w:pPr>
      <w:r w:rsidRPr="00BD07F9">
        <w:rPr>
          <w:lang w:eastAsia="en-AU"/>
        </w:rPr>
        <w:t xml:space="preserve">the same sex, </w:t>
      </w:r>
    </w:p>
    <w:p w14:paraId="365D7D8A" w14:textId="77777777" w:rsidR="00181C16" w:rsidRPr="00BD07F9" w:rsidRDefault="00181C16" w:rsidP="00181C16">
      <w:pPr>
        <w:pStyle w:val="Normalbullet"/>
        <w:rPr>
          <w:lang w:eastAsia="en-AU"/>
        </w:rPr>
      </w:pPr>
      <w:r w:rsidRPr="00BD07F9">
        <w:rPr>
          <w:lang w:eastAsia="en-AU"/>
        </w:rPr>
        <w:t>a different sex, or</w:t>
      </w:r>
    </w:p>
    <w:p w14:paraId="3BA5E7E8" w14:textId="77777777" w:rsidR="00181C16" w:rsidRPr="00BD07F9" w:rsidRDefault="00181C16" w:rsidP="00181C16">
      <w:pPr>
        <w:pStyle w:val="Normalbullet"/>
        <w:rPr>
          <w:lang w:eastAsia="en-AU"/>
        </w:rPr>
      </w:pPr>
      <w:r w:rsidRPr="00BD07F9">
        <w:rPr>
          <w:lang w:eastAsia="en-AU"/>
        </w:rPr>
        <w:t>the same sex and a different sex.</w:t>
      </w:r>
      <w:r>
        <w:rPr>
          <w:rStyle w:val="FootnoteReference"/>
          <w:lang w:eastAsia="en-AU"/>
        </w:rPr>
        <w:footnoteReference w:id="206"/>
      </w:r>
    </w:p>
    <w:p w14:paraId="66BE81C6" w14:textId="77777777" w:rsidR="00181C16" w:rsidRDefault="00181C16" w:rsidP="00181C16">
      <w:pPr>
        <w:pStyle w:val="NormalAutoChapter"/>
        <w:tabs>
          <w:tab w:val="clear" w:pos="720"/>
          <w:tab w:val="num" w:pos="2564"/>
        </w:tabs>
        <w:rPr>
          <w:color w:val="auto"/>
          <w:lang w:eastAsia="en-US"/>
        </w:rPr>
      </w:pPr>
      <w:r>
        <w:rPr>
          <w:color w:val="auto"/>
          <w:lang w:eastAsia="en-US"/>
        </w:rPr>
        <w:lastRenderedPageBreak/>
        <w:t>Other discrimination laws use a definition based on principles developed by international human rights law experts.</w:t>
      </w:r>
      <w:r w:rsidRPr="00487CF8">
        <w:rPr>
          <w:rStyle w:val="FootnoteReference"/>
          <w:color w:val="auto"/>
          <w:lang w:eastAsia="en-US"/>
        </w:rPr>
        <w:footnoteReference w:id="207"/>
      </w:r>
      <w:r w:rsidRPr="00487CF8">
        <w:rPr>
          <w:color w:val="auto"/>
          <w:lang w:eastAsia="en-US"/>
        </w:rPr>
        <w:t xml:space="preserve"> </w:t>
      </w:r>
      <w:r>
        <w:rPr>
          <w:color w:val="auto"/>
          <w:lang w:eastAsia="en-US"/>
        </w:rPr>
        <w:t xml:space="preserve">For example, Victoria defines sexual orientation as: </w:t>
      </w:r>
    </w:p>
    <w:p w14:paraId="3585889C" w14:textId="77777777" w:rsidR="00181C16" w:rsidRPr="00487CF8" w:rsidRDefault="00181C16" w:rsidP="00181C16">
      <w:pPr>
        <w:pStyle w:val="Quotationnormal"/>
      </w:pPr>
      <w:r w:rsidRPr="00487CF8">
        <w:t>A person’s emotional, affectional and sexual attraction to, or intimate or sexual relations with, persons of a different gender or the same gender or more than one gender.</w:t>
      </w:r>
      <w:r w:rsidRPr="00487CF8">
        <w:rPr>
          <w:rStyle w:val="FootnoteReference"/>
          <w:color w:val="auto"/>
          <w:lang w:val="en-AU"/>
        </w:rPr>
        <w:footnoteReference w:id="208"/>
      </w:r>
    </w:p>
    <w:p w14:paraId="5ED68FED" w14:textId="77777777" w:rsidR="00181C16" w:rsidRPr="00D258D4" w:rsidRDefault="00181C16" w:rsidP="00181C16">
      <w:pPr>
        <w:pStyle w:val="NormalAutoChapter"/>
        <w:tabs>
          <w:tab w:val="clear" w:pos="720"/>
          <w:tab w:val="num" w:pos="2564"/>
        </w:tabs>
        <w:rPr>
          <w:color w:val="auto"/>
        </w:rPr>
      </w:pPr>
      <w:r w:rsidRPr="00497798">
        <w:rPr>
          <w:szCs w:val="22"/>
        </w:rPr>
        <w:t xml:space="preserve">The </w:t>
      </w:r>
      <w:r w:rsidRPr="00497798">
        <w:rPr>
          <w:rFonts w:eastAsia="Aptos"/>
          <w:color w:val="000000" w:themeColor="text1"/>
          <w:szCs w:val="22"/>
        </w:rPr>
        <w:t>Law Reform Commission of Western Australia</w:t>
      </w:r>
      <w:r w:rsidRPr="00497798">
        <w:rPr>
          <w:szCs w:val="22"/>
        </w:rPr>
        <w:t xml:space="preserve"> (LRCWA) and QHRC recommended</w:t>
      </w:r>
      <w:r>
        <w:t xml:space="preserve"> a similar definition</w:t>
      </w:r>
      <w:r w:rsidRPr="00D258D4">
        <w:t>.</w:t>
      </w:r>
      <w:r w:rsidRPr="00D258D4">
        <w:rPr>
          <w:rStyle w:val="FootnoteReference"/>
          <w:color w:val="auto"/>
          <w:lang w:eastAsia="en-US"/>
        </w:rPr>
        <w:footnoteReference w:id="209"/>
      </w:r>
      <w:r w:rsidRPr="00D258D4">
        <w:rPr>
          <w:color w:val="00B050"/>
        </w:rPr>
        <w:t xml:space="preserve"> </w:t>
      </w:r>
      <w:r w:rsidRPr="001163B3">
        <w:rPr>
          <w:color w:val="auto"/>
        </w:rPr>
        <w:t>In 2024, Queensland enacted reforms to include this definition in their discrimination law but, as we explain above, it is uncertain when these changes will commence.</w:t>
      </w:r>
      <w:r w:rsidRPr="001163B3">
        <w:rPr>
          <w:rStyle w:val="FootnoteReference"/>
          <w:color w:val="auto"/>
          <w:lang w:eastAsia="en-US"/>
        </w:rPr>
        <w:footnoteReference w:id="210"/>
      </w:r>
    </w:p>
    <w:p w14:paraId="685C6D55" w14:textId="77777777" w:rsidR="00181C16" w:rsidRPr="00D258D4" w:rsidRDefault="00181C16" w:rsidP="00181C16">
      <w:pPr>
        <w:pStyle w:val="NormalAutoChapter"/>
        <w:tabs>
          <w:tab w:val="clear" w:pos="720"/>
          <w:tab w:val="num" w:pos="2564"/>
        </w:tabs>
        <w:rPr>
          <w:color w:val="auto"/>
        </w:rPr>
      </w:pPr>
      <w:r>
        <w:t xml:space="preserve">Another issue is whether the definition should include asexuality. The Queensland and WA reviews also recommended including people who do </w:t>
      </w:r>
      <w:r w:rsidRPr="0026219E">
        <w:rPr>
          <w:i/>
          <w:iCs/>
        </w:rPr>
        <w:t>not</w:t>
      </w:r>
      <w:r>
        <w:t xml:space="preserve"> have attraction to, or intimate sexual relations with, other people in the definition of sexual orientation.</w:t>
      </w:r>
      <w:r w:rsidRPr="00487CF8">
        <w:rPr>
          <w:rStyle w:val="FootnoteReference"/>
          <w:color w:val="auto"/>
        </w:rPr>
        <w:footnoteReference w:id="211"/>
      </w:r>
      <w:r>
        <w:t xml:space="preserve"> </w:t>
      </w:r>
    </w:p>
    <w:p w14:paraId="3CDB47D8" w14:textId="77777777" w:rsidR="00181C16" w:rsidRPr="0029352D" w:rsidRDefault="00181C16" w:rsidP="00181C16">
      <w:pPr>
        <w:pStyle w:val="NormalAutoChapter"/>
        <w:tabs>
          <w:tab w:val="clear" w:pos="720"/>
          <w:tab w:val="num" w:pos="2564"/>
        </w:tabs>
        <w:rPr>
          <w:color w:val="auto"/>
        </w:rPr>
      </w:pPr>
      <w:r w:rsidRPr="0029352D">
        <w:rPr>
          <w:color w:val="auto"/>
        </w:rPr>
        <w:t>Queensland has enacted reforms to include protection for a “lack of capacity, for emotional, affectional and sexual attraction to, or intimate or sexual relation” with others.</w:t>
      </w:r>
      <w:r w:rsidRPr="0029352D">
        <w:rPr>
          <w:rStyle w:val="FootnoteReference"/>
          <w:color w:val="auto"/>
        </w:rPr>
        <w:footnoteReference w:id="212"/>
      </w:r>
      <w:r w:rsidRPr="0029352D">
        <w:rPr>
          <w:color w:val="auto"/>
        </w:rPr>
        <w:t xml:space="preserve"> It is also unclear when this will commence.</w:t>
      </w:r>
    </w:p>
    <w:p w14:paraId="43600DDF" w14:textId="77777777" w:rsidR="00181C16" w:rsidRPr="001902D8" w:rsidRDefault="00181C16" w:rsidP="00181C16">
      <w:pPr>
        <w:pStyle w:val="NormalAutoChapter"/>
        <w:tabs>
          <w:tab w:val="clear" w:pos="720"/>
          <w:tab w:val="num" w:pos="2564"/>
        </w:tabs>
        <w:rPr>
          <w:color w:val="auto"/>
          <w:lang w:eastAsia="en-US"/>
        </w:rPr>
      </w:pPr>
      <w:r>
        <w:t xml:space="preserve">The ACT and Tasmania provide a further, flexible option. There, sexuality/sexual orientation is defined as “including” </w:t>
      </w:r>
      <w:r w:rsidRPr="00487CF8">
        <w:t>heterosexuality, homosexuality and bisexuality.</w:t>
      </w:r>
      <w:r w:rsidRPr="00487CF8">
        <w:rPr>
          <w:rStyle w:val="FootnoteReference"/>
        </w:rPr>
        <w:footnoteReference w:id="213"/>
      </w:r>
      <w:r>
        <w:t xml:space="preserve"> This word “including” was added to the ACT law to protect a wider understanding of sexuality.</w:t>
      </w:r>
      <w:r>
        <w:rPr>
          <w:rStyle w:val="FootnoteReference"/>
        </w:rPr>
        <w:footnoteReference w:id="214"/>
      </w:r>
    </w:p>
    <w:p w14:paraId="57010D23" w14:textId="77777777" w:rsidR="00181C16" w:rsidRDefault="00181C16" w:rsidP="00181C16">
      <w:pPr>
        <w:pStyle w:val="NormalAutoChapter"/>
        <w:tabs>
          <w:tab w:val="clear" w:pos="720"/>
          <w:tab w:val="num" w:pos="2564"/>
        </w:tabs>
      </w:pPr>
      <w:r>
        <w:t>In 2023,</w:t>
      </w:r>
      <w:r w:rsidRPr="007E1B7E">
        <w:rPr>
          <w:color w:val="auto"/>
        </w:rPr>
        <w:t xml:space="preserve"> </w:t>
      </w:r>
      <w:proofErr w:type="gramStart"/>
      <w:r>
        <w:t>a</w:t>
      </w:r>
      <w:proofErr w:type="gramEnd"/>
      <w:r>
        <w:t xml:space="preserve"> NSW private member’s bill, the “Equality Bill”, originally proposed to replace the ADA definition of “homosexuality” with “sexuality”. It proposed to </w:t>
      </w:r>
      <w:r>
        <w:lastRenderedPageBreak/>
        <w:t xml:space="preserve">define this to include </w:t>
      </w:r>
      <w:r w:rsidRPr="008F2938">
        <w:t>homo</w:t>
      </w:r>
      <w:r w:rsidRPr="008C11AA">
        <w:t>sexuality, bisexuality or asexualit</w:t>
      </w:r>
      <w:r>
        <w:t>y.</w:t>
      </w:r>
      <w:r w:rsidRPr="008C11AA">
        <w:rPr>
          <w:vertAlign w:val="superscript"/>
        </w:rPr>
        <w:footnoteReference w:id="215"/>
      </w:r>
      <w:r>
        <w:t xml:space="preserve"> T</w:t>
      </w:r>
      <w:r w:rsidRPr="003D6AD4">
        <w:t>h</w:t>
      </w:r>
      <w:r>
        <w:t>is</w:t>
      </w:r>
      <w:r w:rsidRPr="003D6AD4">
        <w:t xml:space="preserve">, along with other reforms to the ADA, </w:t>
      </w:r>
      <w:r>
        <w:t xml:space="preserve">were not ultimately enacted in the </w:t>
      </w:r>
      <w:r w:rsidRPr="00BF6CCC">
        <w:rPr>
          <w:i/>
          <w:iCs/>
        </w:rPr>
        <w:t>Equality Act 2024</w:t>
      </w:r>
      <w:r>
        <w:t xml:space="preserve"> (NSW). </w:t>
      </w:r>
    </w:p>
    <w:p w14:paraId="5E61CB7C" w14:textId="77777777" w:rsidR="00181C16" w:rsidRPr="00181C16" w:rsidRDefault="00181C16" w:rsidP="00181C16">
      <w:pPr>
        <w:pStyle w:val="NormalAutoChapter"/>
        <w:tabs>
          <w:tab w:val="clear" w:pos="720"/>
          <w:tab w:val="num" w:pos="2564"/>
        </w:tabs>
        <w:rPr>
          <w:color w:val="000000" w:themeColor="text1"/>
        </w:rPr>
      </w:pPr>
      <w:r w:rsidRPr="00181C16">
        <w:rPr>
          <w:color w:val="000000" w:themeColor="text1"/>
        </w:rPr>
        <w:t>However, some who supported the original Equality Bill said an attribute of “sexual orientation” was their preferred option. In their view, the changes proposed in the original Equality Bill were intended only as an interim measure. They were designed to fit within the ADA’s existing tests and structure (including the comparator test), which they thought required wider reform.</w:t>
      </w:r>
      <w:r w:rsidRPr="00181C16">
        <w:rPr>
          <w:rStyle w:val="FootnoteReference"/>
          <w:color w:val="000000" w:themeColor="text1"/>
        </w:rPr>
        <w:footnoteReference w:id="216"/>
      </w:r>
      <w:r w:rsidRPr="00181C16">
        <w:rPr>
          <w:color w:val="000000" w:themeColor="text1"/>
        </w:rPr>
        <w:t xml:space="preserve"> We explain the existing tests and structure in chapter 3.</w:t>
      </w:r>
    </w:p>
    <w:p w14:paraId="68C830BB" w14:textId="77777777" w:rsidR="00181C16" w:rsidRPr="004D005B" w:rsidRDefault="00181C16" w:rsidP="00181C16">
      <w:pPr>
        <w:pStyle w:val="Recommendationheading"/>
      </w:pPr>
      <w:r w:rsidRPr="004D005B">
        <w:t xml:space="preserve">Question 4.4: Discrimination based on homosexuality </w:t>
      </w:r>
    </w:p>
    <w:p w14:paraId="63026A38" w14:textId="77777777" w:rsidR="00181C16" w:rsidRPr="00D40354" w:rsidRDefault="00181C16" w:rsidP="00181C16">
      <w:pPr>
        <w:pStyle w:val="Recommendationnormal"/>
      </w:pPr>
      <w:r>
        <w:t>What changes, if any, should be made to the way the ADA expresses and defines the protected attribute of “homosexuality”?</w:t>
      </w:r>
    </w:p>
    <w:p w14:paraId="6EB1E2F2" w14:textId="77777777" w:rsidR="00181C16" w:rsidRDefault="00181C16" w:rsidP="00181C16">
      <w:pPr>
        <w:pStyle w:val="Heading1"/>
      </w:pPr>
      <w:bookmarkStart w:id="153" w:name="_Toc196749996"/>
      <w:bookmarkStart w:id="154" w:name="_Toc196826841"/>
      <w:r>
        <w:t>Marital or domestic status</w:t>
      </w:r>
      <w:bookmarkEnd w:id="153"/>
      <w:bookmarkEnd w:id="154"/>
    </w:p>
    <w:p w14:paraId="395C60BD" w14:textId="77777777" w:rsidR="00181C16" w:rsidRPr="00487CF8" w:rsidRDefault="00181C16" w:rsidP="00181C16">
      <w:pPr>
        <w:pStyle w:val="NormalAutoChapter"/>
        <w:tabs>
          <w:tab w:val="clear" w:pos="720"/>
          <w:tab w:val="num" w:pos="2564"/>
        </w:tabs>
      </w:pPr>
      <w:r>
        <w:rPr>
          <w:lang w:eastAsia="en-US"/>
        </w:rPr>
        <w:t xml:space="preserve">“Marital or domestic status” is another protected attribute under the ADA. This includes being </w:t>
      </w:r>
      <w:r w:rsidRPr="00487CF8">
        <w:t>single</w:t>
      </w:r>
      <w:r>
        <w:t xml:space="preserve">; </w:t>
      </w:r>
      <w:r w:rsidRPr="00487CF8">
        <w:t>married</w:t>
      </w:r>
      <w:r>
        <w:t xml:space="preserve">; </w:t>
      </w:r>
      <w:r w:rsidRPr="00487CF8">
        <w:t>married but living separately from one’s spouse</w:t>
      </w:r>
      <w:r>
        <w:t xml:space="preserve">; </w:t>
      </w:r>
      <w:r w:rsidRPr="00487CF8">
        <w:t>divorced</w:t>
      </w:r>
      <w:r>
        <w:t xml:space="preserve">; </w:t>
      </w:r>
      <w:r w:rsidRPr="00487CF8">
        <w:t>widowe</w:t>
      </w:r>
      <w:r>
        <w:t>d;</w:t>
      </w:r>
      <w:r w:rsidRPr="00487CF8">
        <w:t xml:space="preserve"> or</w:t>
      </w:r>
      <w:r>
        <w:t xml:space="preserve"> </w:t>
      </w:r>
      <w:r w:rsidRPr="00487CF8">
        <w:t>in a de facto relationship</w:t>
      </w:r>
      <w:r>
        <w:t xml:space="preserve"> (that is, two people who live together as a couple)</w:t>
      </w:r>
      <w:r w:rsidRPr="00487CF8">
        <w:t>.</w:t>
      </w:r>
      <w:r w:rsidRPr="00487CF8">
        <w:rPr>
          <w:rStyle w:val="FootnoteReference"/>
        </w:rPr>
        <w:footnoteReference w:id="217"/>
      </w:r>
    </w:p>
    <w:p w14:paraId="27F81232" w14:textId="77777777" w:rsidR="00181C16" w:rsidRDefault="00181C16" w:rsidP="00181C16">
      <w:pPr>
        <w:pStyle w:val="NormalAutoChapter"/>
        <w:tabs>
          <w:tab w:val="clear" w:pos="720"/>
          <w:tab w:val="num" w:pos="2564"/>
        </w:tabs>
        <w:rPr>
          <w:lang w:eastAsia="en-US"/>
        </w:rPr>
      </w:pPr>
      <w:r>
        <w:rPr>
          <w:lang w:eastAsia="en-US"/>
        </w:rPr>
        <w:t>One issue is whether this definition should recognise other forms of relationships. For instance, other Australian discrimination laws also recognise:</w:t>
      </w:r>
    </w:p>
    <w:p w14:paraId="72DED257" w14:textId="77777777" w:rsidR="00181C16" w:rsidRPr="00487CF8" w:rsidRDefault="00181C16" w:rsidP="00181C16">
      <w:pPr>
        <w:pStyle w:val="Normalbullet"/>
      </w:pPr>
      <w:r w:rsidRPr="00487CF8">
        <w:t>de facto partners who live separately</w:t>
      </w:r>
      <w:r w:rsidRPr="00487CF8">
        <w:rPr>
          <w:rStyle w:val="FootnoteReference"/>
        </w:rPr>
        <w:footnoteReference w:id="218"/>
      </w:r>
    </w:p>
    <w:p w14:paraId="69384D10" w14:textId="77777777" w:rsidR="00181C16" w:rsidRPr="00487CF8" w:rsidRDefault="00181C16" w:rsidP="00181C16">
      <w:pPr>
        <w:pStyle w:val="Normalbullet"/>
      </w:pPr>
      <w:r w:rsidRPr="00487CF8">
        <w:t>former de facto partners</w:t>
      </w:r>
      <w:r>
        <w:t xml:space="preserve"> and </w:t>
      </w:r>
      <w:r w:rsidRPr="00487CF8">
        <w:t xml:space="preserve">the surviving de facto partner of </w:t>
      </w:r>
      <w:r>
        <w:t>someone</w:t>
      </w:r>
      <w:r w:rsidRPr="00487CF8">
        <w:t xml:space="preserve"> who has died,</w:t>
      </w:r>
      <w:r w:rsidRPr="00487CF8">
        <w:rPr>
          <w:rStyle w:val="FootnoteReference"/>
        </w:rPr>
        <w:footnoteReference w:id="219"/>
      </w:r>
      <w:r w:rsidRPr="00487CF8">
        <w:t xml:space="preserve"> and </w:t>
      </w:r>
    </w:p>
    <w:p w14:paraId="2FF14996" w14:textId="77777777" w:rsidR="00181C16" w:rsidRDefault="00181C16" w:rsidP="00181C16">
      <w:pPr>
        <w:pStyle w:val="Normalbullet"/>
      </w:pPr>
      <w:r w:rsidRPr="00487CF8">
        <w:t>civil partnerships.</w:t>
      </w:r>
      <w:r w:rsidRPr="00487CF8">
        <w:rPr>
          <w:rStyle w:val="FootnoteReference"/>
        </w:rPr>
        <w:footnoteReference w:id="220"/>
      </w:r>
      <w:r w:rsidRPr="00487CF8">
        <w:t xml:space="preserve"> </w:t>
      </w:r>
    </w:p>
    <w:p w14:paraId="56A0D31C" w14:textId="77777777" w:rsidR="00181C16" w:rsidRDefault="00181C16" w:rsidP="00181C16">
      <w:pPr>
        <w:pStyle w:val="NormalAutoChapter"/>
        <w:tabs>
          <w:tab w:val="clear" w:pos="720"/>
          <w:tab w:val="num" w:pos="2564"/>
        </w:tabs>
      </w:pPr>
      <w:r>
        <w:lastRenderedPageBreak/>
        <w:t>Some of these discrimination laws use the expression “relationship status”.</w:t>
      </w:r>
      <w:r w:rsidRPr="00487CF8">
        <w:rPr>
          <w:rStyle w:val="FootnoteReference"/>
          <w:color w:val="auto"/>
        </w:rPr>
        <w:footnoteReference w:id="221"/>
      </w:r>
      <w:r>
        <w:t xml:space="preserve"> Some people may consider this to be a more inclusive and modern expression.</w:t>
      </w:r>
    </w:p>
    <w:p w14:paraId="72CFCE48" w14:textId="77777777" w:rsidR="00181C16" w:rsidRPr="00CF6CFB" w:rsidRDefault="00181C16" w:rsidP="00181C16">
      <w:pPr>
        <w:pStyle w:val="Recommendationheading"/>
      </w:pPr>
      <w:r w:rsidRPr="00CF6CFB">
        <w:t>Question 4.5: Discrimination based on marital or domestic status</w:t>
      </w:r>
    </w:p>
    <w:p w14:paraId="29299CB0" w14:textId="77777777" w:rsidR="00181C16" w:rsidRPr="007026EE" w:rsidRDefault="00181C16" w:rsidP="00181C16">
      <w:pPr>
        <w:pStyle w:val="Recommendationnormal"/>
      </w:pPr>
      <w:r w:rsidRPr="007026EE">
        <w:t>What changes, if any, should be made to the way the ADA expresses and defines the protected attribute of “marital or domestic status”?</w:t>
      </w:r>
    </w:p>
    <w:p w14:paraId="3C6CE195" w14:textId="77777777" w:rsidR="00181C16" w:rsidRPr="00487CF8" w:rsidRDefault="00181C16" w:rsidP="00181C16">
      <w:pPr>
        <w:pStyle w:val="Heading1"/>
      </w:pPr>
      <w:bookmarkStart w:id="155" w:name="_Toc196749997"/>
      <w:bookmarkStart w:id="156" w:name="_Toc196826842"/>
      <w:r>
        <w:t>Race</w:t>
      </w:r>
      <w:bookmarkEnd w:id="155"/>
      <w:bookmarkEnd w:id="156"/>
    </w:p>
    <w:p w14:paraId="3816DC35" w14:textId="77777777" w:rsidR="00181C16" w:rsidRPr="005B7568" w:rsidRDefault="00181C16" w:rsidP="00181C16">
      <w:pPr>
        <w:pStyle w:val="NormalAutoChapter"/>
        <w:tabs>
          <w:tab w:val="clear" w:pos="720"/>
          <w:tab w:val="num" w:pos="2564"/>
        </w:tabs>
        <w:rPr>
          <w:color w:val="auto"/>
        </w:rPr>
      </w:pPr>
      <w:r>
        <w:t xml:space="preserve">The ADA protects against both discrimination and vilification based on race. The ADA defines race to include </w:t>
      </w:r>
      <w:r w:rsidRPr="00487CF8">
        <w:t>colour</w:t>
      </w:r>
      <w:r>
        <w:t xml:space="preserve">, </w:t>
      </w:r>
      <w:r w:rsidRPr="00487CF8">
        <w:t>nationality</w:t>
      </w:r>
      <w:r>
        <w:t xml:space="preserve">, </w:t>
      </w:r>
      <w:r w:rsidRPr="00487CF8">
        <w:t>descent</w:t>
      </w:r>
      <w:r>
        <w:t xml:space="preserve">, </w:t>
      </w:r>
      <w:r w:rsidRPr="00487CF8">
        <w:t>ethnic origin</w:t>
      </w:r>
      <w:r>
        <w:t xml:space="preserve">, </w:t>
      </w:r>
      <w:r w:rsidRPr="00487CF8">
        <w:t>ethno-religious origin, and national origin.</w:t>
      </w:r>
      <w:r w:rsidRPr="00487CF8">
        <w:rPr>
          <w:rStyle w:val="FootnoteReference"/>
        </w:rPr>
        <w:footnoteReference w:id="222"/>
      </w:r>
      <w:r w:rsidRPr="00487CF8">
        <w:t xml:space="preserve"> </w:t>
      </w:r>
      <w:r>
        <w:t>While this is a broad definition, preliminary submissions identified some areas that it either does not cover or only covers indirectly.</w:t>
      </w:r>
    </w:p>
    <w:p w14:paraId="600AB73E" w14:textId="77777777" w:rsidR="00181C16" w:rsidRPr="00A21325" w:rsidRDefault="00181C16" w:rsidP="00181C16">
      <w:pPr>
        <w:pStyle w:val="NormalAutoChapter"/>
        <w:tabs>
          <w:tab w:val="clear" w:pos="720"/>
          <w:tab w:val="num" w:pos="2564"/>
        </w:tabs>
        <w:rPr>
          <w:color w:val="auto"/>
        </w:rPr>
      </w:pPr>
      <w:r>
        <w:t xml:space="preserve">We address the issue of “ethno-religious” origin when considering religious discrimination </w:t>
      </w:r>
      <w:r w:rsidRPr="00EE05F6">
        <w:t>in chapter 5.</w:t>
      </w:r>
    </w:p>
    <w:p w14:paraId="1624A523" w14:textId="33D9FE7D" w:rsidR="00181C16" w:rsidRDefault="00181C16" w:rsidP="00181C16">
      <w:pPr>
        <w:pStyle w:val="Heading2"/>
      </w:pPr>
      <w:bookmarkStart w:id="157" w:name="_Toc196749998"/>
      <w:bookmarkStart w:id="158" w:name="_Toc196826843"/>
      <w:r>
        <w:t>Some potential gaps in coverage</w:t>
      </w:r>
      <w:bookmarkEnd w:id="157"/>
      <w:bookmarkEnd w:id="158"/>
    </w:p>
    <w:p w14:paraId="16DFDA80" w14:textId="77777777" w:rsidR="00181C16" w:rsidRDefault="00181C16" w:rsidP="00181C16">
      <w:pPr>
        <w:pStyle w:val="NormalAutoChapter"/>
        <w:tabs>
          <w:tab w:val="clear" w:pos="720"/>
          <w:tab w:val="num" w:pos="2564"/>
        </w:tabs>
      </w:pPr>
      <w:r>
        <w:t>Some suggest amending the definition of race to expressly prohibit discrimination based on caste, immigrant status and language (including someone’s accent).</w:t>
      </w:r>
    </w:p>
    <w:p w14:paraId="24CE2F7A" w14:textId="77777777" w:rsidR="00181C16" w:rsidRPr="007042F1" w:rsidRDefault="00181C16" w:rsidP="00181C16">
      <w:pPr>
        <w:pStyle w:val="NormalAutoChapter"/>
        <w:tabs>
          <w:tab w:val="clear" w:pos="720"/>
          <w:tab w:val="num" w:pos="2564"/>
        </w:tabs>
      </w:pPr>
      <w:r>
        <w:t>The ADA does not protect against caste discrimination.</w:t>
      </w:r>
      <w:r>
        <w:rPr>
          <w:rStyle w:val="FootnoteReference"/>
        </w:rPr>
        <w:footnoteReference w:id="223"/>
      </w:r>
      <w:r>
        <w:t xml:space="preserve"> </w:t>
      </w:r>
      <w:r w:rsidRPr="00487CF8">
        <w:t xml:space="preserve">Caste is </w:t>
      </w:r>
      <w:r>
        <w:t xml:space="preserve">a </w:t>
      </w:r>
      <w:r w:rsidRPr="00487CF8">
        <w:t>codified, socio-religious hierarchical class system</w:t>
      </w:r>
      <w:r>
        <w:t xml:space="preserve">, which </w:t>
      </w:r>
      <w:r w:rsidRPr="00487CF8">
        <w:rPr>
          <w:color w:val="auto"/>
        </w:rPr>
        <w:t>affects people of South Asian backgrounds in Australia.</w:t>
      </w:r>
      <w:r w:rsidRPr="00487CF8">
        <w:rPr>
          <w:rStyle w:val="FootnoteReference"/>
        </w:rPr>
        <w:footnoteReference w:id="224"/>
      </w:r>
      <w:r w:rsidRPr="00487CF8">
        <w:rPr>
          <w:color w:val="auto"/>
        </w:rPr>
        <w:t xml:space="preserve"> </w:t>
      </w:r>
    </w:p>
    <w:p w14:paraId="15002008" w14:textId="77777777" w:rsidR="00181C16" w:rsidRPr="00FD1AA7" w:rsidRDefault="00181C16" w:rsidP="00181C16">
      <w:pPr>
        <w:pStyle w:val="NormalAutoChapter"/>
        <w:tabs>
          <w:tab w:val="clear" w:pos="720"/>
          <w:tab w:val="num" w:pos="2564"/>
        </w:tabs>
      </w:pPr>
      <w:r>
        <w:rPr>
          <w:lang w:eastAsia="en-US"/>
        </w:rPr>
        <w:t>Nor does the ADA expressly protect against discrimination based on immigrant status.</w:t>
      </w:r>
      <w:r>
        <w:t xml:space="preserve"> However, t</w:t>
      </w:r>
      <w:r>
        <w:rPr>
          <w:lang w:eastAsia="en-US"/>
        </w:rPr>
        <w:t>he definition of race includes the related concept of “</w:t>
      </w:r>
      <w:r w:rsidRPr="000349FD">
        <w:rPr>
          <w:color w:val="auto"/>
        </w:rPr>
        <w:t>nationality”</w:t>
      </w:r>
      <w:r>
        <w:rPr>
          <w:color w:val="auto"/>
        </w:rPr>
        <w:t xml:space="preserve"> which has been interpreted as meaning citizenship</w:t>
      </w:r>
      <w:r w:rsidRPr="000349FD">
        <w:rPr>
          <w:color w:val="auto"/>
        </w:rPr>
        <w:t>.</w:t>
      </w:r>
      <w:r>
        <w:rPr>
          <w:rStyle w:val="FootnoteReference"/>
          <w:color w:val="auto"/>
        </w:rPr>
        <w:footnoteReference w:id="225"/>
      </w:r>
      <w:r w:rsidRPr="000349FD">
        <w:rPr>
          <w:color w:val="auto"/>
        </w:rPr>
        <w:t xml:space="preserve"> </w:t>
      </w:r>
      <w:r>
        <w:rPr>
          <w:color w:val="auto"/>
        </w:rPr>
        <w:t>Nationality in terms of citizenship is different from “national origin”.</w:t>
      </w:r>
      <w:r>
        <w:rPr>
          <w:rStyle w:val="FootnoteReference"/>
          <w:color w:val="auto"/>
        </w:rPr>
        <w:footnoteReference w:id="226"/>
      </w:r>
      <w:r>
        <w:rPr>
          <w:color w:val="auto"/>
        </w:rPr>
        <w:t xml:space="preserve"> The definition of “race” in the ADA</w:t>
      </w:r>
      <w:r w:rsidRPr="000349FD">
        <w:rPr>
          <w:color w:val="auto"/>
        </w:rPr>
        <w:t xml:space="preserve"> also includes “national origin”, which refers to where someone was born, the nation </w:t>
      </w:r>
      <w:r w:rsidRPr="000349FD">
        <w:rPr>
          <w:color w:val="auto"/>
        </w:rPr>
        <w:lastRenderedPageBreak/>
        <w:t>or nations their parents are connected to, and where their parents have made their home.</w:t>
      </w:r>
      <w:r w:rsidRPr="00487CF8">
        <w:rPr>
          <w:rStyle w:val="FootnoteReference"/>
          <w:color w:val="auto"/>
        </w:rPr>
        <w:footnoteReference w:id="227"/>
      </w:r>
      <w:r w:rsidRPr="000349FD">
        <w:rPr>
          <w:color w:val="auto"/>
        </w:rPr>
        <w:t xml:space="preserve"> </w:t>
      </w:r>
    </w:p>
    <w:p w14:paraId="40D99C09" w14:textId="77777777" w:rsidR="00181C16" w:rsidRDefault="00181C16" w:rsidP="00181C16">
      <w:pPr>
        <w:pStyle w:val="NormalAutoChapter"/>
        <w:tabs>
          <w:tab w:val="clear" w:pos="720"/>
          <w:tab w:val="num" w:pos="2564"/>
        </w:tabs>
      </w:pPr>
      <w:bookmarkStart w:id="159" w:name="_Hlk160181165"/>
      <w:r>
        <w:t>I</w:t>
      </w:r>
      <w:r w:rsidRPr="00487CF8">
        <w:t>n some cases</w:t>
      </w:r>
      <w:r>
        <w:t>,</w:t>
      </w:r>
      <w:r w:rsidRPr="00487CF8">
        <w:t xml:space="preserve"> the race attribute indirectly </w:t>
      </w:r>
      <w:r>
        <w:t xml:space="preserve">covers </w:t>
      </w:r>
      <w:r w:rsidRPr="00487CF8">
        <w:t>language as a “characteristic” of race.</w:t>
      </w:r>
      <w:r>
        <w:rPr>
          <w:rStyle w:val="FootnoteReference"/>
        </w:rPr>
        <w:footnoteReference w:id="228"/>
      </w:r>
      <w:r w:rsidRPr="00487CF8">
        <w:t xml:space="preserve"> </w:t>
      </w:r>
      <w:bookmarkEnd w:id="159"/>
      <w:r>
        <w:t>But an express protection could arguably be clearer</w:t>
      </w:r>
      <w:r w:rsidRPr="00487CF8">
        <w:t>.</w:t>
      </w:r>
      <w:r>
        <w:rPr>
          <w:rStyle w:val="FootnoteReference"/>
        </w:rPr>
        <w:footnoteReference w:id="229"/>
      </w:r>
      <w:r w:rsidRPr="00487CF8">
        <w:t xml:space="preserve"> </w:t>
      </w:r>
    </w:p>
    <w:p w14:paraId="7743E9E5" w14:textId="77777777" w:rsidR="00181C16" w:rsidRDefault="00181C16" w:rsidP="00181C16">
      <w:pPr>
        <w:pStyle w:val="NormalAutoChapter"/>
        <w:tabs>
          <w:tab w:val="clear" w:pos="720"/>
          <w:tab w:val="num" w:pos="2564"/>
        </w:tabs>
      </w:pPr>
      <w:r>
        <w:t xml:space="preserve">Reform options could include: </w:t>
      </w:r>
    </w:p>
    <w:p w14:paraId="0370F43A" w14:textId="77777777" w:rsidR="00181C16" w:rsidRPr="00CF11F0" w:rsidRDefault="00181C16" w:rsidP="00181C16">
      <w:pPr>
        <w:pStyle w:val="Normalbullet"/>
      </w:pPr>
      <w:r w:rsidRPr="00CF11F0">
        <w:t>expanding the definition of “race” to</w:t>
      </w:r>
      <w:r>
        <w:t xml:space="preserve"> clearly</w:t>
      </w:r>
      <w:r w:rsidRPr="00CF11F0">
        <w:t xml:space="preserve"> include caste, immigrant status and/or language, or </w:t>
      </w:r>
    </w:p>
    <w:p w14:paraId="1F55F644" w14:textId="77777777" w:rsidR="00181C16" w:rsidRDefault="00181C16" w:rsidP="00181C16">
      <w:pPr>
        <w:pStyle w:val="Normalbullet"/>
      </w:pPr>
      <w:r w:rsidRPr="00CF11F0">
        <w:t>creating standalone protected attributes</w:t>
      </w:r>
      <w:r>
        <w:t>.</w:t>
      </w:r>
    </w:p>
    <w:p w14:paraId="3FD55416" w14:textId="77777777" w:rsidR="00181C16" w:rsidRDefault="00181C16" w:rsidP="00181C16">
      <w:pPr>
        <w:pStyle w:val="NormalAutoChapter"/>
        <w:tabs>
          <w:tab w:val="clear" w:pos="720"/>
          <w:tab w:val="num" w:pos="2564"/>
        </w:tabs>
      </w:pPr>
      <w:r>
        <w:t>The approach in other states and territories varies. For example:</w:t>
      </w:r>
    </w:p>
    <w:p w14:paraId="7607B179" w14:textId="77777777" w:rsidR="00181C16" w:rsidRPr="0029352D" w:rsidRDefault="00181C16" w:rsidP="00181C16">
      <w:pPr>
        <w:pStyle w:val="Normalbullet"/>
      </w:pPr>
      <w:r w:rsidRPr="0029352D">
        <w:t>In 2024 Queensland passed amendments to add “caste” discrimination to the definition of “race”, but the commencement of this change is now uncertain.</w:t>
      </w:r>
      <w:r w:rsidRPr="0029352D">
        <w:rPr>
          <w:rStyle w:val="FootnoteReference"/>
        </w:rPr>
        <w:footnoteReference w:id="230"/>
      </w:r>
    </w:p>
    <w:p w14:paraId="203054DD" w14:textId="77777777" w:rsidR="00181C16" w:rsidRPr="002740E0" w:rsidRDefault="00181C16" w:rsidP="00181C16">
      <w:pPr>
        <w:pStyle w:val="Normalbullet"/>
        <w:rPr>
          <w:color w:val="000000"/>
        </w:rPr>
      </w:pPr>
      <w:r w:rsidRPr="0029352D">
        <w:t>The NT and Tasmania protect immigrant status as part of the definition of race, and Queensland will soon also, although the date of commencement for this change is uncertain. However</w:t>
      </w:r>
      <w:r>
        <w:t>, the ACT recognises it as a standalone protected attribute.</w:t>
      </w:r>
      <w:r>
        <w:rPr>
          <w:rStyle w:val="FootnoteReference"/>
        </w:rPr>
        <w:footnoteReference w:id="231"/>
      </w:r>
    </w:p>
    <w:p w14:paraId="793456F5" w14:textId="77777777" w:rsidR="00181C16" w:rsidRPr="00563054" w:rsidRDefault="00181C16" w:rsidP="00181C16">
      <w:pPr>
        <w:pStyle w:val="Normalbullet"/>
        <w:rPr>
          <w:color w:val="000000"/>
        </w:rPr>
      </w:pPr>
      <w:r>
        <w:t>The NT recognises “language” as a separate protected attribute. This has the benefit of including “signed language” within its scope.</w:t>
      </w:r>
      <w:r w:rsidRPr="00487CF8">
        <w:rPr>
          <w:rStyle w:val="FootnoteReference"/>
        </w:rPr>
        <w:footnoteReference w:id="232"/>
      </w:r>
    </w:p>
    <w:p w14:paraId="67F8E971" w14:textId="77777777" w:rsidR="00181C16" w:rsidRDefault="00181C16" w:rsidP="00181C16">
      <w:pPr>
        <w:pStyle w:val="NormalAutoChapter"/>
        <w:tabs>
          <w:tab w:val="clear" w:pos="720"/>
          <w:tab w:val="num" w:pos="2564"/>
        </w:tabs>
      </w:pPr>
      <w:r>
        <w:t xml:space="preserve">It may be clearer to add distinct attributes to cover these issues. On the other hand, the risk of overlap and duplication may increase if additional, related attributes are added to the ADA. </w:t>
      </w:r>
    </w:p>
    <w:p w14:paraId="53207861" w14:textId="77777777" w:rsidR="00181C16" w:rsidRPr="00CA575D" w:rsidRDefault="00181C16" w:rsidP="00181C16">
      <w:pPr>
        <w:pStyle w:val="NormalAutoChapter"/>
        <w:tabs>
          <w:tab w:val="clear" w:pos="720"/>
          <w:tab w:val="num" w:pos="2564"/>
        </w:tabs>
        <w:rPr>
          <w:color w:val="auto"/>
        </w:rPr>
      </w:pPr>
      <w:r w:rsidRPr="00CA575D">
        <w:rPr>
          <w:color w:val="auto"/>
        </w:rPr>
        <w:t>If immigration status was added as a</w:t>
      </w:r>
      <w:r>
        <w:rPr>
          <w:color w:val="auto"/>
        </w:rPr>
        <w:t xml:space="preserve"> standalone </w:t>
      </w:r>
      <w:r w:rsidRPr="00CA575D">
        <w:rPr>
          <w:color w:val="auto"/>
        </w:rPr>
        <w:t xml:space="preserve">attribute, </w:t>
      </w:r>
      <w:r>
        <w:rPr>
          <w:color w:val="auto"/>
        </w:rPr>
        <w:t xml:space="preserve">or to the definition of race, </w:t>
      </w:r>
      <w:r w:rsidRPr="00CA575D">
        <w:rPr>
          <w:color w:val="auto"/>
        </w:rPr>
        <w:t xml:space="preserve">another issue is whether any specific exceptions would be required. </w:t>
      </w:r>
      <w:r>
        <w:rPr>
          <w:color w:val="auto"/>
        </w:rPr>
        <w:t>In the ACT, it is</w:t>
      </w:r>
      <w:r w:rsidRPr="00CA575D">
        <w:rPr>
          <w:color w:val="auto"/>
        </w:rPr>
        <w:t xml:space="preserve"> lawful to discriminate </w:t>
      </w:r>
      <w:r>
        <w:rPr>
          <w:color w:val="auto"/>
        </w:rPr>
        <w:t xml:space="preserve">based on </w:t>
      </w:r>
      <w:r w:rsidRPr="00CA575D">
        <w:rPr>
          <w:color w:val="auto"/>
        </w:rPr>
        <w:t xml:space="preserve">immigration status if the discrimination is </w:t>
      </w:r>
      <w:r w:rsidRPr="00CA575D">
        <w:rPr>
          <w:color w:val="auto"/>
        </w:rPr>
        <w:lastRenderedPageBreak/>
        <w:t>reasonable, having regard to any relevant factors.</w:t>
      </w:r>
      <w:r w:rsidRPr="00CA575D">
        <w:rPr>
          <w:rStyle w:val="FootnoteReference"/>
          <w:color w:val="auto"/>
        </w:rPr>
        <w:footnoteReference w:id="233"/>
      </w:r>
      <w:r w:rsidRPr="00CA575D">
        <w:rPr>
          <w:color w:val="auto"/>
        </w:rPr>
        <w:t xml:space="preserve"> This allow</w:t>
      </w:r>
      <w:r>
        <w:rPr>
          <w:color w:val="auto"/>
        </w:rPr>
        <w:t>s</w:t>
      </w:r>
      <w:r w:rsidRPr="00CA575D">
        <w:rPr>
          <w:color w:val="auto"/>
        </w:rPr>
        <w:t xml:space="preserve"> </w:t>
      </w:r>
      <w:r>
        <w:rPr>
          <w:color w:val="auto"/>
        </w:rPr>
        <w:t xml:space="preserve">an employer to consider </w:t>
      </w:r>
      <w:r w:rsidRPr="00CA575D">
        <w:rPr>
          <w:color w:val="auto"/>
        </w:rPr>
        <w:t xml:space="preserve">a person’s visa status when offering employment. </w:t>
      </w:r>
      <w:r>
        <w:rPr>
          <w:color w:val="auto"/>
        </w:rPr>
        <w:t>However, the ACT Government intended that it would not be lawful to r</w:t>
      </w:r>
      <w:r w:rsidRPr="00CA575D">
        <w:rPr>
          <w:color w:val="auto"/>
        </w:rPr>
        <w:t>efus</w:t>
      </w:r>
      <w:r>
        <w:rPr>
          <w:color w:val="auto"/>
        </w:rPr>
        <w:t>e someone</w:t>
      </w:r>
      <w:r w:rsidRPr="00CA575D">
        <w:rPr>
          <w:color w:val="auto"/>
        </w:rPr>
        <w:t xml:space="preserve"> access to services </w:t>
      </w:r>
      <w:r>
        <w:rPr>
          <w:color w:val="auto"/>
        </w:rPr>
        <w:t xml:space="preserve">because they are a </w:t>
      </w:r>
      <w:r w:rsidRPr="00CA575D">
        <w:rPr>
          <w:color w:val="auto"/>
        </w:rPr>
        <w:t>refugee.</w:t>
      </w:r>
      <w:r w:rsidRPr="00CA575D">
        <w:rPr>
          <w:rStyle w:val="FootnoteReference"/>
          <w:color w:val="auto"/>
        </w:rPr>
        <w:footnoteReference w:id="234"/>
      </w:r>
    </w:p>
    <w:p w14:paraId="1FB70366" w14:textId="77777777" w:rsidR="00181C16" w:rsidRPr="00CA575D" w:rsidRDefault="00181C16" w:rsidP="00181C16">
      <w:pPr>
        <w:pStyle w:val="NormalAutoChapter"/>
        <w:tabs>
          <w:tab w:val="clear" w:pos="720"/>
          <w:tab w:val="num" w:pos="2564"/>
        </w:tabs>
        <w:rPr>
          <w:color w:val="auto"/>
        </w:rPr>
      </w:pPr>
      <w:r>
        <w:rPr>
          <w:color w:val="auto"/>
        </w:rPr>
        <w:t>In Queensland, a broad exception allows some government bodies to require individuals to have a certain citizenship or visa status to receive assistance, services or support.</w:t>
      </w:r>
      <w:r>
        <w:rPr>
          <w:rStyle w:val="FootnoteReference"/>
          <w:color w:val="auto"/>
        </w:rPr>
        <w:footnoteReference w:id="235"/>
      </w:r>
      <w:r>
        <w:rPr>
          <w:color w:val="auto"/>
        </w:rPr>
        <w:t xml:space="preserve"> T</w:t>
      </w:r>
      <w:r w:rsidRPr="00CA575D">
        <w:rPr>
          <w:color w:val="auto"/>
        </w:rPr>
        <w:t xml:space="preserve">he QHRC </w:t>
      </w:r>
      <w:r>
        <w:rPr>
          <w:color w:val="auto"/>
        </w:rPr>
        <w:t>thought it was important to keep this exception.</w:t>
      </w:r>
      <w:r w:rsidRPr="00CA575D">
        <w:rPr>
          <w:rStyle w:val="FootnoteReference"/>
          <w:color w:val="auto"/>
        </w:rPr>
        <w:footnoteReference w:id="236"/>
      </w:r>
    </w:p>
    <w:p w14:paraId="4B0A1195" w14:textId="77777777" w:rsidR="00181C16" w:rsidRDefault="00181C16" w:rsidP="00181C16">
      <w:pPr>
        <w:pStyle w:val="Heading2"/>
      </w:pPr>
      <w:bookmarkStart w:id="160" w:name="_Toc196749999"/>
      <w:bookmarkStart w:id="161" w:name="_Toc196826844"/>
      <w:r>
        <w:t>Recognising Aboriginal and Torres Strait Islander peoples</w:t>
      </w:r>
      <w:bookmarkEnd w:id="160"/>
      <w:bookmarkEnd w:id="161"/>
      <w:r>
        <w:t xml:space="preserve"> </w:t>
      </w:r>
    </w:p>
    <w:p w14:paraId="5C515D70" w14:textId="77777777" w:rsidR="00181C16" w:rsidRDefault="00181C16" w:rsidP="00181C16">
      <w:pPr>
        <w:pStyle w:val="NormalAutoChapter"/>
        <w:tabs>
          <w:tab w:val="clear" w:pos="720"/>
          <w:tab w:val="num" w:pos="2564"/>
        </w:tabs>
        <w:rPr>
          <w:lang w:eastAsia="en-US"/>
        </w:rPr>
      </w:pPr>
      <w:r>
        <w:t xml:space="preserve">Another issue is whether the definition of race should specifically recognise Aboriginal and Torres Strait Islander peoples. </w:t>
      </w:r>
      <w:r>
        <w:rPr>
          <w:lang w:eastAsia="en-US"/>
        </w:rPr>
        <w:t>The Western Australian Law Reform Commission recommended this option should be considered</w:t>
      </w:r>
      <w:r w:rsidRPr="00487CF8">
        <w:t xml:space="preserve">, </w:t>
      </w:r>
      <w:r>
        <w:t>subject to consultation with</w:t>
      </w:r>
      <w:r w:rsidRPr="00487CF8">
        <w:rPr>
          <w:color w:val="auto"/>
        </w:rPr>
        <w:t xml:space="preserve"> First Nations </w:t>
      </w:r>
      <w:r>
        <w:rPr>
          <w:color w:val="auto"/>
        </w:rPr>
        <w:t>people</w:t>
      </w:r>
      <w:r w:rsidRPr="00487CF8">
        <w:rPr>
          <w:color w:val="auto"/>
        </w:rPr>
        <w:t>.</w:t>
      </w:r>
      <w:r w:rsidRPr="00487CF8">
        <w:rPr>
          <w:rStyle w:val="FootnoteReference"/>
          <w:color w:val="auto"/>
        </w:rPr>
        <w:footnoteReference w:id="237"/>
      </w:r>
    </w:p>
    <w:p w14:paraId="387A8980" w14:textId="77777777" w:rsidR="00181C16" w:rsidRPr="00096122" w:rsidRDefault="00181C16" w:rsidP="00181C16">
      <w:pPr>
        <w:pStyle w:val="NormalAutoChapter"/>
        <w:tabs>
          <w:tab w:val="clear" w:pos="720"/>
          <w:tab w:val="num" w:pos="2564"/>
        </w:tabs>
        <w:rPr>
          <w:rFonts w:ascii="Public Sans SemiBold" w:hAnsi="Public Sans SemiBold"/>
          <w:b/>
          <w:color w:val="FFFFFF"/>
        </w:rPr>
      </w:pPr>
      <w:r>
        <w:t xml:space="preserve">This might not change the law in a significant way. </w:t>
      </w:r>
      <w:r w:rsidRPr="00487CF8">
        <w:t>Aboriginal people</w:t>
      </w:r>
      <w:r>
        <w:t>s</w:t>
      </w:r>
      <w:r w:rsidRPr="00487CF8">
        <w:t xml:space="preserve"> are </w:t>
      </w:r>
      <w:r>
        <w:t xml:space="preserve">already </w:t>
      </w:r>
      <w:r w:rsidRPr="00487CF8">
        <w:t xml:space="preserve">considered a </w:t>
      </w:r>
      <w:r>
        <w:t>“</w:t>
      </w:r>
      <w:r w:rsidRPr="00487CF8">
        <w:t>race</w:t>
      </w:r>
      <w:r>
        <w:t>”</w:t>
      </w:r>
      <w:r w:rsidRPr="00487CF8">
        <w:t xml:space="preserve"> </w:t>
      </w:r>
      <w:r>
        <w:t xml:space="preserve">under </w:t>
      </w:r>
      <w:r w:rsidRPr="00487CF8">
        <w:t>discrimination law</w:t>
      </w:r>
      <w:r>
        <w:t xml:space="preserve">. Protections under both the ADA and the </w:t>
      </w:r>
      <w:r w:rsidRPr="00AF4ADD">
        <w:rPr>
          <w:i/>
          <w:iCs/>
        </w:rPr>
        <w:t>Racial Discrimination Act</w:t>
      </w:r>
      <w:r>
        <w:rPr>
          <w:i/>
          <w:iCs/>
        </w:rPr>
        <w:t xml:space="preserve"> 1975 </w:t>
      </w:r>
      <w:r w:rsidRPr="00A543B1">
        <w:t>(Cth)</w:t>
      </w:r>
      <w:r>
        <w:t xml:space="preserve"> extend to them.</w:t>
      </w:r>
      <w:r w:rsidRPr="00487CF8">
        <w:rPr>
          <w:rStyle w:val="FootnoteReference"/>
          <w:color w:val="auto"/>
        </w:rPr>
        <w:footnoteReference w:id="238"/>
      </w:r>
    </w:p>
    <w:p w14:paraId="4FF9B7FC" w14:textId="77777777" w:rsidR="00181C16" w:rsidRPr="00096122" w:rsidRDefault="00181C16" w:rsidP="00181C16">
      <w:pPr>
        <w:pStyle w:val="NormalAutoChapter"/>
        <w:tabs>
          <w:tab w:val="clear" w:pos="720"/>
          <w:tab w:val="num" w:pos="2564"/>
        </w:tabs>
        <w:rPr>
          <w:rFonts w:ascii="Public Sans SemiBold" w:hAnsi="Public Sans SemiBold"/>
          <w:b/>
          <w:color w:val="FFFFFF"/>
        </w:rPr>
      </w:pPr>
      <w:r>
        <w:t>However, a specific reference to Aboriginal and Torres Strait Islander peoples c</w:t>
      </w:r>
      <w:r w:rsidRPr="003F3397">
        <w:t>ould be an important statement of community standards</w:t>
      </w:r>
      <w:r>
        <w:t xml:space="preserve">. It could also clearly affirm </w:t>
      </w:r>
      <w:r w:rsidRPr="009B70D8">
        <w:t>their right to be free from racial discrimination</w:t>
      </w:r>
      <w:r w:rsidRPr="003F3397">
        <w:t>.</w:t>
      </w:r>
      <w:r>
        <w:t xml:space="preserve"> However, such</w:t>
      </w:r>
      <w:r w:rsidRPr="00EC74F3">
        <w:t xml:space="preserve"> an amendment should only be made after consultation with </w:t>
      </w:r>
      <w:r>
        <w:t>Aboriginal and Torres Strait Islander</w:t>
      </w:r>
      <w:r w:rsidRPr="00EC74F3">
        <w:t xml:space="preserve"> </w:t>
      </w:r>
      <w:r>
        <w:t>p</w:t>
      </w:r>
      <w:r w:rsidRPr="00EC74F3">
        <w:t>eople</w:t>
      </w:r>
      <w:r>
        <w:t>s.</w:t>
      </w:r>
    </w:p>
    <w:p w14:paraId="3A141923" w14:textId="77777777" w:rsidR="00181C16" w:rsidRPr="00644380" w:rsidRDefault="00181C16" w:rsidP="00181C16">
      <w:pPr>
        <w:pStyle w:val="Recommendationheading"/>
      </w:pPr>
      <w:r w:rsidRPr="00644380">
        <w:t xml:space="preserve">Question 4.6: Racial discrimination </w:t>
      </w:r>
    </w:p>
    <w:p w14:paraId="30151E58" w14:textId="77777777" w:rsidR="00181C16" w:rsidRPr="00655328" w:rsidRDefault="00181C16" w:rsidP="00181C16">
      <w:pPr>
        <w:pStyle w:val="Recommendationhanging1"/>
      </w:pPr>
      <w:r w:rsidRPr="00655328">
        <w:t>(1)</w:t>
      </w:r>
      <w:r w:rsidRPr="00655328">
        <w:tab/>
        <w:t>What changes, if any, should be made to the way the ADA expresses and defines the protected attribute of “race”?</w:t>
      </w:r>
    </w:p>
    <w:p w14:paraId="3539EC83" w14:textId="77777777" w:rsidR="00181C16" w:rsidRPr="00655328" w:rsidRDefault="00181C16" w:rsidP="00181C16">
      <w:pPr>
        <w:pStyle w:val="Recommendationhanging1"/>
      </w:pPr>
      <w:r w:rsidRPr="00655328">
        <w:t>(2)</w:t>
      </w:r>
      <w:r w:rsidRPr="00655328">
        <w:tab/>
        <w:t xml:space="preserve">Are any new attributes required to address potential gaps in the ADA’s protections against racial discrimination? </w:t>
      </w:r>
    </w:p>
    <w:p w14:paraId="0A332F91" w14:textId="77777777" w:rsidR="00181C16" w:rsidRDefault="00181C16" w:rsidP="00181C16">
      <w:pPr>
        <w:pStyle w:val="Heading1"/>
      </w:pPr>
      <w:bookmarkStart w:id="162" w:name="_Toc196750000"/>
      <w:bookmarkStart w:id="163" w:name="_Toc196826845"/>
      <w:r>
        <w:lastRenderedPageBreak/>
        <w:t>Sex discrimination</w:t>
      </w:r>
      <w:bookmarkEnd w:id="162"/>
      <w:bookmarkEnd w:id="163"/>
      <w:r>
        <w:t xml:space="preserve"> </w:t>
      </w:r>
    </w:p>
    <w:p w14:paraId="68B47636" w14:textId="77777777" w:rsidR="00181C16" w:rsidRDefault="00181C16" w:rsidP="00181C16">
      <w:pPr>
        <w:pStyle w:val="NormalAutoChapter"/>
        <w:tabs>
          <w:tab w:val="clear" w:pos="720"/>
          <w:tab w:val="num" w:pos="2564"/>
        </w:tabs>
        <w:rPr>
          <w:lang w:eastAsia="en-US"/>
        </w:rPr>
      </w:pPr>
      <w:r>
        <w:rPr>
          <w:lang w:eastAsia="en-US"/>
        </w:rPr>
        <w:t xml:space="preserve">The ADA prohibits sex discrimination. Preliminary submissions suggested changes to the way the ADA describes this attribute and defines its scope. </w:t>
      </w:r>
    </w:p>
    <w:p w14:paraId="6E27D9B8" w14:textId="77777777" w:rsidR="00181C16" w:rsidRDefault="00181C16" w:rsidP="00181C16">
      <w:pPr>
        <w:pStyle w:val="Heading2"/>
      </w:pPr>
      <w:bookmarkStart w:id="164" w:name="_Toc196750001"/>
      <w:bookmarkStart w:id="165" w:name="_Toc196826846"/>
      <w:r>
        <w:t>Gender discrimination and sex discrimination</w:t>
      </w:r>
      <w:bookmarkEnd w:id="164"/>
      <w:bookmarkEnd w:id="165"/>
      <w:r>
        <w:t xml:space="preserve"> </w:t>
      </w:r>
    </w:p>
    <w:p w14:paraId="09D85B76" w14:textId="77777777" w:rsidR="00181C16" w:rsidRDefault="00181C16" w:rsidP="00181C16">
      <w:pPr>
        <w:pStyle w:val="NormalAutoChapter"/>
        <w:tabs>
          <w:tab w:val="clear" w:pos="720"/>
          <w:tab w:val="num" w:pos="2564"/>
        </w:tabs>
        <w:rPr>
          <w:lang w:eastAsia="en-US"/>
        </w:rPr>
      </w:pPr>
      <w:r>
        <w:rPr>
          <w:lang w:eastAsia="en-US"/>
        </w:rPr>
        <w:t>One view is that it would be more accurate, and inclusive, for the ADA to refer to “gender” discrimination rather than “sex” discrimination.</w:t>
      </w:r>
      <w:r w:rsidRPr="00487CF8">
        <w:rPr>
          <w:rStyle w:val="FootnoteReference"/>
          <w:color w:val="auto"/>
        </w:rPr>
        <w:footnoteReference w:id="239"/>
      </w:r>
      <w:r w:rsidRPr="00487CF8">
        <w:rPr>
          <w:color w:val="auto"/>
        </w:rPr>
        <w:t xml:space="preserve"> </w:t>
      </w:r>
      <w:r>
        <w:rPr>
          <w:lang w:eastAsia="en-US"/>
        </w:rPr>
        <w:t xml:space="preserve">The Australian Government’s Guidelines on Sex and Gender explain the distinction as follows: </w:t>
      </w:r>
    </w:p>
    <w:p w14:paraId="4C397BD5" w14:textId="77777777" w:rsidR="00181C16" w:rsidRPr="000279CD" w:rsidRDefault="00181C16" w:rsidP="00181C16">
      <w:pPr>
        <w:pStyle w:val="Normalbullet"/>
      </w:pPr>
      <w:r w:rsidRPr="002758AE">
        <w:t>“</w:t>
      </w:r>
      <w:proofErr w:type="gramStart"/>
      <w:r w:rsidRPr="002758AE">
        <w:t>sex</w:t>
      </w:r>
      <w:proofErr w:type="gramEnd"/>
      <w:r w:rsidRPr="002758AE">
        <w:t xml:space="preserve"> </w:t>
      </w:r>
      <w:r>
        <w:t xml:space="preserve">refers to </w:t>
      </w:r>
      <w:r w:rsidRPr="00487CF8">
        <w:rPr>
          <w:szCs w:val="22"/>
        </w:rPr>
        <w:t>the chromosomal, gonadal and anatomical characteristics associated with biological sex”</w:t>
      </w:r>
      <w:r>
        <w:rPr>
          <w:szCs w:val="22"/>
        </w:rPr>
        <w:t>, and</w:t>
      </w:r>
    </w:p>
    <w:p w14:paraId="54507C89" w14:textId="77777777" w:rsidR="00181C16" w:rsidRDefault="00181C16" w:rsidP="00181C16">
      <w:pPr>
        <w:pStyle w:val="Normalbullet"/>
      </w:pPr>
      <w:r w:rsidRPr="002758AE">
        <w:t>“</w:t>
      </w:r>
      <w:proofErr w:type="gramStart"/>
      <w:r w:rsidRPr="002758AE">
        <w:t>gender</w:t>
      </w:r>
      <w:proofErr w:type="gramEnd"/>
      <w:r w:rsidRPr="002758AE">
        <w:t xml:space="preserve"> </w:t>
      </w:r>
      <w:r w:rsidRPr="00487CF8">
        <w:rPr>
          <w:szCs w:val="22"/>
        </w:rPr>
        <w:t>is part of a person’s personal and social identity” and “refers to the way a person feels, presents and is recognised within the community”</w:t>
      </w:r>
      <w:r>
        <w:rPr>
          <w:szCs w:val="22"/>
        </w:rPr>
        <w:t>.</w:t>
      </w:r>
      <w:r w:rsidRPr="00487CF8">
        <w:rPr>
          <w:rStyle w:val="FootnoteReference"/>
          <w:szCs w:val="22"/>
        </w:rPr>
        <w:footnoteReference w:id="240"/>
      </w:r>
    </w:p>
    <w:p w14:paraId="2EC66BA9" w14:textId="77777777" w:rsidR="00181C16" w:rsidRDefault="00181C16" w:rsidP="00181C16">
      <w:pPr>
        <w:pStyle w:val="NormalAutoChapter"/>
        <w:tabs>
          <w:tab w:val="clear" w:pos="720"/>
          <w:tab w:val="num" w:pos="2564"/>
        </w:tabs>
      </w:pPr>
      <w:r>
        <w:t>However, the language of sex discrimination has been well-established in Australian law. Only Tasmania lists “gender” as a protected attribute.</w:t>
      </w:r>
      <w:r w:rsidRPr="00487CF8">
        <w:rPr>
          <w:rStyle w:val="FootnoteReference"/>
          <w:color w:val="auto"/>
          <w:szCs w:val="22"/>
        </w:rPr>
        <w:footnoteReference w:id="241"/>
      </w:r>
      <w:r>
        <w:t xml:space="preserve"> The </w:t>
      </w:r>
      <w:r w:rsidRPr="004F3617">
        <w:rPr>
          <w:color w:val="auto"/>
        </w:rPr>
        <w:t xml:space="preserve">QHRC recently recommended against adding a gender attribute, as </w:t>
      </w:r>
      <w:r>
        <w:rPr>
          <w:color w:val="auto"/>
        </w:rPr>
        <w:t xml:space="preserve">it thought that </w:t>
      </w:r>
      <w:r>
        <w:t>separating the concepts of sex and gender could create uncertainty.</w:t>
      </w:r>
      <w:r w:rsidRPr="00487CF8">
        <w:rPr>
          <w:rStyle w:val="FootnoteReference"/>
          <w:color w:val="auto"/>
        </w:rPr>
        <w:footnoteReference w:id="242"/>
      </w:r>
    </w:p>
    <w:p w14:paraId="0D1D0EB6" w14:textId="53C1B591" w:rsidR="00181C16" w:rsidRDefault="00181C16" w:rsidP="00181C16">
      <w:pPr>
        <w:pStyle w:val="Heading2"/>
      </w:pPr>
      <w:bookmarkStart w:id="166" w:name="_Toc196750002"/>
      <w:bookmarkStart w:id="167" w:name="_Toc196826847"/>
      <w:r>
        <w:t>Binary and non-binary language</w:t>
      </w:r>
      <w:bookmarkEnd w:id="166"/>
      <w:bookmarkEnd w:id="167"/>
    </w:p>
    <w:p w14:paraId="2ECA0734" w14:textId="77777777" w:rsidR="00181C16" w:rsidRDefault="00181C16" w:rsidP="00181C16">
      <w:pPr>
        <w:pStyle w:val="NormalAutoChapter"/>
        <w:tabs>
          <w:tab w:val="clear" w:pos="720"/>
          <w:tab w:val="num" w:pos="2564"/>
        </w:tabs>
        <w:rPr>
          <w:lang w:eastAsia="en-US"/>
        </w:rPr>
      </w:pPr>
      <w:r>
        <w:t xml:space="preserve">Another question is whether the ADA should continue to use binary concepts to define sex discrimination. </w:t>
      </w:r>
    </w:p>
    <w:p w14:paraId="17831A61" w14:textId="77777777" w:rsidR="00181C16" w:rsidRDefault="00181C16" w:rsidP="00181C16">
      <w:pPr>
        <w:pStyle w:val="NormalAutoChapter"/>
        <w:tabs>
          <w:tab w:val="clear" w:pos="720"/>
          <w:tab w:val="num" w:pos="2564"/>
        </w:tabs>
        <w:rPr>
          <w:lang w:eastAsia="en-US"/>
        </w:rPr>
      </w:pPr>
      <w:r>
        <w:t>T</w:t>
      </w:r>
      <w:r>
        <w:rPr>
          <w:lang w:eastAsia="en-US"/>
        </w:rPr>
        <w:t>he ADA does not define “sex” directly. However, it defines “man” and “woman” as being members of the male sex and female sex, respectively.</w:t>
      </w:r>
      <w:r>
        <w:rPr>
          <w:rStyle w:val="FootnoteReference"/>
          <w:lang w:eastAsia="en-US"/>
        </w:rPr>
        <w:footnoteReference w:id="243"/>
      </w:r>
      <w:r>
        <w:rPr>
          <w:lang w:eastAsia="en-US"/>
        </w:rPr>
        <w:t xml:space="preserve"> The tests for sex discrimination also adopt a binary approach, requiring comparisons with “a person of the opposite sex”.</w:t>
      </w:r>
      <w:r>
        <w:rPr>
          <w:rStyle w:val="FootnoteReference"/>
          <w:lang w:eastAsia="en-US"/>
        </w:rPr>
        <w:footnoteReference w:id="244"/>
      </w:r>
      <w:r>
        <w:rPr>
          <w:lang w:eastAsia="en-US"/>
        </w:rPr>
        <w:t xml:space="preserve"> </w:t>
      </w:r>
    </w:p>
    <w:p w14:paraId="1B97AF77" w14:textId="77777777" w:rsidR="00181C16" w:rsidRDefault="00181C16" w:rsidP="00181C16">
      <w:pPr>
        <w:pStyle w:val="NormalAutoChapter"/>
        <w:tabs>
          <w:tab w:val="clear" w:pos="720"/>
          <w:tab w:val="num" w:pos="2564"/>
        </w:tabs>
        <w:rPr>
          <w:lang w:eastAsia="en-US"/>
        </w:rPr>
      </w:pPr>
      <w:r>
        <w:rPr>
          <w:lang w:eastAsia="en-US"/>
        </w:rPr>
        <w:t xml:space="preserve">On the other hand, the ADA also recognises </w:t>
      </w:r>
      <w:r w:rsidRPr="00BD4CEC">
        <w:rPr>
          <w:lang w:eastAsia="en-US"/>
        </w:rPr>
        <w:t>the existence of persons of "indeterminate sex</w:t>
      </w:r>
      <w:r>
        <w:rPr>
          <w:lang w:eastAsia="en-US"/>
        </w:rPr>
        <w:t>”</w:t>
      </w:r>
      <w:r w:rsidRPr="00BD4CEC">
        <w:rPr>
          <w:lang w:eastAsia="en-US"/>
        </w:rPr>
        <w:t>.</w:t>
      </w:r>
      <w:r>
        <w:rPr>
          <w:rStyle w:val="FootnoteReference"/>
          <w:lang w:eastAsia="en-US"/>
        </w:rPr>
        <w:footnoteReference w:id="245"/>
      </w:r>
      <w:r w:rsidRPr="00BD4CEC">
        <w:rPr>
          <w:lang w:eastAsia="en-US"/>
        </w:rPr>
        <w:t xml:space="preserve"> </w:t>
      </w:r>
      <w:r>
        <w:rPr>
          <w:lang w:eastAsia="en-US"/>
        </w:rPr>
        <w:t>In light of the use of this phrase in the ADA, the High Court concluded</w:t>
      </w:r>
      <w:r w:rsidRPr="00BD4CEC">
        <w:rPr>
          <w:lang w:eastAsia="en-US"/>
        </w:rPr>
        <w:t xml:space="preserve"> that another NSW law “recognises that a person may be other than male or female</w:t>
      </w:r>
      <w:r>
        <w:rPr>
          <w:lang w:eastAsia="en-US"/>
        </w:rPr>
        <w:t>”.</w:t>
      </w:r>
      <w:r>
        <w:rPr>
          <w:rStyle w:val="FootnoteReference"/>
        </w:rPr>
        <w:footnoteReference w:id="246"/>
      </w:r>
    </w:p>
    <w:p w14:paraId="253332DC" w14:textId="495F4D0C" w:rsidR="00181C16" w:rsidRPr="00181C16" w:rsidRDefault="00181C16" w:rsidP="00181C16">
      <w:pPr>
        <w:pStyle w:val="NormalAutoChapter"/>
        <w:tabs>
          <w:tab w:val="clear" w:pos="720"/>
          <w:tab w:val="num" w:pos="2564"/>
        </w:tabs>
        <w:rPr>
          <w:b/>
          <w:bCs/>
          <w:color w:val="000000" w:themeColor="text1"/>
        </w:rPr>
      </w:pPr>
      <w:r w:rsidRPr="00181C16">
        <w:rPr>
          <w:color w:val="000000" w:themeColor="text1"/>
        </w:rPr>
        <w:lastRenderedPageBreak/>
        <w:t xml:space="preserve">Following amendments in 2013, the </w:t>
      </w:r>
      <w:r w:rsidRPr="00181C16">
        <w:rPr>
          <w:i/>
          <w:iCs/>
          <w:color w:val="000000" w:themeColor="text1"/>
        </w:rPr>
        <w:t xml:space="preserve">Sex Discrimination Act </w:t>
      </w:r>
      <w:r w:rsidRPr="00181C16">
        <w:rPr>
          <w:color w:val="000000" w:themeColor="text1"/>
        </w:rPr>
        <w:t>refers to people of a “different sex” instead of people of the “opposite sex”.</w:t>
      </w:r>
      <w:r w:rsidRPr="00181C16">
        <w:rPr>
          <w:rStyle w:val="FootnoteReference"/>
          <w:color w:val="000000" w:themeColor="text1"/>
        </w:rPr>
        <w:footnoteReference w:id="247"/>
      </w:r>
      <w:r w:rsidRPr="00181C16">
        <w:rPr>
          <w:color w:val="000000" w:themeColor="text1"/>
        </w:rPr>
        <w:t xml:space="preserve"> Recent reviews in WA and Queensland recommended against the use of terms such </w:t>
      </w:r>
      <w:r w:rsidRPr="00181C16">
        <w:rPr>
          <w:color w:val="000000" w:themeColor="text1"/>
          <w:szCs w:val="22"/>
        </w:rPr>
        <w:t>as “opposite gender” or male and female.</w:t>
      </w:r>
      <w:r w:rsidRPr="00181C16">
        <w:rPr>
          <w:rStyle w:val="FootnoteReference"/>
          <w:color w:val="000000" w:themeColor="text1"/>
          <w:szCs w:val="22"/>
        </w:rPr>
        <w:footnoteReference w:id="248"/>
      </w:r>
      <w:r w:rsidRPr="00181C16">
        <w:rPr>
          <w:color w:val="000000" w:themeColor="text1"/>
        </w:rPr>
        <w:t xml:space="preserve"> Despite recent amendments, the Queensland Act still contains references to “male” and “female”.</w:t>
      </w:r>
      <w:r w:rsidRPr="00181C16">
        <w:rPr>
          <w:rStyle w:val="FootnoteReference"/>
          <w:color w:val="000000" w:themeColor="text1"/>
        </w:rPr>
        <w:footnoteReference w:id="249"/>
      </w:r>
    </w:p>
    <w:p w14:paraId="3832F877" w14:textId="77777777" w:rsidR="00181C16" w:rsidRPr="000044AE" w:rsidRDefault="00181C16" w:rsidP="00181C16">
      <w:pPr>
        <w:pStyle w:val="Heading2"/>
        <w:rPr>
          <w:color w:val="FF0000"/>
        </w:rPr>
      </w:pPr>
      <w:bookmarkStart w:id="168" w:name="_Toc196750003"/>
      <w:bookmarkStart w:id="169" w:name="_Toc196826848"/>
      <w:r>
        <w:t>Discrimination based on pregnancy or breastfeeding</w:t>
      </w:r>
      <w:bookmarkEnd w:id="168"/>
      <w:bookmarkEnd w:id="169"/>
    </w:p>
    <w:p w14:paraId="1672BF34" w14:textId="77777777" w:rsidR="00181C16" w:rsidRDefault="00181C16" w:rsidP="00181C16">
      <w:pPr>
        <w:pStyle w:val="NormalAutoChapter"/>
        <w:tabs>
          <w:tab w:val="clear" w:pos="720"/>
          <w:tab w:val="num" w:pos="2564"/>
        </w:tabs>
        <w:rPr>
          <w:color w:val="auto"/>
        </w:rPr>
      </w:pPr>
      <w:r>
        <w:rPr>
          <w:color w:val="auto"/>
        </w:rPr>
        <w:t xml:space="preserve">The ADA does not list pregnancy and breastfeeding as distinct protected attributes. Instead, they are dealt with as part of the test for sex discrimination. </w:t>
      </w:r>
    </w:p>
    <w:p w14:paraId="4B1DFCCA" w14:textId="77777777" w:rsidR="00181C16" w:rsidRDefault="00181C16" w:rsidP="00181C16">
      <w:pPr>
        <w:pStyle w:val="NormalAutoChapter"/>
        <w:tabs>
          <w:tab w:val="clear" w:pos="720"/>
          <w:tab w:val="num" w:pos="2564"/>
        </w:tabs>
        <w:rPr>
          <w:color w:val="auto"/>
        </w:rPr>
      </w:pPr>
      <w:r>
        <w:rPr>
          <w:color w:val="auto"/>
        </w:rPr>
        <w:t>Among other things, the test for direct discrimination covers acts based on:</w:t>
      </w:r>
    </w:p>
    <w:p w14:paraId="5877B57C" w14:textId="77777777" w:rsidR="00181C16" w:rsidRDefault="00181C16" w:rsidP="00181C16">
      <w:pPr>
        <w:pStyle w:val="Normalbullet"/>
      </w:pPr>
      <w:r>
        <w:t>someone’s sex, or</w:t>
      </w:r>
    </w:p>
    <w:p w14:paraId="037A49AA" w14:textId="681BA93D" w:rsidR="00181C16" w:rsidRDefault="00181C16" w:rsidP="00181C16">
      <w:pPr>
        <w:pStyle w:val="Normalbullet"/>
      </w:pPr>
      <w:r>
        <w:t>a characteristic that people of that sex generally either have or are generally presumed to have.</w:t>
      </w:r>
      <w:r>
        <w:rPr>
          <w:rStyle w:val="FootnoteReference"/>
        </w:rPr>
        <w:footnoteReference w:id="250"/>
      </w:r>
    </w:p>
    <w:p w14:paraId="0568BCA7" w14:textId="77777777" w:rsidR="00181C16" w:rsidRDefault="00181C16" w:rsidP="00181C16">
      <w:pPr>
        <w:pStyle w:val="NormalAutoChapter"/>
        <w:tabs>
          <w:tab w:val="clear" w:pos="720"/>
          <w:tab w:val="num" w:pos="2564"/>
        </w:tabs>
      </w:pPr>
      <w:r w:rsidRPr="00AB08AF">
        <w:rPr>
          <w:color w:val="auto"/>
        </w:rPr>
        <w:t>The fact that a woman is or may become pregnant,</w:t>
      </w:r>
      <w:r>
        <w:rPr>
          <w:color w:val="auto"/>
        </w:rPr>
        <w:t xml:space="preserve"> </w:t>
      </w:r>
      <w:r w:rsidRPr="00AB08AF">
        <w:rPr>
          <w:color w:val="auto"/>
        </w:rPr>
        <w:t xml:space="preserve">is breastfeeding or may breastfeed, is treated as a “characteristic” that women generally have. </w:t>
      </w:r>
      <w:r>
        <w:t xml:space="preserve">In this way, discrimination based on pregnancy or breastfeeding is considered a form of sex discrimination against women. The ADA provides that granting </w:t>
      </w:r>
      <w:r w:rsidRPr="00DD3F5C">
        <w:t>a woman rights or privileges in connection with pregnancy, childbirth or breastfeeding</w:t>
      </w:r>
      <w:r>
        <w:t xml:space="preserve"> does not constitute sex discrimination against a man.</w:t>
      </w:r>
      <w:r>
        <w:rPr>
          <w:rStyle w:val="FootnoteReference"/>
        </w:rPr>
        <w:footnoteReference w:id="251"/>
      </w:r>
    </w:p>
    <w:p w14:paraId="1E1A077F" w14:textId="77777777" w:rsidR="00181C16" w:rsidRPr="000B2419" w:rsidRDefault="00181C16" w:rsidP="00181C16">
      <w:pPr>
        <w:pStyle w:val="NormalAutoChapter"/>
        <w:tabs>
          <w:tab w:val="clear" w:pos="720"/>
          <w:tab w:val="num" w:pos="2564"/>
        </w:tabs>
      </w:pPr>
      <w:r>
        <w:t xml:space="preserve">Another approach could be to clearly recognise pregnancy and breastfeeding as separate attributes, not tied to sex discrimination. </w:t>
      </w:r>
      <w:r w:rsidRPr="00487CF8">
        <w:t xml:space="preserve">The NSWLRC </w:t>
      </w:r>
      <w:r w:rsidRPr="00004ED0">
        <w:rPr>
          <w:color w:val="auto"/>
        </w:rPr>
        <w:t xml:space="preserve">recommended this </w:t>
      </w:r>
      <w:r>
        <w:rPr>
          <w:color w:val="auto"/>
        </w:rPr>
        <w:t>in 1999</w:t>
      </w:r>
      <w:r w:rsidRPr="00004ED0">
        <w:rPr>
          <w:color w:val="auto"/>
        </w:rPr>
        <w:t>.</w:t>
      </w:r>
      <w:r w:rsidRPr="00487CF8">
        <w:t xml:space="preserve"> </w:t>
      </w:r>
      <w:r>
        <w:t>The NSWLRC thought it would make the law clearer and thought there was wide support for it.</w:t>
      </w:r>
      <w:r>
        <w:rPr>
          <w:rStyle w:val="FootnoteReference"/>
        </w:rPr>
        <w:footnoteReference w:id="252"/>
      </w:r>
      <w:r>
        <w:t xml:space="preserve"> Other discrimination laws across </w:t>
      </w:r>
      <w:r w:rsidRPr="00487CF8">
        <w:t>Australia include pregnancy</w:t>
      </w:r>
      <w:r>
        <w:t xml:space="preserve"> </w:t>
      </w:r>
      <w:r w:rsidRPr="00487CF8">
        <w:t xml:space="preserve">as </w:t>
      </w:r>
      <w:r>
        <w:t xml:space="preserve">a </w:t>
      </w:r>
      <w:r w:rsidRPr="00487CF8">
        <w:t>separate attribute</w:t>
      </w:r>
      <w:r>
        <w:t>.</w:t>
      </w:r>
      <w:r>
        <w:rPr>
          <w:rStyle w:val="FootnoteReference"/>
        </w:rPr>
        <w:footnoteReference w:id="253"/>
      </w:r>
      <w:r>
        <w:t xml:space="preserve"> Some recognise breastfeeding as a separate attribute</w:t>
      </w:r>
      <w:r w:rsidRPr="00487CF8">
        <w:t>.</w:t>
      </w:r>
      <w:r w:rsidRPr="00487CF8">
        <w:rPr>
          <w:rStyle w:val="FootnoteReference"/>
        </w:rPr>
        <w:footnoteReference w:id="254"/>
      </w:r>
      <w:r w:rsidRPr="00487CF8">
        <w:t xml:space="preserve"> </w:t>
      </w:r>
    </w:p>
    <w:p w14:paraId="679E48C9" w14:textId="77777777" w:rsidR="00181C16" w:rsidRPr="00A2723F" w:rsidRDefault="00181C16" w:rsidP="00181C16">
      <w:pPr>
        <w:pStyle w:val="Recommendationheading"/>
      </w:pPr>
      <w:r w:rsidRPr="00A2723F">
        <w:lastRenderedPageBreak/>
        <w:t xml:space="preserve">Question 4.7: Sex discrimination </w:t>
      </w:r>
    </w:p>
    <w:p w14:paraId="3E5B22F5" w14:textId="77777777" w:rsidR="00181C16" w:rsidRPr="00E2496B" w:rsidRDefault="00181C16" w:rsidP="00181C16">
      <w:pPr>
        <w:pStyle w:val="Recommendationhanging1"/>
      </w:pPr>
      <w:r w:rsidRPr="00E2496B">
        <w:t>(1)</w:t>
      </w:r>
      <w:r w:rsidRPr="00E2496B">
        <w:tab/>
        <w:t>What changes, if any, should be made to the way the ADA expresses and defines the protected attribute of “sex”?</w:t>
      </w:r>
    </w:p>
    <w:p w14:paraId="4958E5F9" w14:textId="77777777" w:rsidR="00181C16" w:rsidRPr="00E2496B" w:rsidRDefault="00181C16" w:rsidP="00181C16">
      <w:pPr>
        <w:pStyle w:val="Recommendationhanging1"/>
      </w:pPr>
      <w:r w:rsidRPr="00E2496B">
        <w:t>(2)</w:t>
      </w:r>
      <w:r w:rsidRPr="00E2496B">
        <w:tab/>
        <w:t>Should the ADA prohibit discrimination based on pregnancy and breastfeeding separately from sex discrimination?</w:t>
      </w:r>
    </w:p>
    <w:p w14:paraId="727B5A8B" w14:textId="77777777" w:rsidR="00181C16" w:rsidRDefault="00181C16" w:rsidP="00181C16">
      <w:pPr>
        <w:pStyle w:val="Heading1"/>
      </w:pPr>
      <w:bookmarkStart w:id="170" w:name="_Toc196750004"/>
      <w:bookmarkStart w:id="171" w:name="_Toc196826849"/>
      <w:r>
        <w:t>Transgender grounds</w:t>
      </w:r>
      <w:bookmarkEnd w:id="170"/>
      <w:bookmarkEnd w:id="171"/>
    </w:p>
    <w:p w14:paraId="014D8594" w14:textId="77777777" w:rsidR="00181C16" w:rsidRPr="00487CF8" w:rsidRDefault="00181C16" w:rsidP="00181C16">
      <w:pPr>
        <w:pStyle w:val="NormalAutoChapter"/>
        <w:tabs>
          <w:tab w:val="clear" w:pos="720"/>
          <w:tab w:val="num" w:pos="2564"/>
        </w:tabs>
      </w:pPr>
      <w:r w:rsidRPr="00487CF8">
        <w:t>The ADA pro</w:t>
      </w:r>
      <w:r>
        <w:t xml:space="preserve">hibits </w:t>
      </w:r>
      <w:r w:rsidRPr="00487CF8">
        <w:t>discrimination</w:t>
      </w:r>
      <w:r w:rsidRPr="006F57E7">
        <w:rPr>
          <w:color w:val="auto"/>
        </w:rPr>
        <w:t xml:space="preserve"> and vilification </w:t>
      </w:r>
      <w:r w:rsidRPr="00487CF8">
        <w:t>on “transgender grounds”</w:t>
      </w:r>
      <w:r>
        <w:t>. It defines a</w:t>
      </w:r>
      <w:r w:rsidRPr="00487CF8">
        <w:t xml:space="preserve"> transgender person as</w:t>
      </w:r>
      <w:r>
        <w:t xml:space="preserve"> someone</w:t>
      </w:r>
      <w:r w:rsidRPr="00487CF8">
        <w:t>:</w:t>
      </w:r>
    </w:p>
    <w:p w14:paraId="160A34A4" w14:textId="77777777" w:rsidR="00181C16" w:rsidRPr="00487CF8" w:rsidRDefault="00181C16" w:rsidP="00181C16">
      <w:pPr>
        <w:pStyle w:val="Normalbullet"/>
      </w:pPr>
      <w:r w:rsidRPr="00487CF8">
        <w:t>who identifie</w:t>
      </w:r>
      <w:r>
        <w:t>s</w:t>
      </w:r>
      <w:r w:rsidRPr="00487CF8">
        <w:t xml:space="preserve"> </w:t>
      </w:r>
      <w:r>
        <w:t>“</w:t>
      </w:r>
      <w:r w:rsidRPr="00487CF8">
        <w:t>as a member of the opposite sex</w:t>
      </w:r>
      <w:r>
        <w:t>” by living or seeking to live as such</w:t>
      </w:r>
    </w:p>
    <w:p w14:paraId="2092420F" w14:textId="77777777" w:rsidR="00181C16" w:rsidRDefault="00181C16" w:rsidP="00181C16">
      <w:pPr>
        <w:pStyle w:val="Normalbullet"/>
      </w:pPr>
      <w:r>
        <w:t xml:space="preserve">who has identified “as a member of the opposite sex” by living as such, or </w:t>
      </w:r>
    </w:p>
    <w:p w14:paraId="25FD0D8F" w14:textId="77777777" w:rsidR="00181C16" w:rsidRPr="00487CF8" w:rsidRDefault="00181C16" w:rsidP="00181C16">
      <w:pPr>
        <w:pStyle w:val="Normalbullet"/>
      </w:pPr>
      <w:r>
        <w:t>who, “</w:t>
      </w:r>
      <w:r w:rsidRPr="00D74EA5">
        <w:t>being of indeterminate sex, identifies as a member of a particular sex by living as a member of that sex</w:t>
      </w:r>
      <w:r>
        <w:t>”.</w:t>
      </w:r>
      <w:r w:rsidRPr="00487CF8">
        <w:rPr>
          <w:rStyle w:val="FootnoteReference"/>
        </w:rPr>
        <w:footnoteReference w:id="255"/>
      </w:r>
      <w:r w:rsidRPr="00487CF8">
        <w:t xml:space="preserve"> </w:t>
      </w:r>
    </w:p>
    <w:p w14:paraId="6CE074A5" w14:textId="14856129" w:rsidR="00181C16" w:rsidRPr="003052E4" w:rsidRDefault="00181C16" w:rsidP="00C93831">
      <w:pPr>
        <w:pStyle w:val="NormalAutoChapter"/>
        <w:tabs>
          <w:tab w:val="clear" w:pos="720"/>
          <w:tab w:val="num" w:pos="2564"/>
        </w:tabs>
      </w:pPr>
      <w:r>
        <w:t xml:space="preserve">This applies </w:t>
      </w:r>
      <w:proofErr w:type="gramStart"/>
      <w:r>
        <w:t>whether or not</w:t>
      </w:r>
      <w:proofErr w:type="gramEnd"/>
      <w:r w:rsidR="00AD21B2">
        <w:t xml:space="preserve"> they are</w:t>
      </w:r>
      <w:r w:rsidR="00F44BFC">
        <w:t xml:space="preserve"> </w:t>
      </w:r>
      <w:r w:rsidR="002D438E">
        <w:t xml:space="preserve">a </w:t>
      </w:r>
      <w:r w:rsidR="00AD21B2">
        <w:t xml:space="preserve">“recognised transgender person”, </w:t>
      </w:r>
      <w:r w:rsidR="00FE1054">
        <w:t xml:space="preserve">that is, a person </w:t>
      </w:r>
      <w:r w:rsidR="006044C2">
        <w:t>whose</w:t>
      </w:r>
      <w:r w:rsidR="00575BE7">
        <w:t xml:space="preserve"> </w:t>
      </w:r>
      <w:r w:rsidR="00801925">
        <w:t>record</w:t>
      </w:r>
      <w:r w:rsidR="007E2DD6">
        <w:t xml:space="preserve"> of </w:t>
      </w:r>
      <w:r w:rsidR="00B55184">
        <w:t xml:space="preserve">sex </w:t>
      </w:r>
      <w:r w:rsidR="008E51DD">
        <w:t>has been</w:t>
      </w:r>
      <w:r w:rsidR="00B55184">
        <w:t xml:space="preserve"> altered</w:t>
      </w:r>
      <w:r w:rsidR="00801925">
        <w:t xml:space="preserve"> </w:t>
      </w:r>
      <w:r w:rsidR="00825CBB">
        <w:t xml:space="preserve">under </w:t>
      </w:r>
      <w:r w:rsidR="007E2DD6">
        <w:t xml:space="preserve">the relevant </w:t>
      </w:r>
      <w:r w:rsidR="00825CBB">
        <w:t>law</w:t>
      </w:r>
      <w:r w:rsidR="00F44BFC">
        <w:t xml:space="preserve">. The reference </w:t>
      </w:r>
      <w:r w:rsidR="00F90779">
        <w:t xml:space="preserve">to </w:t>
      </w:r>
      <w:r w:rsidR="00B83B62">
        <w:t xml:space="preserve">a </w:t>
      </w:r>
      <w:r w:rsidR="00F90779">
        <w:t xml:space="preserve">“transgender person” </w:t>
      </w:r>
      <w:r w:rsidR="00EF7D74">
        <w:t xml:space="preserve">also </w:t>
      </w:r>
      <w:r w:rsidR="00F90779">
        <w:t xml:space="preserve">includes a person being thought of </w:t>
      </w:r>
      <w:r w:rsidR="00B83B62">
        <w:t>as transgender</w:t>
      </w:r>
      <w:r>
        <w:t>,</w:t>
      </w:r>
      <w:r w:rsidR="00B83B62">
        <w:t xml:space="preserve"> </w:t>
      </w:r>
      <w:proofErr w:type="gramStart"/>
      <w:r w:rsidR="00B83B62">
        <w:t>whether or not</w:t>
      </w:r>
      <w:proofErr w:type="gramEnd"/>
      <w:r w:rsidR="00B83B62">
        <w:t xml:space="preserve"> they are “in fact a tran</w:t>
      </w:r>
      <w:r>
        <w:t>sgender person”</w:t>
      </w:r>
      <w:r w:rsidR="00B83B62">
        <w:t>.</w:t>
      </w:r>
      <w:r>
        <w:rPr>
          <w:rStyle w:val="FootnoteReference"/>
        </w:rPr>
        <w:footnoteReference w:id="256"/>
      </w:r>
      <w:r>
        <w:t xml:space="preserve"> </w:t>
      </w:r>
    </w:p>
    <w:p w14:paraId="79E7C830" w14:textId="77777777" w:rsidR="00181C16" w:rsidRDefault="00181C16" w:rsidP="00181C16">
      <w:pPr>
        <w:pStyle w:val="Heading2"/>
      </w:pPr>
      <w:bookmarkStart w:id="172" w:name="_Toc196750005"/>
      <w:bookmarkStart w:id="173" w:name="_Toc196826850"/>
      <w:r>
        <w:t>“Gender identity” as a potential alternative</w:t>
      </w:r>
      <w:bookmarkEnd w:id="172"/>
      <w:bookmarkEnd w:id="173"/>
      <w:r>
        <w:t xml:space="preserve"> </w:t>
      </w:r>
    </w:p>
    <w:p w14:paraId="4BF7C928" w14:textId="77777777" w:rsidR="00181C16" w:rsidRDefault="00181C16" w:rsidP="00181C16">
      <w:pPr>
        <w:pStyle w:val="NormalAutoChapter"/>
        <w:tabs>
          <w:tab w:val="clear" w:pos="720"/>
          <w:tab w:val="num" w:pos="2564"/>
        </w:tabs>
        <w:rPr>
          <w:lang w:eastAsia="en-US"/>
        </w:rPr>
      </w:pPr>
      <w:r>
        <w:rPr>
          <w:lang w:eastAsia="en-US"/>
        </w:rPr>
        <w:t xml:space="preserve">Aside from NSW and WA, discrimination laws across Australia </w:t>
      </w:r>
      <w:r w:rsidRPr="00487CF8">
        <w:rPr>
          <w:szCs w:val="22"/>
        </w:rPr>
        <w:t>include gender identity as a protected attribute.</w:t>
      </w:r>
      <w:r w:rsidRPr="00487CF8">
        <w:rPr>
          <w:rStyle w:val="FootnoteReference"/>
          <w:szCs w:val="22"/>
        </w:rPr>
        <w:footnoteReference w:id="257"/>
      </w:r>
      <w:r>
        <w:rPr>
          <w:szCs w:val="22"/>
        </w:rPr>
        <w:t xml:space="preserve"> </w:t>
      </w:r>
    </w:p>
    <w:p w14:paraId="7BECD6C6" w14:textId="77777777" w:rsidR="00181C16" w:rsidRDefault="00181C16" w:rsidP="00181C16">
      <w:pPr>
        <w:pStyle w:val="NormalAutoChapter"/>
        <w:tabs>
          <w:tab w:val="clear" w:pos="720"/>
          <w:tab w:val="num" w:pos="2564"/>
        </w:tabs>
        <w:rPr>
          <w:lang w:eastAsia="en-US"/>
        </w:rPr>
      </w:pPr>
      <w:r>
        <w:t xml:space="preserve">The </w:t>
      </w:r>
      <w:r w:rsidRPr="004853A1">
        <w:rPr>
          <w:i/>
          <w:iCs/>
        </w:rPr>
        <w:t>Sex Discrimination Act</w:t>
      </w:r>
      <w:r>
        <w:t xml:space="preserve"> and s 93Z of the </w:t>
      </w:r>
      <w:r w:rsidRPr="00301341">
        <w:rPr>
          <w:i/>
          <w:iCs/>
        </w:rPr>
        <w:t>Crimes Act</w:t>
      </w:r>
      <w:r>
        <w:rPr>
          <w:i/>
          <w:iCs/>
        </w:rPr>
        <w:t xml:space="preserve"> </w:t>
      </w:r>
      <w:r>
        <w:t>use the expression “gender identity”. Both define it as:</w:t>
      </w:r>
    </w:p>
    <w:p w14:paraId="47F86290" w14:textId="77777777" w:rsidR="00181C16" w:rsidRDefault="00181C16" w:rsidP="00181C16">
      <w:pPr>
        <w:pStyle w:val="Quotationnormal"/>
      </w:pPr>
      <w:r w:rsidRPr="00487CF8">
        <w:t>the gender</w:t>
      </w:r>
      <w:r>
        <w:t xml:space="preserve"> </w:t>
      </w:r>
      <w:r w:rsidRPr="00487CF8">
        <w:t>related identity, appearance or mannerisms or other gender</w:t>
      </w:r>
      <w:r>
        <w:t xml:space="preserve"> </w:t>
      </w:r>
      <w:r w:rsidRPr="00487CF8">
        <w:t>related characteristics of a person (whether by way of medical intervention or not), with or without regard to the person’s designated sex at birth</w:t>
      </w:r>
      <w:r>
        <w:t>.</w:t>
      </w:r>
      <w:r>
        <w:rPr>
          <w:rStyle w:val="FootnoteReference"/>
        </w:rPr>
        <w:footnoteReference w:id="258"/>
      </w:r>
    </w:p>
    <w:p w14:paraId="1EEA193D" w14:textId="77777777" w:rsidR="00181C16" w:rsidRDefault="00181C16" w:rsidP="00181C16">
      <w:pPr>
        <w:pStyle w:val="NormalAutoChapter"/>
        <w:tabs>
          <w:tab w:val="clear" w:pos="720"/>
          <w:tab w:val="num" w:pos="2564"/>
        </w:tabs>
        <w:spacing w:after="240"/>
        <w:rPr>
          <w:lang w:eastAsia="en-US"/>
        </w:rPr>
      </w:pPr>
      <w:r>
        <w:rPr>
          <w:lang w:eastAsia="en-US"/>
        </w:rPr>
        <w:t>Courts have found this is broad enough to cover:</w:t>
      </w:r>
    </w:p>
    <w:p w14:paraId="15D6F45B" w14:textId="77777777" w:rsidR="00181C16" w:rsidRDefault="00181C16" w:rsidP="00181C16">
      <w:pPr>
        <w:pStyle w:val="Normalbullet"/>
      </w:pPr>
      <w:r>
        <w:lastRenderedPageBreak/>
        <w:t>transgender identity (when a person’s current gender differs from their assigned sex at birth)</w:t>
      </w:r>
    </w:p>
    <w:p w14:paraId="72690D90" w14:textId="77777777" w:rsidR="00181C16" w:rsidRDefault="00181C16" w:rsidP="00181C16">
      <w:pPr>
        <w:pStyle w:val="Normalbullet"/>
      </w:pPr>
      <w:r>
        <w:t>cisgender identity (when a</w:t>
      </w:r>
      <w:r w:rsidRPr="00616F16">
        <w:t xml:space="preserve"> person</w:t>
      </w:r>
      <w:r>
        <w:t xml:space="preserve">’s </w:t>
      </w:r>
      <w:r w:rsidRPr="00616F16">
        <w:t>gender corresponds to the sex registered for them at birth</w:t>
      </w:r>
      <w:r>
        <w:t>), and</w:t>
      </w:r>
    </w:p>
    <w:p w14:paraId="433A4A98" w14:textId="77777777" w:rsidR="00181C16" w:rsidRDefault="00181C16" w:rsidP="00181C16">
      <w:pPr>
        <w:pStyle w:val="Normalbullet"/>
      </w:pPr>
      <w:r>
        <w:t>“</w:t>
      </w:r>
      <w:proofErr w:type="gramStart"/>
      <w:r>
        <w:t>other</w:t>
      </w:r>
      <w:proofErr w:type="gramEnd"/>
      <w:r>
        <w:t xml:space="preserve"> kinds and aspects of gender identification”.</w:t>
      </w:r>
      <w:r>
        <w:rPr>
          <w:rStyle w:val="FootnoteReference"/>
        </w:rPr>
        <w:footnoteReference w:id="259"/>
      </w:r>
    </w:p>
    <w:p w14:paraId="2E4C77AC" w14:textId="77777777" w:rsidR="00181C16" w:rsidRDefault="00181C16" w:rsidP="00181C16">
      <w:pPr>
        <w:pStyle w:val="NormalAutoChapter"/>
        <w:tabs>
          <w:tab w:val="clear" w:pos="720"/>
          <w:tab w:val="num" w:pos="2564"/>
        </w:tabs>
        <w:spacing w:after="240"/>
        <w:rPr>
          <w:lang w:eastAsia="en-US"/>
        </w:rPr>
      </w:pPr>
      <w:r>
        <w:t xml:space="preserve">Queensland takes another approach, defining gender identity as being: </w:t>
      </w:r>
    </w:p>
    <w:p w14:paraId="4697BBC7" w14:textId="77777777" w:rsidR="00181C16" w:rsidRPr="00C24831" w:rsidRDefault="00181C16" w:rsidP="00181C16">
      <w:pPr>
        <w:pStyle w:val="Quotation1hanging"/>
        <w:rPr>
          <w:lang w:eastAsia="en-AU"/>
        </w:rPr>
      </w:pPr>
      <w:r w:rsidRPr="00C24831">
        <w:rPr>
          <w:lang w:eastAsia="en-AU"/>
        </w:rPr>
        <w:t>(a)</w:t>
      </w:r>
      <w:r>
        <w:rPr>
          <w:lang w:eastAsia="en-AU"/>
        </w:rPr>
        <w:tab/>
      </w:r>
      <w:r w:rsidRPr="00C24831">
        <w:rPr>
          <w:lang w:eastAsia="en-AU"/>
        </w:rPr>
        <w:t xml:space="preserve">the person’s internal and individual experience of gender, </w:t>
      </w:r>
      <w:proofErr w:type="gramStart"/>
      <w:r w:rsidRPr="00C24831">
        <w:rPr>
          <w:lang w:eastAsia="en-AU"/>
        </w:rPr>
        <w:t>whether or not</w:t>
      </w:r>
      <w:proofErr w:type="gramEnd"/>
      <w:r w:rsidRPr="00C24831">
        <w:rPr>
          <w:lang w:eastAsia="en-AU"/>
        </w:rPr>
        <w:t xml:space="preserve"> it corresponds with the sex assigned to the person at birth; and</w:t>
      </w:r>
    </w:p>
    <w:p w14:paraId="460BA745" w14:textId="77777777" w:rsidR="00181C16" w:rsidRPr="00C24831" w:rsidRDefault="00181C16" w:rsidP="00181C16">
      <w:pPr>
        <w:pStyle w:val="Quotation1hanging"/>
        <w:rPr>
          <w:lang w:eastAsia="en-AU"/>
        </w:rPr>
      </w:pPr>
      <w:r w:rsidRPr="00C24831">
        <w:rPr>
          <w:lang w:eastAsia="en-AU"/>
        </w:rPr>
        <w:t>(b)</w:t>
      </w:r>
      <w:r>
        <w:rPr>
          <w:lang w:eastAsia="en-AU"/>
        </w:rPr>
        <w:tab/>
      </w:r>
      <w:r w:rsidRPr="00C24831">
        <w:rPr>
          <w:lang w:eastAsia="en-AU"/>
        </w:rPr>
        <w:t>without limiting paragraph (a), includes—</w:t>
      </w:r>
    </w:p>
    <w:p w14:paraId="481CE413" w14:textId="77777777" w:rsidR="00181C16" w:rsidRPr="00C24831" w:rsidRDefault="00181C16" w:rsidP="00181C16">
      <w:pPr>
        <w:pStyle w:val="Quotationahanging"/>
        <w:rPr>
          <w:lang w:eastAsia="en-AU"/>
        </w:rPr>
      </w:pPr>
      <w:r w:rsidRPr="00C24831">
        <w:rPr>
          <w:lang w:eastAsia="en-AU"/>
        </w:rPr>
        <w:t>(</w:t>
      </w:r>
      <w:proofErr w:type="spellStart"/>
      <w:r w:rsidRPr="00C24831">
        <w:rPr>
          <w:lang w:eastAsia="en-AU"/>
        </w:rPr>
        <w:t>i</w:t>
      </w:r>
      <w:proofErr w:type="spellEnd"/>
      <w:r w:rsidRPr="00C24831">
        <w:rPr>
          <w:lang w:eastAsia="en-AU"/>
        </w:rPr>
        <w:t>)</w:t>
      </w:r>
      <w:r>
        <w:rPr>
          <w:lang w:eastAsia="en-AU"/>
        </w:rPr>
        <w:tab/>
      </w:r>
      <w:r w:rsidRPr="00C24831">
        <w:rPr>
          <w:lang w:eastAsia="en-AU"/>
        </w:rPr>
        <w:t>the person’s personal sense of the body; and</w:t>
      </w:r>
    </w:p>
    <w:p w14:paraId="176676DC" w14:textId="77777777" w:rsidR="00181C16" w:rsidRPr="00C24831" w:rsidRDefault="00181C16" w:rsidP="00181C16">
      <w:pPr>
        <w:pStyle w:val="Quotationahanging"/>
        <w:rPr>
          <w:lang w:eastAsia="en-AU"/>
        </w:rPr>
      </w:pPr>
      <w:r w:rsidRPr="00C24831">
        <w:rPr>
          <w:lang w:eastAsia="en-AU"/>
        </w:rPr>
        <w:t>(ii)</w:t>
      </w:r>
      <w:r>
        <w:rPr>
          <w:lang w:eastAsia="en-AU"/>
        </w:rPr>
        <w:tab/>
      </w:r>
      <w:r w:rsidRPr="00C24831">
        <w:rPr>
          <w:lang w:eastAsia="en-AU"/>
        </w:rPr>
        <w:t>if freely chosen</w:t>
      </w:r>
      <w:r>
        <w:rPr>
          <w:lang w:eastAsia="en-AU"/>
        </w:rPr>
        <w:t xml:space="preserve"> </w:t>
      </w:r>
      <w:r w:rsidRPr="00C24831">
        <w:rPr>
          <w:lang w:eastAsia="en-AU"/>
        </w:rPr>
        <w:t>—</w:t>
      </w:r>
      <w:r>
        <w:rPr>
          <w:lang w:eastAsia="en-AU"/>
        </w:rPr>
        <w:t xml:space="preserve"> </w:t>
      </w:r>
      <w:r w:rsidRPr="00C24831">
        <w:rPr>
          <w:lang w:eastAsia="en-AU"/>
        </w:rPr>
        <w:t>modification of the person’s bodily appearance or functions by medical, surgical or other means; and</w:t>
      </w:r>
    </w:p>
    <w:p w14:paraId="50EA941D" w14:textId="77777777" w:rsidR="00181C16" w:rsidRPr="001411C4" w:rsidRDefault="00181C16" w:rsidP="00181C16">
      <w:pPr>
        <w:pStyle w:val="Quotationahanging"/>
        <w:rPr>
          <w:lang w:eastAsia="en-AU"/>
        </w:rPr>
      </w:pPr>
      <w:r w:rsidRPr="00C24831">
        <w:rPr>
          <w:lang w:eastAsia="en-AU"/>
        </w:rPr>
        <w:t>(iii)</w:t>
      </w:r>
      <w:r>
        <w:rPr>
          <w:lang w:eastAsia="en-AU"/>
        </w:rPr>
        <w:tab/>
      </w:r>
      <w:r w:rsidRPr="00C24831">
        <w:rPr>
          <w:lang w:eastAsia="en-AU"/>
        </w:rPr>
        <w:t>other expressions of the person’s gender, including name, dress, speech and behaviour.</w:t>
      </w:r>
      <w:r w:rsidRPr="006646F9">
        <w:rPr>
          <w:rStyle w:val="FootnoteReference"/>
          <w:lang w:eastAsia="en-AU"/>
        </w:rPr>
        <w:t xml:space="preserve"> </w:t>
      </w:r>
      <w:r>
        <w:rPr>
          <w:rStyle w:val="FootnoteReference"/>
          <w:lang w:eastAsia="en-AU"/>
        </w:rPr>
        <w:footnoteReference w:id="260"/>
      </w:r>
    </w:p>
    <w:p w14:paraId="5240ED3B" w14:textId="77777777" w:rsidR="00181C16" w:rsidRPr="0046035F" w:rsidRDefault="00181C16" w:rsidP="00181C16">
      <w:pPr>
        <w:pStyle w:val="NormalAutoChapter"/>
        <w:tabs>
          <w:tab w:val="clear" w:pos="720"/>
          <w:tab w:val="num" w:pos="2564"/>
        </w:tabs>
        <w:rPr>
          <w:lang w:eastAsia="en-US"/>
        </w:rPr>
      </w:pPr>
      <w:r w:rsidRPr="0046035F">
        <w:rPr>
          <w:lang w:eastAsia="en-US"/>
        </w:rPr>
        <w:t>This aligns with</w:t>
      </w:r>
      <w:r>
        <w:t xml:space="preserve"> human rights law p</w:t>
      </w:r>
      <w:r w:rsidRPr="00351663">
        <w:t>rinciples</w:t>
      </w:r>
      <w:r>
        <w:t xml:space="preserve"> on sexual orientation and gender identity, which were </w:t>
      </w:r>
      <w:r w:rsidRPr="00351663">
        <w:rPr>
          <w:color w:val="auto"/>
          <w:lang w:eastAsia="en-US"/>
        </w:rPr>
        <w:t xml:space="preserve">developed by international </w:t>
      </w:r>
      <w:r>
        <w:rPr>
          <w:color w:val="auto"/>
          <w:lang w:eastAsia="en-US"/>
        </w:rPr>
        <w:t xml:space="preserve">legal </w:t>
      </w:r>
      <w:r w:rsidRPr="00351663">
        <w:rPr>
          <w:color w:val="auto"/>
          <w:lang w:eastAsia="en-US"/>
        </w:rPr>
        <w:t>experts.</w:t>
      </w:r>
      <w:r w:rsidRPr="00351663">
        <w:rPr>
          <w:rStyle w:val="FootnoteReference"/>
        </w:rPr>
        <w:footnoteReference w:id="261"/>
      </w:r>
    </w:p>
    <w:p w14:paraId="1FD9E254" w14:textId="77777777" w:rsidR="00181C16" w:rsidRDefault="00181C16" w:rsidP="00181C16">
      <w:pPr>
        <w:pStyle w:val="NormalAutoChapter"/>
        <w:tabs>
          <w:tab w:val="clear" w:pos="720"/>
          <w:tab w:val="num" w:pos="2564"/>
        </w:tabs>
      </w:pPr>
      <w:r>
        <w:t>One issue is how an attribute of “gender identity” would operate alongside the comparator test for direct discrimination, if this remains.</w:t>
      </w:r>
      <w:r>
        <w:rPr>
          <w:rStyle w:val="FootnoteReference"/>
        </w:rPr>
        <w:footnoteReference w:id="262"/>
      </w:r>
      <w:r>
        <w:t xml:space="preserve"> The Federal Court dealt with this in a recent case by defining the “comparator” as a person who identifies as a “different gender identity” to the complainant.</w:t>
      </w:r>
      <w:r>
        <w:rPr>
          <w:rStyle w:val="FootnoteReference"/>
        </w:rPr>
        <w:footnoteReference w:id="263"/>
      </w:r>
      <w:r>
        <w:t xml:space="preserve"> However, </w:t>
      </w:r>
      <w:r w:rsidRPr="00EE05F6">
        <w:t>as we outline in chapter 3, some think the comparator test is too complicated</w:t>
      </w:r>
      <w:r>
        <w:t xml:space="preserve"> and should be removed.</w:t>
      </w:r>
    </w:p>
    <w:p w14:paraId="04CC6798" w14:textId="77777777" w:rsidR="00181C16" w:rsidRDefault="00181C16" w:rsidP="00181C16">
      <w:pPr>
        <w:pStyle w:val="Heading2"/>
        <w:rPr>
          <w:lang w:eastAsia="en-AU"/>
        </w:rPr>
      </w:pPr>
      <w:bookmarkStart w:id="174" w:name="_Toc196750006"/>
      <w:bookmarkStart w:id="175" w:name="_Toc196826851"/>
      <w:r>
        <w:t>Redefining “transgender grounds”</w:t>
      </w:r>
      <w:bookmarkEnd w:id="174"/>
      <w:bookmarkEnd w:id="175"/>
    </w:p>
    <w:p w14:paraId="30AED2BD" w14:textId="77777777" w:rsidR="00181C16" w:rsidRPr="00487CF8" w:rsidRDefault="00181C16" w:rsidP="00181C16">
      <w:pPr>
        <w:pStyle w:val="NormalAutoChapter"/>
        <w:tabs>
          <w:tab w:val="clear" w:pos="720"/>
          <w:tab w:val="num" w:pos="2564"/>
        </w:tabs>
      </w:pPr>
      <w:r>
        <w:rPr>
          <w:lang w:eastAsia="en-US"/>
        </w:rPr>
        <w:t xml:space="preserve">A less far-reaching option could be to keep the expression “transgender grounds”, but to redefine it. The original Equality Bill </w:t>
      </w:r>
      <w:r w:rsidRPr="00A7331F">
        <w:rPr>
          <w:color w:val="auto"/>
        </w:rPr>
        <w:t>proposed to remove the concept of a “recognised transgender person” from the ADA.</w:t>
      </w:r>
      <w:r>
        <w:rPr>
          <w:color w:val="auto"/>
        </w:rPr>
        <w:t xml:space="preserve"> It also proposed</w:t>
      </w:r>
      <w:r w:rsidRPr="00A7331F">
        <w:rPr>
          <w:color w:val="auto"/>
        </w:rPr>
        <w:t xml:space="preserve"> </w:t>
      </w:r>
      <w:r>
        <w:rPr>
          <w:lang w:eastAsia="en-US"/>
        </w:rPr>
        <w:t xml:space="preserve">to redefine “transgender person” as someone who: </w:t>
      </w:r>
    </w:p>
    <w:p w14:paraId="3DD7700E" w14:textId="77777777" w:rsidR="00181C16" w:rsidRPr="00487CF8" w:rsidRDefault="00181C16" w:rsidP="00181C16">
      <w:pPr>
        <w:pStyle w:val="Normalbullet"/>
      </w:pPr>
      <w:r w:rsidRPr="00487CF8">
        <w:t xml:space="preserve">lives as a member of another sex, or </w:t>
      </w:r>
    </w:p>
    <w:p w14:paraId="0CF2A94C" w14:textId="77777777" w:rsidR="00181C16" w:rsidRPr="00487CF8" w:rsidRDefault="00181C16" w:rsidP="00181C16">
      <w:pPr>
        <w:pStyle w:val="Normalbullet"/>
      </w:pPr>
      <w:r w:rsidRPr="00487CF8">
        <w:t>who identifies as a particular sex that is not exclusively male or female by living as a member of that sex.</w:t>
      </w:r>
      <w:r w:rsidRPr="00487CF8">
        <w:rPr>
          <w:rStyle w:val="FootnoteReference"/>
        </w:rPr>
        <w:footnoteReference w:id="264"/>
      </w:r>
      <w:r w:rsidRPr="00487CF8">
        <w:t xml:space="preserve"> </w:t>
      </w:r>
    </w:p>
    <w:p w14:paraId="545584C7" w14:textId="77777777" w:rsidR="00181C16" w:rsidRPr="00A7331F" w:rsidRDefault="00181C16" w:rsidP="00181C16">
      <w:pPr>
        <w:pStyle w:val="NormalAutoChapter"/>
        <w:tabs>
          <w:tab w:val="clear" w:pos="720"/>
          <w:tab w:val="num" w:pos="2564"/>
        </w:tabs>
        <w:rPr>
          <w:color w:val="auto"/>
        </w:rPr>
      </w:pPr>
      <w:r>
        <w:rPr>
          <w:lang w:eastAsia="en-US"/>
        </w:rPr>
        <w:lastRenderedPageBreak/>
        <w:t>However, as we note above, some advocates of the original Equality Bill intended this to only be an interim measure of protection. More broadly, they expressed a preference for an attribute of “gender identity”.</w:t>
      </w:r>
      <w:r>
        <w:rPr>
          <w:rStyle w:val="FootnoteReference"/>
        </w:rPr>
        <w:footnoteReference w:id="265"/>
      </w:r>
      <w:r>
        <w:t xml:space="preserve"> </w:t>
      </w:r>
    </w:p>
    <w:p w14:paraId="6FD39AA9" w14:textId="77777777" w:rsidR="00181C16" w:rsidRPr="00392A23" w:rsidRDefault="00181C16" w:rsidP="00181C16">
      <w:pPr>
        <w:pStyle w:val="Recommendationheading"/>
      </w:pPr>
      <w:r w:rsidRPr="00392A23">
        <w:t>Question 4.8: Discrimination on transgender grounds</w:t>
      </w:r>
    </w:p>
    <w:p w14:paraId="23E13377" w14:textId="77777777" w:rsidR="00181C16" w:rsidRPr="00392A23" w:rsidRDefault="00181C16" w:rsidP="00181C16">
      <w:pPr>
        <w:pStyle w:val="Recommendationnormal"/>
      </w:pPr>
      <w:r w:rsidRPr="00392A23">
        <w:t>What changes, if any, should be made to the way the ADA expresses and defines the protected attribute of “transgender grounds”?</w:t>
      </w:r>
    </w:p>
    <w:p w14:paraId="11802FA1" w14:textId="77777777" w:rsidR="00181C16" w:rsidRDefault="00181C16" w:rsidP="00181C16">
      <w:pPr>
        <w:pStyle w:val="Heading1"/>
      </w:pPr>
      <w:bookmarkStart w:id="176" w:name="_Toc196750007"/>
      <w:bookmarkStart w:id="177" w:name="_Toc196826852"/>
      <w:r>
        <w:t>Extending existing protections</w:t>
      </w:r>
      <w:bookmarkEnd w:id="176"/>
      <w:bookmarkEnd w:id="177"/>
    </w:p>
    <w:p w14:paraId="7DAFED54" w14:textId="77777777" w:rsidR="00181C16" w:rsidRDefault="00181C16" w:rsidP="00181C16">
      <w:pPr>
        <w:pStyle w:val="NormalAutoChapter"/>
        <w:tabs>
          <w:tab w:val="clear" w:pos="720"/>
          <w:tab w:val="num" w:pos="2564"/>
        </w:tabs>
      </w:pPr>
      <w:r>
        <w:t xml:space="preserve">Another related question is whether the existing attributes should be extended in the ways described below. </w:t>
      </w:r>
    </w:p>
    <w:p w14:paraId="6130B868" w14:textId="77777777" w:rsidR="00181C16" w:rsidRPr="00487CF8" w:rsidRDefault="00181C16" w:rsidP="00181C16">
      <w:pPr>
        <w:pStyle w:val="Heading2"/>
      </w:pPr>
      <w:bookmarkStart w:id="178" w:name="_Toc196750008"/>
      <w:bookmarkStart w:id="179" w:name="_Toc196826853"/>
      <w:r>
        <w:t>P</w:t>
      </w:r>
      <w:r w:rsidRPr="00487CF8">
        <w:t xml:space="preserve">ast </w:t>
      </w:r>
      <w:r>
        <w:t>or</w:t>
      </w:r>
      <w:r w:rsidRPr="00487CF8">
        <w:t xml:space="preserve"> future attributes</w:t>
      </w:r>
      <w:bookmarkEnd w:id="178"/>
      <w:bookmarkEnd w:id="179"/>
    </w:p>
    <w:p w14:paraId="251F6897" w14:textId="3105F3D5" w:rsidR="00181C16" w:rsidRPr="00487CF8" w:rsidRDefault="00181C16" w:rsidP="00181C16">
      <w:pPr>
        <w:pStyle w:val="NormalAutoChapter"/>
        <w:tabs>
          <w:tab w:val="clear" w:pos="720"/>
          <w:tab w:val="num" w:pos="2564"/>
        </w:tabs>
      </w:pPr>
      <w:r>
        <w:rPr>
          <w:color w:val="auto"/>
        </w:rPr>
        <w:t>One reform option could involve extending a feature that already applies to disability and carer discrimination. As noted above, th</w:t>
      </w:r>
      <w:r w:rsidRPr="00487CF8">
        <w:rPr>
          <w:color w:val="auto"/>
        </w:rPr>
        <w:t xml:space="preserve">e ADA protects against discrimination </w:t>
      </w:r>
      <w:r>
        <w:rPr>
          <w:color w:val="auto"/>
        </w:rPr>
        <w:t xml:space="preserve">based </w:t>
      </w:r>
      <w:r w:rsidRPr="00487CF8">
        <w:rPr>
          <w:color w:val="auto"/>
        </w:rPr>
        <w:t>o</w:t>
      </w:r>
      <w:r>
        <w:rPr>
          <w:color w:val="auto"/>
        </w:rPr>
        <w:t>n</w:t>
      </w:r>
      <w:r w:rsidRPr="00487CF8">
        <w:rPr>
          <w:color w:val="auto"/>
        </w:rPr>
        <w:t xml:space="preserve"> </w:t>
      </w:r>
      <w:r>
        <w:rPr>
          <w:color w:val="auto"/>
        </w:rPr>
        <w:t xml:space="preserve">someone’s </w:t>
      </w:r>
      <w:r>
        <w:t>past or future disability, or their past or future carer’s responsibilities.</w:t>
      </w:r>
      <w:r w:rsidRPr="00487CF8">
        <w:rPr>
          <w:rStyle w:val="FootnoteReference"/>
        </w:rPr>
        <w:footnoteReference w:id="266"/>
      </w:r>
      <w:r w:rsidRPr="00487CF8">
        <w:t xml:space="preserve"> </w:t>
      </w:r>
      <w:r>
        <w:t>But this only applies to disability and carer discrimination and not generally across all attributes.</w:t>
      </w:r>
    </w:p>
    <w:p w14:paraId="40FC3788" w14:textId="77777777" w:rsidR="00181C16" w:rsidRPr="00AD7789" w:rsidRDefault="00181C16" w:rsidP="00181C16">
      <w:pPr>
        <w:pStyle w:val="NormalAutoChapter"/>
        <w:tabs>
          <w:tab w:val="clear" w:pos="720"/>
          <w:tab w:val="num" w:pos="2564"/>
        </w:tabs>
        <w:rPr>
          <w:color w:val="auto"/>
        </w:rPr>
      </w:pPr>
      <w:r w:rsidRPr="00AD7789">
        <w:rPr>
          <w:color w:val="auto"/>
          <w:lang w:eastAsia="en-US"/>
        </w:rPr>
        <w:t xml:space="preserve">Some other Australian discrimination laws more broadly protect against discrimination based on an attribute that </w:t>
      </w:r>
      <w:r>
        <w:rPr>
          <w:color w:val="auto"/>
          <w:lang w:eastAsia="en-US"/>
        </w:rPr>
        <w:t>someone</w:t>
      </w:r>
      <w:r w:rsidRPr="00AD7789">
        <w:rPr>
          <w:color w:val="auto"/>
          <w:lang w:eastAsia="en-US"/>
        </w:rPr>
        <w:t xml:space="preserve"> had in the past</w:t>
      </w:r>
      <w:r w:rsidRPr="00AD7789">
        <w:rPr>
          <w:color w:val="auto"/>
        </w:rPr>
        <w:t>.</w:t>
      </w:r>
      <w:r w:rsidRPr="00AD7789">
        <w:rPr>
          <w:rStyle w:val="FootnoteReference"/>
          <w:color w:val="auto"/>
        </w:rPr>
        <w:footnoteReference w:id="267"/>
      </w:r>
      <w:r w:rsidRPr="00AD7789">
        <w:rPr>
          <w:color w:val="auto"/>
        </w:rPr>
        <w:t xml:space="preserve"> The LRCWA also recommended protecting </w:t>
      </w:r>
      <w:r>
        <w:rPr>
          <w:color w:val="auto"/>
        </w:rPr>
        <w:t xml:space="preserve">against discrimination based on </w:t>
      </w:r>
      <w:r w:rsidRPr="00AD7789">
        <w:rPr>
          <w:color w:val="auto"/>
        </w:rPr>
        <w:t>an attribute that</w:t>
      </w:r>
      <w:r>
        <w:rPr>
          <w:color w:val="auto"/>
        </w:rPr>
        <w:t xml:space="preserve"> someone is </w:t>
      </w:r>
      <w:r w:rsidRPr="00AD7789">
        <w:rPr>
          <w:color w:val="auto"/>
        </w:rPr>
        <w:t>planning</w:t>
      </w:r>
      <w:r>
        <w:rPr>
          <w:color w:val="auto"/>
        </w:rPr>
        <w:t>,</w:t>
      </w:r>
      <w:r w:rsidRPr="00AD7789">
        <w:rPr>
          <w:color w:val="auto"/>
        </w:rPr>
        <w:t xml:space="preserve"> or proposing</w:t>
      </w:r>
      <w:r>
        <w:rPr>
          <w:color w:val="auto"/>
        </w:rPr>
        <w:t>,</w:t>
      </w:r>
      <w:r w:rsidRPr="00AD7789">
        <w:rPr>
          <w:color w:val="auto"/>
        </w:rPr>
        <w:t xml:space="preserve"> to adopt in the future.</w:t>
      </w:r>
      <w:r w:rsidRPr="00AD7789">
        <w:rPr>
          <w:rStyle w:val="FootnoteReference"/>
          <w:color w:val="auto"/>
        </w:rPr>
        <w:footnoteReference w:id="268"/>
      </w:r>
      <w:r>
        <w:rPr>
          <w:rStyle w:val="CommentReference"/>
          <w:rFonts w:ascii="Public Sans Light" w:hAnsi="Public Sans Light" w:cs="Times New Roman"/>
          <w:color w:val="auto"/>
          <w:lang w:eastAsia="en-US"/>
        </w:rPr>
        <w:t xml:space="preserve"> </w:t>
      </w:r>
    </w:p>
    <w:p w14:paraId="26EB2B9B" w14:textId="77777777" w:rsidR="00181C16" w:rsidRPr="00487CF8" w:rsidRDefault="00181C16" w:rsidP="00181C16">
      <w:pPr>
        <w:pStyle w:val="Heading2"/>
        <w:rPr>
          <w:color w:val="auto"/>
        </w:rPr>
      </w:pPr>
      <w:bookmarkStart w:id="180" w:name="_Toc196750009"/>
      <w:bookmarkStart w:id="181" w:name="_Toc196826854"/>
      <w:r>
        <w:t>R</w:t>
      </w:r>
      <w:r w:rsidRPr="00487CF8">
        <w:t xml:space="preserve">elatives and associates </w:t>
      </w:r>
      <w:r>
        <w:t>of people with protected attributes</w:t>
      </w:r>
      <w:bookmarkEnd w:id="180"/>
      <w:bookmarkEnd w:id="181"/>
    </w:p>
    <w:p w14:paraId="26F4B2ED" w14:textId="77777777" w:rsidR="00181C16" w:rsidRPr="00036E9D" w:rsidRDefault="00181C16" w:rsidP="00181C16">
      <w:pPr>
        <w:pStyle w:val="NormalAutoChapter"/>
        <w:tabs>
          <w:tab w:val="clear" w:pos="720"/>
          <w:tab w:val="num" w:pos="2564"/>
        </w:tabs>
        <w:rPr>
          <w:color w:val="auto"/>
          <w:lang w:eastAsia="en-US"/>
        </w:rPr>
      </w:pPr>
      <w:r>
        <w:rPr>
          <w:color w:val="auto"/>
          <w:lang w:eastAsia="en-US"/>
        </w:rPr>
        <w:t xml:space="preserve">Another option could be to extend protections to relatives and associates of people with a recognised attribute, in all cases. As we explain </w:t>
      </w:r>
      <w:r w:rsidRPr="00EE05F6">
        <w:rPr>
          <w:color w:val="auto"/>
          <w:lang w:eastAsia="en-US"/>
        </w:rPr>
        <w:t>in chapter 3,</w:t>
      </w:r>
      <w:r>
        <w:rPr>
          <w:color w:val="auto"/>
          <w:lang w:eastAsia="en-US"/>
        </w:rPr>
        <w:t xml:space="preserve"> </w:t>
      </w:r>
      <w:r w:rsidRPr="00036E9D">
        <w:rPr>
          <w:color w:val="auto"/>
          <w:lang w:eastAsia="en-US"/>
        </w:rPr>
        <w:t xml:space="preserve">the ADA </w:t>
      </w:r>
      <w:r>
        <w:rPr>
          <w:color w:val="auto"/>
          <w:lang w:eastAsia="en-US"/>
        </w:rPr>
        <w:t xml:space="preserve">generally </w:t>
      </w:r>
      <w:r w:rsidRPr="00036E9D">
        <w:rPr>
          <w:color w:val="auto"/>
          <w:lang w:eastAsia="en-US"/>
        </w:rPr>
        <w:t xml:space="preserve">protects </w:t>
      </w:r>
      <w:r>
        <w:rPr>
          <w:color w:val="auto"/>
          <w:lang w:eastAsia="en-US"/>
        </w:rPr>
        <w:t xml:space="preserve">someone </w:t>
      </w:r>
      <w:r w:rsidRPr="00036E9D">
        <w:rPr>
          <w:color w:val="auto"/>
          <w:lang w:eastAsia="en-US"/>
        </w:rPr>
        <w:t>against direct discrimination based on a protected attribute that they</w:t>
      </w:r>
      <w:r>
        <w:rPr>
          <w:color w:val="auto"/>
          <w:lang w:eastAsia="en-US"/>
        </w:rPr>
        <w:t>,</w:t>
      </w:r>
      <w:r w:rsidRPr="00036E9D">
        <w:rPr>
          <w:color w:val="auto"/>
          <w:lang w:eastAsia="en-US"/>
        </w:rPr>
        <w:t xml:space="preserve"> or that their relative or associate</w:t>
      </w:r>
      <w:r>
        <w:rPr>
          <w:color w:val="auto"/>
          <w:lang w:eastAsia="en-US"/>
        </w:rPr>
        <w:t>, has</w:t>
      </w:r>
      <w:r w:rsidRPr="00036E9D">
        <w:rPr>
          <w:color w:val="auto"/>
          <w:lang w:eastAsia="en-US"/>
        </w:rPr>
        <w:t>.</w:t>
      </w:r>
      <w:r>
        <w:rPr>
          <w:rStyle w:val="FootnoteReference"/>
        </w:rPr>
        <w:footnoteReference w:id="269"/>
      </w:r>
      <w:r>
        <w:t xml:space="preserve"> </w:t>
      </w:r>
      <w:r w:rsidRPr="00036E9D">
        <w:rPr>
          <w:color w:val="auto"/>
          <w:lang w:eastAsia="en-US"/>
        </w:rPr>
        <w:t>However, this does</w:t>
      </w:r>
      <w:r>
        <w:rPr>
          <w:color w:val="auto"/>
          <w:lang w:eastAsia="en-US"/>
        </w:rPr>
        <w:t xml:space="preserve"> not</w:t>
      </w:r>
      <w:r w:rsidRPr="00036E9D">
        <w:rPr>
          <w:color w:val="auto"/>
          <w:lang w:eastAsia="en-US"/>
        </w:rPr>
        <w:t xml:space="preserve"> apply to direct discrimination based on carer’s responsibility. And it does</w:t>
      </w:r>
      <w:r>
        <w:rPr>
          <w:color w:val="auto"/>
          <w:lang w:eastAsia="en-US"/>
        </w:rPr>
        <w:t xml:space="preserve"> not</w:t>
      </w:r>
      <w:r w:rsidRPr="00036E9D">
        <w:rPr>
          <w:color w:val="auto"/>
          <w:lang w:eastAsia="en-US"/>
        </w:rPr>
        <w:t xml:space="preserve"> form part of the test for indirect discrimination for any attribute. </w:t>
      </w:r>
    </w:p>
    <w:p w14:paraId="1480EADE" w14:textId="77777777" w:rsidR="00181C16" w:rsidRPr="00A133DE" w:rsidRDefault="00181C16" w:rsidP="00181C16">
      <w:pPr>
        <w:pStyle w:val="NormalAutoChapter"/>
        <w:tabs>
          <w:tab w:val="clear" w:pos="720"/>
          <w:tab w:val="num" w:pos="2564"/>
        </w:tabs>
        <w:rPr>
          <w:color w:val="000000" w:themeColor="text1"/>
        </w:rPr>
      </w:pPr>
      <w:r>
        <w:lastRenderedPageBreak/>
        <w:t xml:space="preserve">Adding a specific protected attribute could address this. </w:t>
      </w:r>
      <w:r>
        <w:rPr>
          <w:color w:val="000000" w:themeColor="text1"/>
        </w:rPr>
        <w:t xml:space="preserve">Other discrimination laws </w:t>
      </w:r>
      <w:r w:rsidRPr="00A133DE">
        <w:rPr>
          <w:color w:val="auto"/>
        </w:rPr>
        <w:t>identify</w:t>
      </w:r>
      <w:r>
        <w:rPr>
          <w:color w:val="auto"/>
        </w:rPr>
        <w:t xml:space="preserve"> being an </w:t>
      </w:r>
      <w:r w:rsidRPr="00A133DE">
        <w:rPr>
          <w:color w:val="auto"/>
        </w:rPr>
        <w:t xml:space="preserve">“associate” of </w:t>
      </w:r>
      <w:r>
        <w:rPr>
          <w:color w:val="auto"/>
        </w:rPr>
        <w:t xml:space="preserve">someone with a protected </w:t>
      </w:r>
      <w:r w:rsidRPr="00A133DE">
        <w:rPr>
          <w:color w:val="auto"/>
        </w:rPr>
        <w:t>attribute</w:t>
      </w:r>
      <w:r>
        <w:rPr>
          <w:color w:val="auto"/>
        </w:rPr>
        <w:t>,</w:t>
      </w:r>
      <w:r w:rsidRPr="00A133DE">
        <w:rPr>
          <w:color w:val="auto"/>
        </w:rPr>
        <w:t xml:space="preserve"> as a protected attribute itself.</w:t>
      </w:r>
      <w:r w:rsidRPr="00487CF8">
        <w:rPr>
          <w:rStyle w:val="FootnoteReference"/>
          <w:color w:val="000000" w:themeColor="text1"/>
          <w:lang w:eastAsia="en-US"/>
        </w:rPr>
        <w:footnoteReference w:id="270"/>
      </w:r>
      <w:r>
        <w:rPr>
          <w:color w:val="auto"/>
        </w:rPr>
        <w:t xml:space="preserve"> </w:t>
      </w:r>
      <w:r w:rsidRPr="00A133DE">
        <w:rPr>
          <w:color w:val="auto"/>
          <w:lang w:eastAsia="en-US"/>
        </w:rPr>
        <w:t xml:space="preserve">This </w:t>
      </w:r>
      <w:r>
        <w:rPr>
          <w:color w:val="auto"/>
          <w:lang w:eastAsia="en-US"/>
        </w:rPr>
        <w:t xml:space="preserve">covers </w:t>
      </w:r>
      <w:r w:rsidRPr="00A133DE">
        <w:rPr>
          <w:color w:val="auto"/>
          <w:lang w:eastAsia="en-US"/>
        </w:rPr>
        <w:t>relatives</w:t>
      </w:r>
      <w:r w:rsidRPr="00A133DE">
        <w:rPr>
          <w:color w:val="000000" w:themeColor="text1"/>
          <w:lang w:eastAsia="en-US"/>
        </w:rPr>
        <w:t xml:space="preserve"> and associates under both the direct and indirect discrimination tests.</w:t>
      </w:r>
      <w:r>
        <w:rPr>
          <w:color w:val="000000" w:themeColor="text1"/>
          <w:lang w:eastAsia="en-US"/>
        </w:rPr>
        <w:t xml:space="preserve"> </w:t>
      </w:r>
      <w:r>
        <w:t xml:space="preserve">This might </w:t>
      </w:r>
      <w:r w:rsidRPr="008911DB">
        <w:t xml:space="preserve">more </w:t>
      </w:r>
      <w:r>
        <w:t xml:space="preserve">clearly, and generally, </w:t>
      </w:r>
      <w:r w:rsidRPr="008911DB">
        <w:t>protect against discrimination</w:t>
      </w:r>
      <w:r>
        <w:t xml:space="preserve"> </w:t>
      </w:r>
      <w:r w:rsidRPr="008911DB">
        <w:t>based on</w:t>
      </w:r>
      <w:r>
        <w:t xml:space="preserve"> having a relationship with someone with </w:t>
      </w:r>
      <w:r w:rsidRPr="00A133DE">
        <w:rPr>
          <w:color w:val="000000" w:themeColor="text1"/>
        </w:rPr>
        <w:t xml:space="preserve">a protected attribute. </w:t>
      </w:r>
    </w:p>
    <w:p w14:paraId="30BF060A" w14:textId="77777777" w:rsidR="00181C16" w:rsidRPr="00BD1506" w:rsidRDefault="00181C16" w:rsidP="00181C16">
      <w:pPr>
        <w:pStyle w:val="Recommendationheading"/>
      </w:pPr>
      <w:r w:rsidRPr="00BD1506">
        <w:t>Question 4.9: Extending existing protections</w:t>
      </w:r>
    </w:p>
    <w:p w14:paraId="2B577ABC" w14:textId="77777777" w:rsidR="00181C16" w:rsidRPr="00B56298" w:rsidRDefault="00181C16" w:rsidP="00181C16">
      <w:pPr>
        <w:pStyle w:val="Recommendationhanging1"/>
      </w:pPr>
      <w:r w:rsidRPr="00B56298">
        <w:t>(1)</w:t>
      </w:r>
      <w:r w:rsidRPr="00B56298">
        <w:tab/>
        <w:t xml:space="preserve">Should the ADA protect people against discrimination based on any protected attribute they have had in the past or may have in the future? </w:t>
      </w:r>
    </w:p>
    <w:p w14:paraId="560C549D" w14:textId="77777777" w:rsidR="00181C16" w:rsidRPr="00B56298" w:rsidRDefault="00181C16" w:rsidP="00181C16">
      <w:pPr>
        <w:pStyle w:val="Recommendationhanging1"/>
      </w:pPr>
      <w:r w:rsidRPr="00B56298">
        <w:t>(2)</w:t>
      </w:r>
      <w:r w:rsidRPr="00B56298">
        <w:tab/>
        <w:t xml:space="preserve">Should the ADA include an attribute which protects against discrimination based on being a relative or associate of someone with any other protected attribute? </w:t>
      </w:r>
    </w:p>
    <w:p w14:paraId="5B0BB38A" w14:textId="77777777" w:rsidR="00181C16" w:rsidRDefault="00181C16" w:rsidP="00F41119">
      <w:pPr>
        <w:sectPr w:rsidR="00181C16" w:rsidSect="00744F61">
          <w:headerReference w:type="even" r:id="rId30"/>
          <w:footnotePr>
            <w:numRestart w:val="eachSect"/>
          </w:footnotePr>
          <w:pgSz w:w="11906" w:h="16838" w:code="9"/>
          <w:pgMar w:top="1701" w:right="1304" w:bottom="1021" w:left="1304" w:header="567" w:footer="567" w:gutter="0"/>
          <w:cols w:space="708"/>
          <w:docGrid w:linePitch="360"/>
        </w:sectPr>
      </w:pPr>
    </w:p>
    <w:p w14:paraId="0BE63566" w14:textId="77777777" w:rsidR="000B3E50" w:rsidRPr="00DE7BC8" w:rsidRDefault="000B3E50" w:rsidP="000B3E50">
      <w:pPr>
        <w:pStyle w:val="ChapterHeading"/>
      </w:pPr>
      <w:bookmarkStart w:id="182" w:name="_Toc196826855"/>
      <w:r w:rsidRPr="00DE7BC8">
        <w:lastRenderedPageBreak/>
        <w:t>Discrimination: potential new protected attributes</w:t>
      </w:r>
      <w:bookmarkEnd w:id="182"/>
      <w:r w:rsidRPr="00DE7BC8">
        <w:t xml:space="preserve"> </w:t>
      </w:r>
    </w:p>
    <w:p w14:paraId="199B3870" w14:textId="77777777" w:rsidR="000B3E50" w:rsidRPr="00DE7BC8" w:rsidRDefault="000B3E50" w:rsidP="000B3E50">
      <w:pPr>
        <w:pStyle w:val="InBriefHeading"/>
        <w:spacing w:after="0"/>
        <w:contextualSpacing w:val="0"/>
      </w:pPr>
      <w:r w:rsidRPr="00DE7BC8">
        <w:t xml:space="preserve">In brief  </w:t>
      </w:r>
    </w:p>
    <w:p w14:paraId="72D0E4DF" w14:textId="77777777" w:rsidR="000B3E50" w:rsidRPr="00DE7BC8" w:rsidRDefault="000B3E50" w:rsidP="000B3E50">
      <w:pPr>
        <w:pStyle w:val="InBriefText"/>
        <w:spacing w:before="0"/>
      </w:pPr>
      <w:r w:rsidRPr="00DE7BC8">
        <w:t xml:space="preserve">The </w:t>
      </w:r>
      <w:r w:rsidRPr="00DE7BC8">
        <w:rPr>
          <w:i/>
          <w:iCs/>
        </w:rPr>
        <w:t>Anti-Discrimination Act 1977</w:t>
      </w:r>
      <w:r w:rsidRPr="00DE7BC8">
        <w:t xml:space="preserve"> (NSW)</w:t>
      </w:r>
      <w:r>
        <w:t xml:space="preserve"> (ADA) </w:t>
      </w:r>
      <w:r w:rsidRPr="00DE7BC8">
        <w:t>only protects against discrimination and vilification based on certain, specified attributes. In this chapter we ask if the ADA should recognise and protect against discrimination based on other attributes.</w:t>
      </w:r>
    </w:p>
    <w:p w14:paraId="52E92417" w14:textId="3E9BFA9A" w:rsidR="000B3E50" w:rsidRPr="00B55200" w:rsidRDefault="000B3E50" w:rsidP="000B3E50">
      <w:pPr>
        <w:pStyle w:val="TOC2"/>
        <w:rPr>
          <w:rFonts w:eastAsiaTheme="minorEastAsia" w:cstheme="minorBidi"/>
          <w:b w:val="0"/>
          <w:color w:val="auto"/>
          <w:kern w:val="2"/>
          <w:sz w:val="24"/>
          <w:u w:val="none"/>
          <w:lang w:eastAsia="en-AU"/>
          <w14:ligatures w14:val="standardContextual"/>
        </w:rPr>
      </w:pPr>
      <w:r w:rsidRPr="00DE7BC8">
        <w:rPr>
          <w:noProof w:val="0"/>
        </w:rPr>
        <w:fldChar w:fldCharType="begin"/>
      </w:r>
      <w:r w:rsidRPr="00DE7BC8">
        <w:rPr>
          <w:noProof w:val="0"/>
        </w:rPr>
        <w:instrText xml:space="preserve"> TOC \h \z \t "Heading 1,2,Heading 2,3,Heading - Major,1,Heading default,1,Title page 1,1" </w:instrText>
      </w:r>
      <w:r w:rsidRPr="00DE7BC8">
        <w:rPr>
          <w:noProof w:val="0"/>
        </w:rPr>
        <w:fldChar w:fldCharType="separate"/>
      </w:r>
      <w:hyperlink w:anchor="_Toc196808027" w:history="1">
        <w:r w:rsidRPr="00B55200">
          <w:rPr>
            <w:rStyle w:val="Hyperlink"/>
            <w:rFonts w:ascii="Public Sans" w:hAnsi="Public Sans"/>
          </w:rPr>
          <w:t>Principles that could guide reform</w:t>
        </w:r>
        <w:r w:rsidRPr="00B55200">
          <w:rPr>
            <w:webHidden/>
          </w:rPr>
          <w:tab/>
        </w:r>
        <w:r w:rsidRPr="00B55200">
          <w:rPr>
            <w:webHidden/>
          </w:rPr>
          <w:fldChar w:fldCharType="begin"/>
        </w:r>
        <w:r w:rsidRPr="00B55200">
          <w:rPr>
            <w:webHidden/>
          </w:rPr>
          <w:instrText xml:space="preserve"> PAGEREF _Toc196808027 \h </w:instrText>
        </w:r>
        <w:r w:rsidRPr="00B55200">
          <w:rPr>
            <w:webHidden/>
          </w:rPr>
        </w:r>
        <w:r w:rsidRPr="00B55200">
          <w:rPr>
            <w:webHidden/>
          </w:rPr>
          <w:fldChar w:fldCharType="separate"/>
        </w:r>
        <w:r w:rsidR="00F44BFC">
          <w:rPr>
            <w:webHidden/>
          </w:rPr>
          <w:t>66</w:t>
        </w:r>
        <w:r w:rsidRPr="00B55200">
          <w:rPr>
            <w:webHidden/>
          </w:rPr>
          <w:fldChar w:fldCharType="end"/>
        </w:r>
      </w:hyperlink>
    </w:p>
    <w:p w14:paraId="551A618B" w14:textId="215E3FFB" w:rsidR="000B3E50" w:rsidRPr="00B55200" w:rsidRDefault="000B3E50" w:rsidP="000B3E50">
      <w:pPr>
        <w:pStyle w:val="TOC3"/>
        <w:rPr>
          <w:rFonts w:eastAsiaTheme="minorEastAsia" w:cstheme="minorBidi"/>
          <w:color w:val="auto"/>
          <w:kern w:val="2"/>
          <w:sz w:val="24"/>
          <w:u w:val="none"/>
          <w:lang w:eastAsia="en-AU"/>
          <w14:ligatures w14:val="standardContextual"/>
        </w:rPr>
      </w:pPr>
      <w:hyperlink w:anchor="_Toc196808028" w:history="1">
        <w:r w:rsidRPr="00B55200">
          <w:rPr>
            <w:rStyle w:val="Hyperlink"/>
            <w:rFonts w:ascii="Public Sans" w:hAnsi="Public Sans"/>
          </w:rPr>
          <w:t>Identifying the guiding principles</w:t>
        </w:r>
        <w:r w:rsidRPr="00B55200">
          <w:rPr>
            <w:webHidden/>
          </w:rPr>
          <w:tab/>
        </w:r>
        <w:r w:rsidRPr="00B55200">
          <w:rPr>
            <w:webHidden/>
          </w:rPr>
          <w:fldChar w:fldCharType="begin"/>
        </w:r>
        <w:r w:rsidRPr="00B55200">
          <w:rPr>
            <w:webHidden/>
          </w:rPr>
          <w:instrText xml:space="preserve"> PAGEREF _Toc196808028 \h </w:instrText>
        </w:r>
        <w:r w:rsidRPr="00B55200">
          <w:rPr>
            <w:webHidden/>
          </w:rPr>
        </w:r>
        <w:r w:rsidRPr="00B55200">
          <w:rPr>
            <w:webHidden/>
          </w:rPr>
          <w:fldChar w:fldCharType="separate"/>
        </w:r>
        <w:r w:rsidR="00F44BFC">
          <w:rPr>
            <w:webHidden/>
          </w:rPr>
          <w:t>66</w:t>
        </w:r>
        <w:r w:rsidRPr="00B55200">
          <w:rPr>
            <w:webHidden/>
          </w:rPr>
          <w:fldChar w:fldCharType="end"/>
        </w:r>
      </w:hyperlink>
    </w:p>
    <w:p w14:paraId="701CED81" w14:textId="3DEC4AC4" w:rsidR="000B3E50" w:rsidRPr="00B55200" w:rsidRDefault="000B3E50" w:rsidP="000B3E50">
      <w:pPr>
        <w:pStyle w:val="TOC3"/>
        <w:rPr>
          <w:rFonts w:eastAsiaTheme="minorEastAsia" w:cstheme="minorBidi"/>
          <w:color w:val="auto"/>
          <w:kern w:val="2"/>
          <w:sz w:val="24"/>
          <w:u w:val="none"/>
          <w:lang w:eastAsia="en-AU"/>
          <w14:ligatures w14:val="standardContextual"/>
        </w:rPr>
      </w:pPr>
      <w:hyperlink w:anchor="_Toc196808029" w:history="1">
        <w:r w:rsidRPr="00B55200">
          <w:rPr>
            <w:rStyle w:val="Hyperlink"/>
            <w:rFonts w:ascii="Public Sans" w:hAnsi="Public Sans"/>
          </w:rPr>
          <w:t>Identifying gaps between federal and state law</w:t>
        </w:r>
        <w:r w:rsidRPr="00B55200">
          <w:rPr>
            <w:webHidden/>
          </w:rPr>
          <w:tab/>
        </w:r>
        <w:r w:rsidRPr="00B55200">
          <w:rPr>
            <w:webHidden/>
          </w:rPr>
          <w:fldChar w:fldCharType="begin"/>
        </w:r>
        <w:r w:rsidRPr="00B55200">
          <w:rPr>
            <w:webHidden/>
          </w:rPr>
          <w:instrText xml:space="preserve"> PAGEREF _Toc196808029 \h </w:instrText>
        </w:r>
        <w:r w:rsidRPr="00B55200">
          <w:rPr>
            <w:webHidden/>
          </w:rPr>
        </w:r>
        <w:r w:rsidRPr="00B55200">
          <w:rPr>
            <w:webHidden/>
          </w:rPr>
          <w:fldChar w:fldCharType="separate"/>
        </w:r>
        <w:r w:rsidR="00F44BFC">
          <w:rPr>
            <w:webHidden/>
          </w:rPr>
          <w:t>67</w:t>
        </w:r>
        <w:r w:rsidRPr="00B55200">
          <w:rPr>
            <w:webHidden/>
          </w:rPr>
          <w:fldChar w:fldCharType="end"/>
        </w:r>
      </w:hyperlink>
    </w:p>
    <w:p w14:paraId="20D0702A" w14:textId="037F3822" w:rsidR="000B3E50" w:rsidRPr="00B55200" w:rsidRDefault="000B3E50" w:rsidP="000B3E50">
      <w:pPr>
        <w:pStyle w:val="TOC2"/>
        <w:rPr>
          <w:rFonts w:eastAsiaTheme="minorEastAsia" w:cstheme="minorBidi"/>
          <w:b w:val="0"/>
          <w:color w:val="auto"/>
          <w:kern w:val="2"/>
          <w:sz w:val="24"/>
          <w:u w:val="none"/>
          <w:lang w:eastAsia="en-AU"/>
          <w14:ligatures w14:val="standardContextual"/>
        </w:rPr>
      </w:pPr>
      <w:hyperlink w:anchor="_Toc196808030" w:history="1">
        <w:r w:rsidRPr="00B55200">
          <w:rPr>
            <w:rStyle w:val="Hyperlink"/>
            <w:rFonts w:ascii="Public Sans" w:hAnsi="Public Sans"/>
          </w:rPr>
          <w:t>Some options for new protected attributes</w:t>
        </w:r>
        <w:r w:rsidRPr="00B55200">
          <w:rPr>
            <w:webHidden/>
          </w:rPr>
          <w:tab/>
        </w:r>
        <w:r w:rsidRPr="00B55200">
          <w:rPr>
            <w:webHidden/>
          </w:rPr>
          <w:fldChar w:fldCharType="begin"/>
        </w:r>
        <w:r w:rsidRPr="00B55200">
          <w:rPr>
            <w:webHidden/>
          </w:rPr>
          <w:instrText xml:space="preserve"> PAGEREF _Toc196808030 \h </w:instrText>
        </w:r>
        <w:r w:rsidRPr="00B55200">
          <w:rPr>
            <w:webHidden/>
          </w:rPr>
        </w:r>
        <w:r w:rsidRPr="00B55200">
          <w:rPr>
            <w:webHidden/>
          </w:rPr>
          <w:fldChar w:fldCharType="separate"/>
        </w:r>
        <w:r w:rsidR="00F44BFC">
          <w:rPr>
            <w:webHidden/>
          </w:rPr>
          <w:t>70</w:t>
        </w:r>
        <w:r w:rsidRPr="00B55200">
          <w:rPr>
            <w:webHidden/>
          </w:rPr>
          <w:fldChar w:fldCharType="end"/>
        </w:r>
      </w:hyperlink>
    </w:p>
    <w:p w14:paraId="776BD04C" w14:textId="05120F72" w:rsidR="000B3E50" w:rsidRPr="00B55200" w:rsidRDefault="000B3E50" w:rsidP="000B3E50">
      <w:pPr>
        <w:pStyle w:val="TOC3"/>
        <w:rPr>
          <w:rFonts w:eastAsiaTheme="minorEastAsia" w:cstheme="minorBidi"/>
          <w:color w:val="auto"/>
          <w:kern w:val="2"/>
          <w:sz w:val="24"/>
          <w:u w:val="none"/>
          <w:lang w:eastAsia="en-AU"/>
          <w14:ligatures w14:val="standardContextual"/>
        </w:rPr>
      </w:pPr>
      <w:hyperlink w:anchor="_Toc196808031" w:history="1">
        <w:r w:rsidRPr="00B55200">
          <w:rPr>
            <w:rStyle w:val="Hyperlink"/>
            <w:rFonts w:ascii="Public Sans" w:hAnsi="Public Sans"/>
          </w:rPr>
          <w:t>Irrelevant criminal record</w:t>
        </w:r>
        <w:r w:rsidRPr="00B55200">
          <w:rPr>
            <w:webHidden/>
          </w:rPr>
          <w:tab/>
        </w:r>
        <w:r w:rsidRPr="00B55200">
          <w:rPr>
            <w:webHidden/>
          </w:rPr>
          <w:fldChar w:fldCharType="begin"/>
        </w:r>
        <w:r w:rsidRPr="00B55200">
          <w:rPr>
            <w:webHidden/>
          </w:rPr>
          <w:instrText xml:space="preserve"> PAGEREF _Toc196808031 \h </w:instrText>
        </w:r>
        <w:r w:rsidRPr="00B55200">
          <w:rPr>
            <w:webHidden/>
          </w:rPr>
        </w:r>
        <w:r w:rsidRPr="00B55200">
          <w:rPr>
            <w:webHidden/>
          </w:rPr>
          <w:fldChar w:fldCharType="separate"/>
        </w:r>
        <w:r w:rsidR="00F44BFC">
          <w:rPr>
            <w:webHidden/>
          </w:rPr>
          <w:t>70</w:t>
        </w:r>
        <w:r w:rsidRPr="00B55200">
          <w:rPr>
            <w:webHidden/>
          </w:rPr>
          <w:fldChar w:fldCharType="end"/>
        </w:r>
      </w:hyperlink>
    </w:p>
    <w:p w14:paraId="7E22FA07" w14:textId="6216C9D1" w:rsidR="000B3E50" w:rsidRPr="00B55200" w:rsidRDefault="000B3E50" w:rsidP="000B3E50">
      <w:pPr>
        <w:pStyle w:val="TOC3"/>
        <w:rPr>
          <w:rFonts w:eastAsiaTheme="minorEastAsia" w:cstheme="minorBidi"/>
          <w:color w:val="auto"/>
          <w:kern w:val="2"/>
          <w:sz w:val="24"/>
          <w:u w:val="none"/>
          <w:lang w:eastAsia="en-AU"/>
          <w14:ligatures w14:val="standardContextual"/>
        </w:rPr>
      </w:pPr>
      <w:hyperlink w:anchor="_Toc196808032" w:history="1">
        <w:r w:rsidRPr="00B55200">
          <w:rPr>
            <w:rStyle w:val="Hyperlink"/>
            <w:rFonts w:ascii="Public Sans" w:hAnsi="Public Sans"/>
          </w:rPr>
          <w:t>Domestic and family violence</w:t>
        </w:r>
        <w:r w:rsidRPr="00B55200">
          <w:rPr>
            <w:webHidden/>
          </w:rPr>
          <w:tab/>
        </w:r>
        <w:r w:rsidRPr="00B55200">
          <w:rPr>
            <w:webHidden/>
          </w:rPr>
          <w:fldChar w:fldCharType="begin"/>
        </w:r>
        <w:r w:rsidRPr="00B55200">
          <w:rPr>
            <w:webHidden/>
          </w:rPr>
          <w:instrText xml:space="preserve"> PAGEREF _Toc196808032 \h </w:instrText>
        </w:r>
        <w:r w:rsidRPr="00B55200">
          <w:rPr>
            <w:webHidden/>
          </w:rPr>
        </w:r>
        <w:r w:rsidRPr="00B55200">
          <w:rPr>
            <w:webHidden/>
          </w:rPr>
          <w:fldChar w:fldCharType="separate"/>
        </w:r>
        <w:r w:rsidR="00F44BFC">
          <w:rPr>
            <w:webHidden/>
          </w:rPr>
          <w:t>72</w:t>
        </w:r>
        <w:r w:rsidRPr="00B55200">
          <w:rPr>
            <w:webHidden/>
          </w:rPr>
          <w:fldChar w:fldCharType="end"/>
        </w:r>
      </w:hyperlink>
    </w:p>
    <w:p w14:paraId="1EDED9A7" w14:textId="594799B0" w:rsidR="000B3E50" w:rsidRPr="00B55200" w:rsidRDefault="000B3E50" w:rsidP="000B3E50">
      <w:pPr>
        <w:pStyle w:val="TOC3"/>
        <w:rPr>
          <w:rFonts w:eastAsiaTheme="minorEastAsia" w:cstheme="minorBidi"/>
          <w:color w:val="auto"/>
          <w:kern w:val="2"/>
          <w:sz w:val="24"/>
          <w:u w:val="none"/>
          <w:lang w:eastAsia="en-AU"/>
          <w14:ligatures w14:val="standardContextual"/>
        </w:rPr>
      </w:pPr>
      <w:hyperlink w:anchor="_Toc196808033" w:history="1">
        <w:r w:rsidRPr="00B55200">
          <w:rPr>
            <w:rStyle w:val="Hyperlink"/>
            <w:rFonts w:ascii="Public Sans" w:hAnsi="Public Sans"/>
          </w:rPr>
          <w:t>Health status and irrelevant medical record</w:t>
        </w:r>
        <w:r w:rsidRPr="00B55200">
          <w:rPr>
            <w:webHidden/>
          </w:rPr>
          <w:tab/>
        </w:r>
        <w:r w:rsidRPr="00B55200">
          <w:rPr>
            <w:webHidden/>
          </w:rPr>
          <w:fldChar w:fldCharType="begin"/>
        </w:r>
        <w:r w:rsidRPr="00B55200">
          <w:rPr>
            <w:webHidden/>
          </w:rPr>
          <w:instrText xml:space="preserve"> PAGEREF _Toc196808033 \h </w:instrText>
        </w:r>
        <w:r w:rsidRPr="00B55200">
          <w:rPr>
            <w:webHidden/>
          </w:rPr>
        </w:r>
        <w:r w:rsidRPr="00B55200">
          <w:rPr>
            <w:webHidden/>
          </w:rPr>
          <w:fldChar w:fldCharType="separate"/>
        </w:r>
        <w:r w:rsidR="00F44BFC">
          <w:rPr>
            <w:webHidden/>
          </w:rPr>
          <w:t>73</w:t>
        </w:r>
        <w:r w:rsidRPr="00B55200">
          <w:rPr>
            <w:webHidden/>
          </w:rPr>
          <w:fldChar w:fldCharType="end"/>
        </w:r>
      </w:hyperlink>
    </w:p>
    <w:p w14:paraId="66509FED" w14:textId="69933CDD" w:rsidR="000B3E50" w:rsidRPr="00B55200" w:rsidRDefault="000B3E50" w:rsidP="000B3E50">
      <w:pPr>
        <w:pStyle w:val="TOC3"/>
        <w:rPr>
          <w:rFonts w:eastAsiaTheme="minorEastAsia" w:cstheme="minorBidi"/>
          <w:color w:val="auto"/>
          <w:kern w:val="2"/>
          <w:sz w:val="24"/>
          <w:u w:val="none"/>
          <w:lang w:eastAsia="en-AU"/>
          <w14:ligatures w14:val="standardContextual"/>
        </w:rPr>
      </w:pPr>
      <w:hyperlink w:anchor="_Toc196808034" w:history="1">
        <w:r w:rsidRPr="00B55200">
          <w:rPr>
            <w:rStyle w:val="Hyperlink"/>
            <w:rFonts w:ascii="Public Sans" w:hAnsi="Public Sans"/>
          </w:rPr>
          <w:t>Industrial activity or political belief or activity</w:t>
        </w:r>
        <w:r w:rsidRPr="00B55200">
          <w:rPr>
            <w:webHidden/>
          </w:rPr>
          <w:tab/>
        </w:r>
        <w:r w:rsidRPr="00B55200">
          <w:rPr>
            <w:webHidden/>
          </w:rPr>
          <w:fldChar w:fldCharType="begin"/>
        </w:r>
        <w:r w:rsidRPr="00B55200">
          <w:rPr>
            <w:webHidden/>
          </w:rPr>
          <w:instrText xml:space="preserve"> PAGEREF _Toc196808034 \h </w:instrText>
        </w:r>
        <w:r w:rsidRPr="00B55200">
          <w:rPr>
            <w:webHidden/>
          </w:rPr>
        </w:r>
        <w:r w:rsidRPr="00B55200">
          <w:rPr>
            <w:webHidden/>
          </w:rPr>
          <w:fldChar w:fldCharType="separate"/>
        </w:r>
        <w:r w:rsidR="00F44BFC">
          <w:rPr>
            <w:webHidden/>
          </w:rPr>
          <w:t>75</w:t>
        </w:r>
        <w:r w:rsidRPr="00B55200">
          <w:rPr>
            <w:webHidden/>
          </w:rPr>
          <w:fldChar w:fldCharType="end"/>
        </w:r>
      </w:hyperlink>
    </w:p>
    <w:p w14:paraId="3E143325" w14:textId="2E2F3B1C" w:rsidR="000B3E50" w:rsidRPr="00B55200" w:rsidRDefault="000B3E50" w:rsidP="000B3E50">
      <w:pPr>
        <w:pStyle w:val="TOC3"/>
        <w:rPr>
          <w:rFonts w:eastAsiaTheme="minorEastAsia" w:cstheme="minorBidi"/>
          <w:color w:val="auto"/>
          <w:kern w:val="2"/>
          <w:sz w:val="24"/>
          <w:u w:val="none"/>
          <w:lang w:eastAsia="en-AU"/>
          <w14:ligatures w14:val="standardContextual"/>
        </w:rPr>
      </w:pPr>
      <w:hyperlink w:anchor="_Toc196808035" w:history="1">
        <w:r w:rsidRPr="00B55200">
          <w:rPr>
            <w:rStyle w:val="Hyperlink"/>
            <w:rFonts w:ascii="Public Sans" w:hAnsi="Public Sans"/>
          </w:rPr>
          <w:t>Physical features or appearance</w:t>
        </w:r>
        <w:r w:rsidRPr="00B55200">
          <w:rPr>
            <w:webHidden/>
          </w:rPr>
          <w:tab/>
        </w:r>
        <w:r w:rsidRPr="00B55200">
          <w:rPr>
            <w:webHidden/>
          </w:rPr>
          <w:fldChar w:fldCharType="begin"/>
        </w:r>
        <w:r w:rsidRPr="00B55200">
          <w:rPr>
            <w:webHidden/>
          </w:rPr>
          <w:instrText xml:space="preserve"> PAGEREF _Toc196808035 \h </w:instrText>
        </w:r>
        <w:r w:rsidRPr="00B55200">
          <w:rPr>
            <w:webHidden/>
          </w:rPr>
        </w:r>
        <w:r w:rsidRPr="00B55200">
          <w:rPr>
            <w:webHidden/>
          </w:rPr>
          <w:fldChar w:fldCharType="separate"/>
        </w:r>
        <w:r w:rsidR="00F44BFC">
          <w:rPr>
            <w:webHidden/>
          </w:rPr>
          <w:t>77</w:t>
        </w:r>
        <w:r w:rsidRPr="00B55200">
          <w:rPr>
            <w:webHidden/>
          </w:rPr>
          <w:fldChar w:fldCharType="end"/>
        </w:r>
      </w:hyperlink>
    </w:p>
    <w:p w14:paraId="27FAE96F" w14:textId="1E8B5530" w:rsidR="000B3E50" w:rsidRPr="00B55200" w:rsidRDefault="000B3E50" w:rsidP="000B3E50">
      <w:pPr>
        <w:pStyle w:val="TOC3"/>
        <w:rPr>
          <w:rFonts w:eastAsiaTheme="minorEastAsia" w:cstheme="minorBidi"/>
          <w:color w:val="auto"/>
          <w:kern w:val="2"/>
          <w:sz w:val="24"/>
          <w:u w:val="none"/>
          <w:lang w:eastAsia="en-AU"/>
          <w14:ligatures w14:val="standardContextual"/>
        </w:rPr>
      </w:pPr>
      <w:hyperlink w:anchor="_Toc196808036" w:history="1">
        <w:r w:rsidRPr="00B55200">
          <w:rPr>
            <w:rStyle w:val="Hyperlink"/>
            <w:rFonts w:ascii="Public Sans" w:hAnsi="Public Sans"/>
          </w:rPr>
          <w:t>Religious belief or activity</w:t>
        </w:r>
        <w:r w:rsidRPr="00B55200">
          <w:rPr>
            <w:webHidden/>
          </w:rPr>
          <w:tab/>
        </w:r>
        <w:r w:rsidRPr="00B55200">
          <w:rPr>
            <w:webHidden/>
          </w:rPr>
          <w:fldChar w:fldCharType="begin"/>
        </w:r>
        <w:r w:rsidRPr="00B55200">
          <w:rPr>
            <w:webHidden/>
          </w:rPr>
          <w:instrText xml:space="preserve"> PAGEREF _Toc196808036 \h </w:instrText>
        </w:r>
        <w:r w:rsidRPr="00B55200">
          <w:rPr>
            <w:webHidden/>
          </w:rPr>
        </w:r>
        <w:r w:rsidRPr="00B55200">
          <w:rPr>
            <w:webHidden/>
          </w:rPr>
          <w:fldChar w:fldCharType="separate"/>
        </w:r>
        <w:r w:rsidR="00F44BFC">
          <w:rPr>
            <w:webHidden/>
          </w:rPr>
          <w:t>79</w:t>
        </w:r>
        <w:r w:rsidRPr="00B55200">
          <w:rPr>
            <w:webHidden/>
          </w:rPr>
          <w:fldChar w:fldCharType="end"/>
        </w:r>
      </w:hyperlink>
    </w:p>
    <w:p w14:paraId="5FDA1CBE" w14:textId="2A62886E" w:rsidR="000B3E50" w:rsidRPr="00B55200" w:rsidRDefault="000B3E50" w:rsidP="000B3E50">
      <w:pPr>
        <w:pStyle w:val="TOC3"/>
        <w:rPr>
          <w:rFonts w:eastAsiaTheme="minorEastAsia" w:cstheme="minorBidi"/>
          <w:color w:val="auto"/>
          <w:kern w:val="2"/>
          <w:sz w:val="24"/>
          <w:u w:val="none"/>
          <w:lang w:eastAsia="en-AU"/>
          <w14:ligatures w14:val="standardContextual"/>
        </w:rPr>
      </w:pPr>
      <w:hyperlink w:anchor="_Toc196808037" w:history="1">
        <w:r w:rsidRPr="00B55200">
          <w:rPr>
            <w:rStyle w:val="Hyperlink"/>
            <w:rFonts w:ascii="Public Sans" w:hAnsi="Public Sans"/>
          </w:rPr>
          <w:t>Sex characteristics</w:t>
        </w:r>
        <w:r w:rsidRPr="00B55200">
          <w:rPr>
            <w:webHidden/>
          </w:rPr>
          <w:tab/>
        </w:r>
        <w:r w:rsidRPr="00B55200">
          <w:rPr>
            <w:webHidden/>
          </w:rPr>
          <w:fldChar w:fldCharType="begin"/>
        </w:r>
        <w:r w:rsidRPr="00B55200">
          <w:rPr>
            <w:webHidden/>
          </w:rPr>
          <w:instrText xml:space="preserve"> PAGEREF _Toc196808037 \h </w:instrText>
        </w:r>
        <w:r w:rsidRPr="00B55200">
          <w:rPr>
            <w:webHidden/>
          </w:rPr>
        </w:r>
        <w:r w:rsidRPr="00B55200">
          <w:rPr>
            <w:webHidden/>
          </w:rPr>
          <w:fldChar w:fldCharType="separate"/>
        </w:r>
        <w:r w:rsidR="00F44BFC">
          <w:rPr>
            <w:webHidden/>
          </w:rPr>
          <w:t>82</w:t>
        </w:r>
        <w:r w:rsidRPr="00B55200">
          <w:rPr>
            <w:webHidden/>
          </w:rPr>
          <w:fldChar w:fldCharType="end"/>
        </w:r>
      </w:hyperlink>
    </w:p>
    <w:p w14:paraId="4D8D818F" w14:textId="4B282AD0" w:rsidR="000B3E50" w:rsidRPr="00B55200" w:rsidRDefault="000B3E50" w:rsidP="000B3E50">
      <w:pPr>
        <w:pStyle w:val="TOC3"/>
        <w:rPr>
          <w:rFonts w:eastAsiaTheme="minorEastAsia" w:cstheme="minorBidi"/>
          <w:color w:val="auto"/>
          <w:kern w:val="2"/>
          <w:sz w:val="24"/>
          <w:u w:val="none"/>
          <w:lang w:eastAsia="en-AU"/>
          <w14:ligatures w14:val="standardContextual"/>
        </w:rPr>
      </w:pPr>
      <w:hyperlink w:anchor="_Toc196808038" w:history="1">
        <w:r w:rsidRPr="00B55200">
          <w:rPr>
            <w:rStyle w:val="Hyperlink"/>
            <w:rFonts w:ascii="Public Sans" w:hAnsi="Public Sans"/>
          </w:rPr>
          <w:t>Sex work, lawful sexual activity and occupation</w:t>
        </w:r>
        <w:r w:rsidRPr="00B55200">
          <w:rPr>
            <w:webHidden/>
          </w:rPr>
          <w:tab/>
        </w:r>
        <w:r w:rsidRPr="00B55200">
          <w:rPr>
            <w:webHidden/>
          </w:rPr>
          <w:fldChar w:fldCharType="begin"/>
        </w:r>
        <w:r w:rsidRPr="00B55200">
          <w:rPr>
            <w:webHidden/>
          </w:rPr>
          <w:instrText xml:space="preserve"> PAGEREF _Toc196808038 \h </w:instrText>
        </w:r>
        <w:r w:rsidRPr="00B55200">
          <w:rPr>
            <w:webHidden/>
          </w:rPr>
        </w:r>
        <w:r w:rsidRPr="00B55200">
          <w:rPr>
            <w:webHidden/>
          </w:rPr>
          <w:fldChar w:fldCharType="separate"/>
        </w:r>
        <w:r w:rsidR="00F44BFC">
          <w:rPr>
            <w:webHidden/>
          </w:rPr>
          <w:t>83</w:t>
        </w:r>
        <w:r w:rsidRPr="00B55200">
          <w:rPr>
            <w:webHidden/>
          </w:rPr>
          <w:fldChar w:fldCharType="end"/>
        </w:r>
      </w:hyperlink>
    </w:p>
    <w:p w14:paraId="48B0314D" w14:textId="005AC381" w:rsidR="000B3E50" w:rsidRPr="00B55200" w:rsidRDefault="000B3E50" w:rsidP="000B3E50">
      <w:pPr>
        <w:pStyle w:val="TOC3"/>
        <w:rPr>
          <w:rFonts w:eastAsiaTheme="minorEastAsia" w:cstheme="minorBidi"/>
          <w:color w:val="auto"/>
          <w:kern w:val="2"/>
          <w:sz w:val="24"/>
          <w:u w:val="none"/>
          <w:lang w:eastAsia="en-AU"/>
          <w14:ligatures w14:val="standardContextual"/>
        </w:rPr>
      </w:pPr>
      <w:hyperlink w:anchor="_Toc196808039" w:history="1">
        <w:r w:rsidRPr="00B55200">
          <w:rPr>
            <w:rStyle w:val="Hyperlink"/>
            <w:rFonts w:ascii="Public Sans" w:hAnsi="Public Sans"/>
          </w:rPr>
          <w:t>Socio-economic status</w:t>
        </w:r>
        <w:r w:rsidRPr="00B55200">
          <w:rPr>
            <w:webHidden/>
          </w:rPr>
          <w:tab/>
        </w:r>
        <w:r w:rsidRPr="00B55200">
          <w:rPr>
            <w:webHidden/>
          </w:rPr>
          <w:fldChar w:fldCharType="begin"/>
        </w:r>
        <w:r w:rsidRPr="00B55200">
          <w:rPr>
            <w:webHidden/>
          </w:rPr>
          <w:instrText xml:space="preserve"> PAGEREF _Toc196808039 \h </w:instrText>
        </w:r>
        <w:r w:rsidRPr="00B55200">
          <w:rPr>
            <w:webHidden/>
          </w:rPr>
        </w:r>
        <w:r w:rsidRPr="00B55200">
          <w:rPr>
            <w:webHidden/>
          </w:rPr>
          <w:fldChar w:fldCharType="separate"/>
        </w:r>
        <w:r w:rsidR="00F44BFC">
          <w:rPr>
            <w:webHidden/>
          </w:rPr>
          <w:t>86</w:t>
        </w:r>
        <w:r w:rsidRPr="00B55200">
          <w:rPr>
            <w:webHidden/>
          </w:rPr>
          <w:fldChar w:fldCharType="end"/>
        </w:r>
      </w:hyperlink>
    </w:p>
    <w:p w14:paraId="2A603575" w14:textId="79E263E9" w:rsidR="000B3E50" w:rsidRPr="00B55200" w:rsidRDefault="000B3E50" w:rsidP="000B3E50">
      <w:pPr>
        <w:pStyle w:val="TOC2"/>
        <w:rPr>
          <w:rFonts w:eastAsiaTheme="minorEastAsia" w:cstheme="minorBidi"/>
          <w:b w:val="0"/>
          <w:color w:val="auto"/>
          <w:kern w:val="2"/>
          <w:sz w:val="24"/>
          <w:u w:val="none"/>
          <w:lang w:eastAsia="en-AU"/>
          <w14:ligatures w14:val="standardContextual"/>
        </w:rPr>
      </w:pPr>
      <w:hyperlink w:anchor="_Toc196808040" w:history="1">
        <w:r w:rsidRPr="00B55200">
          <w:rPr>
            <w:rStyle w:val="Hyperlink"/>
            <w:rFonts w:ascii="Public Sans" w:hAnsi="Public Sans"/>
          </w:rPr>
          <w:t>An alternative approach: an open-ended list</w:t>
        </w:r>
        <w:r w:rsidRPr="00B55200">
          <w:rPr>
            <w:webHidden/>
          </w:rPr>
          <w:tab/>
        </w:r>
        <w:r w:rsidRPr="00B55200">
          <w:rPr>
            <w:webHidden/>
          </w:rPr>
          <w:fldChar w:fldCharType="begin"/>
        </w:r>
        <w:r w:rsidRPr="00B55200">
          <w:rPr>
            <w:webHidden/>
          </w:rPr>
          <w:instrText xml:space="preserve"> PAGEREF _Toc196808040 \h </w:instrText>
        </w:r>
        <w:r w:rsidRPr="00B55200">
          <w:rPr>
            <w:webHidden/>
          </w:rPr>
        </w:r>
        <w:r w:rsidRPr="00B55200">
          <w:rPr>
            <w:webHidden/>
          </w:rPr>
          <w:fldChar w:fldCharType="separate"/>
        </w:r>
        <w:r w:rsidR="00F44BFC">
          <w:rPr>
            <w:webHidden/>
          </w:rPr>
          <w:t>88</w:t>
        </w:r>
        <w:r w:rsidRPr="00B55200">
          <w:rPr>
            <w:webHidden/>
          </w:rPr>
          <w:fldChar w:fldCharType="end"/>
        </w:r>
      </w:hyperlink>
    </w:p>
    <w:p w14:paraId="47EFA537" w14:textId="77777777" w:rsidR="000B3E50" w:rsidRPr="00DE7BC8" w:rsidRDefault="000B3E50" w:rsidP="000B3E50">
      <w:pPr>
        <w:pStyle w:val="TOC4"/>
        <w:rPr>
          <w:noProof w:val="0"/>
        </w:rPr>
      </w:pPr>
      <w:r w:rsidRPr="00DE7BC8">
        <w:rPr>
          <w:noProof w:val="0"/>
        </w:rPr>
        <w:fldChar w:fldCharType="end"/>
      </w:r>
    </w:p>
    <w:p w14:paraId="4FA21568" w14:textId="77777777" w:rsidR="000B3E50" w:rsidRPr="00DE7BC8" w:rsidRDefault="000B3E50" w:rsidP="000B3E50">
      <w:pPr>
        <w:pStyle w:val="NormalAutoChapter"/>
        <w:tabs>
          <w:tab w:val="clear" w:pos="720"/>
          <w:tab w:val="num" w:pos="2564"/>
        </w:tabs>
        <w:rPr>
          <w:lang w:eastAsia="en-US"/>
        </w:rPr>
      </w:pPr>
      <w:r>
        <w:rPr>
          <w:lang w:eastAsia="en-US"/>
        </w:rPr>
        <w:t>I</w:t>
      </w:r>
      <w:r w:rsidRPr="00DE7BC8">
        <w:rPr>
          <w:lang w:eastAsia="en-US"/>
        </w:rPr>
        <w:t xml:space="preserve">n the previous chapter, </w:t>
      </w:r>
      <w:r>
        <w:rPr>
          <w:lang w:eastAsia="en-US"/>
        </w:rPr>
        <w:t xml:space="preserve">we explain that </w:t>
      </w:r>
      <w:r w:rsidRPr="00DE7BC8">
        <w:rPr>
          <w:lang w:eastAsia="en-US"/>
        </w:rPr>
        <w:t xml:space="preserve">the </w:t>
      </w:r>
      <w:r w:rsidRPr="00DE7BC8">
        <w:rPr>
          <w:i/>
          <w:iCs/>
          <w:lang w:eastAsia="en-US"/>
        </w:rPr>
        <w:t>Anti-Discrimination Act 1977</w:t>
      </w:r>
      <w:r w:rsidRPr="00DE7BC8">
        <w:rPr>
          <w:lang w:eastAsia="en-US"/>
        </w:rPr>
        <w:t xml:space="preserve"> (NSW) (ADA) prohibits discrimination based on a limited range of recognised protected attributes. Many preliminary submissions argued that other protected attributes should be recognised.   </w:t>
      </w:r>
    </w:p>
    <w:p w14:paraId="181C1C3D" w14:textId="77777777" w:rsidR="000B3E50" w:rsidRPr="00DE7BC8" w:rsidRDefault="000B3E50" w:rsidP="000B3E50">
      <w:pPr>
        <w:pStyle w:val="NormalAutoChapter"/>
        <w:tabs>
          <w:tab w:val="clear" w:pos="720"/>
          <w:tab w:val="num" w:pos="2564"/>
        </w:tabs>
        <w:rPr>
          <w:lang w:eastAsia="en-US"/>
        </w:rPr>
      </w:pPr>
      <w:r w:rsidRPr="00DE7BC8">
        <w:rPr>
          <w:lang w:eastAsia="en-US"/>
        </w:rPr>
        <w:t>In its 1999 review of the ADA, the NSW Law Reform Commission (NSWLRC)</w:t>
      </w:r>
      <w:r>
        <w:rPr>
          <w:lang w:eastAsia="en-US"/>
        </w:rPr>
        <w:t xml:space="preserve"> </w:t>
      </w:r>
      <w:r w:rsidRPr="00DE7BC8">
        <w:rPr>
          <w:lang w:eastAsia="en-US"/>
        </w:rPr>
        <w:t>thought that changes to the protected attributes would “inevitably follow from changing social attitudes and practice”.</w:t>
      </w:r>
      <w:r w:rsidRPr="00DE7BC8">
        <w:rPr>
          <w:rStyle w:val="FootnoteReference"/>
          <w:lang w:eastAsia="en-US"/>
        </w:rPr>
        <w:footnoteReference w:id="271"/>
      </w:r>
      <w:r w:rsidRPr="00DE7BC8">
        <w:rPr>
          <w:lang w:eastAsia="en-US"/>
        </w:rPr>
        <w:t xml:space="preserve"> This can be important to ensure the ADA responds to societal changes and recognises the rights of those most at risk of discrimination. </w:t>
      </w:r>
      <w:r w:rsidRPr="00DE7BC8">
        <w:rPr>
          <w:lang w:eastAsia="en-US"/>
        </w:rPr>
        <w:lastRenderedPageBreak/>
        <w:t xml:space="preserve">However, no new protected attributes have been recognised </w:t>
      </w:r>
      <w:r w:rsidRPr="00DE7BC8">
        <w:rPr>
          <w:color w:val="auto"/>
          <w:lang w:eastAsia="en-US"/>
        </w:rPr>
        <w:t>since discrimination based on carer’s responsibilities was added in 2000.</w:t>
      </w:r>
      <w:r w:rsidRPr="00DE7BC8">
        <w:rPr>
          <w:color w:val="FF0000"/>
          <w:lang w:eastAsia="en-US"/>
        </w:rPr>
        <w:t xml:space="preserve"> </w:t>
      </w:r>
    </w:p>
    <w:p w14:paraId="09740164" w14:textId="77777777" w:rsidR="000B3E50" w:rsidRPr="00DE7BC8" w:rsidRDefault="000B3E50" w:rsidP="000B3E50">
      <w:pPr>
        <w:pStyle w:val="NormalAutoChapter"/>
        <w:tabs>
          <w:tab w:val="clear" w:pos="720"/>
          <w:tab w:val="num" w:pos="2564"/>
        </w:tabs>
      </w:pPr>
      <w:r w:rsidRPr="00DE7BC8">
        <w:rPr>
          <w:lang w:eastAsia="en-US"/>
        </w:rPr>
        <w:t>Discrimination laws in other parts of Australia have been amended more recently to expand the range of protected attributes. O</w:t>
      </w:r>
      <w:r w:rsidRPr="00DE7BC8">
        <w:t xml:space="preserve">ther discrimination and employment laws protect a far wider range of attributes than the ADA. This has led to uneven protection across Australia and significant gaps in protection in NSW. </w:t>
      </w:r>
    </w:p>
    <w:p w14:paraId="426619C4" w14:textId="77777777" w:rsidR="000B3E50" w:rsidRPr="00DE7BC8" w:rsidRDefault="000B3E50" w:rsidP="000B3E50">
      <w:pPr>
        <w:pStyle w:val="NormalAutoChapter"/>
        <w:tabs>
          <w:tab w:val="clear" w:pos="720"/>
          <w:tab w:val="num" w:pos="2564"/>
        </w:tabs>
      </w:pPr>
      <w:r w:rsidRPr="00DE7BC8">
        <w:rPr>
          <w:color w:val="auto"/>
        </w:rPr>
        <w:t xml:space="preserve">In this chapter, we consider whether the ADA should prohibit discrimination based on other attributes. </w:t>
      </w:r>
      <w:r w:rsidRPr="00DE7BC8">
        <w:t xml:space="preserve">We set out a range of options that we have drawn from preliminary submissions and our research. Other options, that relate closely to existing protected attributes, are profiled in the previous chapter. </w:t>
      </w:r>
    </w:p>
    <w:p w14:paraId="61F75622" w14:textId="77777777" w:rsidR="000B3E50" w:rsidRPr="00DE7BC8" w:rsidRDefault="000B3E50" w:rsidP="000B3E50">
      <w:pPr>
        <w:pStyle w:val="NormalAutoChapter"/>
        <w:tabs>
          <w:tab w:val="clear" w:pos="720"/>
          <w:tab w:val="num" w:pos="2564"/>
        </w:tabs>
        <w:rPr>
          <w:color w:val="auto"/>
        </w:rPr>
      </w:pPr>
      <w:r w:rsidRPr="00DE7BC8">
        <w:rPr>
          <w:color w:val="auto"/>
        </w:rPr>
        <w:t xml:space="preserve">In presenting these options for consideration, we recognise </w:t>
      </w:r>
      <w:r>
        <w:rPr>
          <w:color w:val="auto"/>
        </w:rPr>
        <w:t>they</w:t>
      </w:r>
      <w:r w:rsidRPr="00DE7BC8">
        <w:rPr>
          <w:color w:val="auto"/>
        </w:rPr>
        <w:t xml:space="preserve"> may not be the only possible options. We welcome suggestions of other attributes that could be added to the ADA’s discrimination protections. </w:t>
      </w:r>
    </w:p>
    <w:p w14:paraId="68B03FB3" w14:textId="77777777" w:rsidR="000B3E50" w:rsidRPr="00DE7BC8" w:rsidRDefault="000B3E50" w:rsidP="000B3E50">
      <w:pPr>
        <w:pStyle w:val="Heading1"/>
      </w:pPr>
      <w:bookmarkStart w:id="183" w:name="_Toc196808027"/>
      <w:bookmarkStart w:id="184" w:name="_Toc196826856"/>
      <w:r w:rsidRPr="00DE7BC8">
        <w:t>Principles that could guide reform</w:t>
      </w:r>
      <w:bookmarkEnd w:id="183"/>
      <w:bookmarkEnd w:id="184"/>
      <w:r w:rsidRPr="00DE7BC8">
        <w:t xml:space="preserve"> </w:t>
      </w:r>
    </w:p>
    <w:p w14:paraId="4C889EB4" w14:textId="77777777" w:rsidR="000B3E50" w:rsidRPr="00DE7BC8" w:rsidRDefault="000B3E50" w:rsidP="000B3E50">
      <w:pPr>
        <w:pStyle w:val="NormalAutoChapter"/>
        <w:tabs>
          <w:tab w:val="clear" w:pos="720"/>
          <w:tab w:val="num" w:pos="2564"/>
        </w:tabs>
      </w:pPr>
      <w:bookmarkStart w:id="185" w:name="_Toc170823266"/>
      <w:r w:rsidRPr="00DE7BC8">
        <w:t>B</w:t>
      </w:r>
      <w:r w:rsidRPr="00DE7BC8">
        <w:rPr>
          <w:lang w:eastAsia="en-US"/>
        </w:rPr>
        <w:t xml:space="preserve">efore outlining some reform options, we invite you to comment on </w:t>
      </w:r>
      <w:r w:rsidRPr="00DE7BC8">
        <w:t xml:space="preserve">the principles that could guide consideration of potential new protected attributes. An important consideration is whether there are gaps in protection in state and federal laws.  </w:t>
      </w:r>
    </w:p>
    <w:p w14:paraId="303D2FB7" w14:textId="77777777" w:rsidR="000B3E50" w:rsidRPr="00DE7BC8" w:rsidRDefault="000B3E50" w:rsidP="000B3E50">
      <w:pPr>
        <w:pStyle w:val="Heading2"/>
      </w:pPr>
      <w:bookmarkStart w:id="186" w:name="_Toc196808028"/>
      <w:bookmarkStart w:id="187" w:name="_Toc196826857"/>
      <w:r w:rsidRPr="00DE7BC8">
        <w:t>Identifying the guiding principles</w:t>
      </w:r>
      <w:bookmarkEnd w:id="186"/>
      <w:bookmarkEnd w:id="187"/>
      <w:r w:rsidRPr="00DE7BC8">
        <w:t xml:space="preserve"> </w:t>
      </w:r>
    </w:p>
    <w:p w14:paraId="365C4E88" w14:textId="77777777" w:rsidR="000B3E50" w:rsidRPr="00DE7BC8" w:rsidRDefault="000B3E50" w:rsidP="000B3E50">
      <w:pPr>
        <w:pStyle w:val="NormalAutoChapter"/>
        <w:tabs>
          <w:tab w:val="clear" w:pos="720"/>
          <w:tab w:val="num" w:pos="2564"/>
        </w:tabs>
        <w:spacing w:after="240"/>
        <w:rPr>
          <w:lang w:eastAsia="en-US"/>
        </w:rPr>
      </w:pPr>
      <w:r w:rsidRPr="00DE7BC8">
        <w:rPr>
          <w:lang w:eastAsia="en-US"/>
        </w:rPr>
        <w:t xml:space="preserve">In its recent review of Queensland’s discrimination law, the Queensland Human Rights Commission (QHRC) provided some principles that might also assist to guide reform in NSW. It grouped the attributes protected in Queensland into three main categories. In summary, these protected attributes: </w:t>
      </w:r>
    </w:p>
    <w:p w14:paraId="0E3D8316" w14:textId="77777777" w:rsidR="000B3E50" w:rsidRPr="00DE7BC8" w:rsidRDefault="000B3E50" w:rsidP="000B3E50">
      <w:pPr>
        <w:pStyle w:val="Normalbullet"/>
      </w:pPr>
      <w:r w:rsidRPr="00DE7BC8">
        <w:t>relate to immutable characteristics, that is, traits a person cannot change</w:t>
      </w:r>
    </w:p>
    <w:p w14:paraId="68DAA800" w14:textId="77777777" w:rsidR="000B3E50" w:rsidRPr="00DE7BC8" w:rsidRDefault="000B3E50" w:rsidP="000B3E50">
      <w:pPr>
        <w:pStyle w:val="Normalbullet"/>
      </w:pPr>
      <w:r w:rsidRPr="00DE7BC8">
        <w:t>relate to the characteristics of historically marginalised groups, and/or</w:t>
      </w:r>
    </w:p>
    <w:p w14:paraId="276BED01" w14:textId="77777777" w:rsidR="000B3E50" w:rsidRPr="00DE7BC8" w:rsidRDefault="000B3E50" w:rsidP="000B3E50">
      <w:pPr>
        <w:pStyle w:val="Normalbullet"/>
      </w:pPr>
      <w:r w:rsidRPr="00DE7BC8">
        <w:t>are based on attributes protected under international human rights instruments.</w:t>
      </w:r>
      <w:r w:rsidRPr="00DE7BC8">
        <w:rPr>
          <w:rStyle w:val="FootnoteReference"/>
        </w:rPr>
        <w:footnoteReference w:id="272"/>
      </w:r>
    </w:p>
    <w:p w14:paraId="72701381" w14:textId="77777777" w:rsidR="000B3E50" w:rsidRPr="00DE7BC8" w:rsidRDefault="000B3E50" w:rsidP="000B3E50">
      <w:pPr>
        <w:pStyle w:val="NormalAutoChapter"/>
        <w:tabs>
          <w:tab w:val="clear" w:pos="720"/>
          <w:tab w:val="num" w:pos="2564"/>
        </w:tabs>
        <w:spacing w:after="240"/>
        <w:rPr>
          <w:lang w:eastAsia="en-US"/>
        </w:rPr>
      </w:pPr>
      <w:r w:rsidRPr="00DE7BC8">
        <w:rPr>
          <w:lang w:eastAsia="en-US"/>
        </w:rPr>
        <w:t xml:space="preserve">The QHRC then identified criteria and questions, summarised below, that it thought should guide decisions about whether an attribute should be protected. </w:t>
      </w:r>
    </w:p>
    <w:p w14:paraId="50A93B64" w14:textId="77777777" w:rsidR="000B3E50" w:rsidRPr="00DE7BC8" w:rsidRDefault="000B3E50" w:rsidP="000B3E50">
      <w:pPr>
        <w:pStyle w:val="Tablecaption"/>
      </w:pPr>
      <w:r w:rsidRPr="00DE7BC8">
        <w:lastRenderedPageBreak/>
        <w:t>Table 5.1: Possible criteria for including new attributes</w:t>
      </w:r>
      <w:r w:rsidRPr="00DE7BC8">
        <w:rPr>
          <w:rStyle w:val="FootnoteReference"/>
        </w:rPr>
        <w:footnoteReference w:id="273"/>
      </w:r>
      <w:r w:rsidRPr="00DE7BC8">
        <w:t xml:space="preserve"> </w:t>
      </w:r>
    </w:p>
    <w:tbl>
      <w:tblPr>
        <w:tblStyle w:val="TableGrid"/>
        <w:tblW w:w="0" w:type="auto"/>
        <w:tblInd w:w="817" w:type="dxa"/>
        <w:tblLook w:val="04A0" w:firstRow="1" w:lastRow="0" w:firstColumn="1" w:lastColumn="0" w:noHBand="0" w:noVBand="1"/>
        <w:tblCaption w:val="Table 5.1: Possible criteria for including new attributes  "/>
        <w:tblDescription w:val="The first criteria is whether there is a gap in protection. Questions relevant to this issue are: 1) Is there sufficient information to show that people with a particular characteristic need the protection of the Act?; 2) Are they already protected under an existing attribute?; and 3) Are they already protected by other legislation, for example, employment legislation? The second criteria is whether the proposed attribute is comparable to those already covered. Questions relevant to this issue are: 1) Is the group of a comparable nature to people represented by the attributes already recognised by the Act?; 2) Is the group experiencing discrimination that cannot be reasonably and objectively justified?; and 3) Is the group vulnerable, having suffered and continuing to suffer marginalisation?"/>
      </w:tblPr>
      <w:tblGrid>
        <w:gridCol w:w="3573"/>
        <w:gridCol w:w="4898"/>
      </w:tblGrid>
      <w:tr w:rsidR="000B3E50" w:rsidRPr="00DE7BC8" w14:paraId="2D49B1E4" w14:textId="77777777" w:rsidTr="00644C5A">
        <w:tc>
          <w:tcPr>
            <w:tcW w:w="3573" w:type="dxa"/>
            <w:shd w:val="clear" w:color="auto" w:fill="002664"/>
          </w:tcPr>
          <w:p w14:paraId="07584B2A" w14:textId="77777777" w:rsidR="000B3E50" w:rsidRPr="00DE7BC8" w:rsidRDefault="000B3E50" w:rsidP="0076776F">
            <w:pPr>
              <w:pStyle w:val="TableHeading"/>
              <w:rPr>
                <w:rFonts w:ascii="Public Sans" w:hAnsi="Public Sans"/>
              </w:rPr>
            </w:pPr>
            <w:r w:rsidRPr="00DE7BC8">
              <w:rPr>
                <w:rFonts w:ascii="Public Sans" w:hAnsi="Public Sans"/>
              </w:rPr>
              <w:t xml:space="preserve">Criteria </w:t>
            </w:r>
          </w:p>
        </w:tc>
        <w:tc>
          <w:tcPr>
            <w:tcW w:w="4898" w:type="dxa"/>
            <w:shd w:val="clear" w:color="auto" w:fill="002664"/>
          </w:tcPr>
          <w:p w14:paraId="614849F2" w14:textId="77777777" w:rsidR="000B3E50" w:rsidRPr="00DE7BC8" w:rsidRDefault="000B3E50" w:rsidP="0076776F">
            <w:pPr>
              <w:pStyle w:val="TableHeading"/>
              <w:rPr>
                <w:rFonts w:ascii="Public Sans" w:hAnsi="Public Sans"/>
              </w:rPr>
            </w:pPr>
            <w:r w:rsidRPr="00DE7BC8">
              <w:rPr>
                <w:rFonts w:ascii="Public Sans" w:hAnsi="Public Sans"/>
              </w:rPr>
              <w:t xml:space="preserve">Questions </w:t>
            </w:r>
          </w:p>
        </w:tc>
      </w:tr>
      <w:tr w:rsidR="000B3E50" w:rsidRPr="00DE7BC8" w14:paraId="56781663" w14:textId="77777777" w:rsidTr="0076776F">
        <w:tc>
          <w:tcPr>
            <w:tcW w:w="3573" w:type="dxa"/>
          </w:tcPr>
          <w:p w14:paraId="785C6152" w14:textId="3B6D4BED" w:rsidR="000B3E50" w:rsidRPr="00DE7BC8" w:rsidRDefault="000B3E50" w:rsidP="00BF3A2F">
            <w:pPr>
              <w:pStyle w:val="Tabletextbullet"/>
              <w:numPr>
                <w:ilvl w:val="0"/>
                <w:numId w:val="0"/>
              </w:numPr>
              <w:ind w:left="160" w:hanging="160"/>
              <w:rPr>
                <w:rFonts w:ascii="Public Sans" w:hAnsi="Public Sans"/>
              </w:rPr>
            </w:pPr>
            <w:r w:rsidRPr="00DE7BC8">
              <w:rPr>
                <w:rFonts w:ascii="Public Sans" w:hAnsi="Public Sans"/>
              </w:rPr>
              <w:t>Whether there is a gap in protection</w:t>
            </w:r>
          </w:p>
        </w:tc>
        <w:tc>
          <w:tcPr>
            <w:tcW w:w="4898" w:type="dxa"/>
          </w:tcPr>
          <w:p w14:paraId="0B0E7A68" w14:textId="77777777" w:rsidR="000B3E50" w:rsidRPr="00DE7BC8" w:rsidRDefault="000B3E50" w:rsidP="000B3E50">
            <w:pPr>
              <w:pStyle w:val="Tabletextbullet"/>
              <w:tabs>
                <w:tab w:val="clear" w:pos="360"/>
              </w:tabs>
              <w:rPr>
                <w:rFonts w:ascii="Public Sans" w:hAnsi="Public Sans"/>
              </w:rPr>
            </w:pPr>
            <w:r w:rsidRPr="00DE7BC8">
              <w:rPr>
                <w:rFonts w:ascii="Public Sans" w:hAnsi="Public Sans"/>
              </w:rPr>
              <w:t xml:space="preserve">Is there sufficient information to show that people with a particular characteristic need the protection of the Act? </w:t>
            </w:r>
          </w:p>
          <w:p w14:paraId="457AA5BF" w14:textId="77777777" w:rsidR="000B3E50" w:rsidRPr="00DE7BC8" w:rsidRDefault="000B3E50" w:rsidP="000B3E50">
            <w:pPr>
              <w:pStyle w:val="Tabletextbullet"/>
              <w:tabs>
                <w:tab w:val="clear" w:pos="360"/>
              </w:tabs>
              <w:rPr>
                <w:rFonts w:ascii="Public Sans" w:hAnsi="Public Sans"/>
              </w:rPr>
            </w:pPr>
            <w:r w:rsidRPr="00DE7BC8">
              <w:rPr>
                <w:rFonts w:ascii="Public Sans" w:hAnsi="Public Sans"/>
              </w:rPr>
              <w:t>Are they already protected under an existing attribute?</w:t>
            </w:r>
          </w:p>
          <w:p w14:paraId="0D35728C" w14:textId="77777777" w:rsidR="000B3E50" w:rsidRPr="00DE7BC8" w:rsidRDefault="000B3E50" w:rsidP="000B3E50">
            <w:pPr>
              <w:pStyle w:val="Tabletextbullet"/>
              <w:tabs>
                <w:tab w:val="clear" w:pos="360"/>
              </w:tabs>
              <w:rPr>
                <w:rFonts w:ascii="Public Sans" w:hAnsi="Public Sans"/>
              </w:rPr>
            </w:pPr>
            <w:r w:rsidRPr="00DE7BC8">
              <w:rPr>
                <w:rFonts w:ascii="Public Sans" w:hAnsi="Public Sans"/>
              </w:rPr>
              <w:t xml:space="preserve">Are they already protected by other legislation, eg employment legislation? </w:t>
            </w:r>
          </w:p>
        </w:tc>
      </w:tr>
      <w:tr w:rsidR="000B3E50" w:rsidRPr="00DE7BC8" w14:paraId="227AD90E" w14:textId="77777777" w:rsidTr="0076776F">
        <w:tc>
          <w:tcPr>
            <w:tcW w:w="3573" w:type="dxa"/>
          </w:tcPr>
          <w:p w14:paraId="57FFB046" w14:textId="77777777" w:rsidR="000B3E50" w:rsidRPr="00DE7BC8" w:rsidRDefault="000B3E50" w:rsidP="0076776F">
            <w:pPr>
              <w:pStyle w:val="Tabletext"/>
              <w:rPr>
                <w:rFonts w:ascii="Public Sans" w:hAnsi="Public Sans"/>
              </w:rPr>
            </w:pPr>
            <w:r w:rsidRPr="00DE7BC8">
              <w:rPr>
                <w:rFonts w:ascii="Public Sans" w:hAnsi="Public Sans"/>
              </w:rPr>
              <w:t>Whether the proposed attribute is comparable to those already covered by the Act</w:t>
            </w:r>
          </w:p>
        </w:tc>
        <w:tc>
          <w:tcPr>
            <w:tcW w:w="4898" w:type="dxa"/>
          </w:tcPr>
          <w:p w14:paraId="071A653E" w14:textId="77777777" w:rsidR="000B3E50" w:rsidRPr="00DE7BC8" w:rsidRDefault="000B3E50" w:rsidP="000B3E50">
            <w:pPr>
              <w:pStyle w:val="Tabletextbullet"/>
              <w:tabs>
                <w:tab w:val="clear" w:pos="360"/>
              </w:tabs>
              <w:rPr>
                <w:rFonts w:ascii="Public Sans" w:hAnsi="Public Sans"/>
              </w:rPr>
            </w:pPr>
            <w:r w:rsidRPr="00DE7BC8">
              <w:rPr>
                <w:rFonts w:ascii="Public Sans" w:hAnsi="Public Sans"/>
              </w:rPr>
              <w:t xml:space="preserve">Is the group of a comparable nature to people represented by the attributes already recognised by the Act? </w:t>
            </w:r>
          </w:p>
          <w:p w14:paraId="1AAAC003" w14:textId="77777777" w:rsidR="000B3E50" w:rsidRPr="00DE7BC8" w:rsidRDefault="000B3E50" w:rsidP="000B3E50">
            <w:pPr>
              <w:pStyle w:val="Tabletextbullet"/>
              <w:tabs>
                <w:tab w:val="clear" w:pos="360"/>
              </w:tabs>
              <w:rPr>
                <w:rFonts w:ascii="Public Sans" w:hAnsi="Public Sans"/>
              </w:rPr>
            </w:pPr>
            <w:r w:rsidRPr="00DE7BC8">
              <w:rPr>
                <w:rFonts w:ascii="Public Sans" w:hAnsi="Public Sans"/>
              </w:rPr>
              <w:t xml:space="preserve">Is the group experiencing discrimination that cannot be reasonably and objectively justified? </w:t>
            </w:r>
          </w:p>
          <w:p w14:paraId="2394E751" w14:textId="77777777" w:rsidR="000B3E50" w:rsidRPr="00DE7BC8" w:rsidRDefault="000B3E50" w:rsidP="000B3E50">
            <w:pPr>
              <w:pStyle w:val="Tabletextbullet"/>
              <w:tabs>
                <w:tab w:val="clear" w:pos="360"/>
              </w:tabs>
              <w:rPr>
                <w:rFonts w:ascii="Public Sans" w:hAnsi="Public Sans"/>
              </w:rPr>
            </w:pPr>
            <w:r w:rsidRPr="00DE7BC8">
              <w:rPr>
                <w:rFonts w:ascii="Public Sans" w:hAnsi="Public Sans"/>
              </w:rPr>
              <w:t>Is the group vulnerable, having suffered and continuing to suffer marginalisation?</w:t>
            </w:r>
          </w:p>
        </w:tc>
      </w:tr>
    </w:tbl>
    <w:p w14:paraId="5DE5C4A0" w14:textId="77777777" w:rsidR="000B3E50" w:rsidRPr="00DE7BC8" w:rsidRDefault="000B3E50" w:rsidP="000B3E50">
      <w:pPr>
        <w:pStyle w:val="NormalAutoChapter"/>
        <w:tabs>
          <w:tab w:val="clear" w:pos="720"/>
          <w:tab w:val="num" w:pos="2564"/>
        </w:tabs>
        <w:rPr>
          <w:lang w:eastAsia="en-US"/>
        </w:rPr>
      </w:pPr>
      <w:r w:rsidRPr="00DE7BC8">
        <w:rPr>
          <w:lang w:eastAsia="en-US"/>
        </w:rPr>
        <w:t xml:space="preserve">We invite your views on whether these criteria are appropriate for NSW, or if other criteria should influence decisions about which attributes to include in the ADA. </w:t>
      </w:r>
    </w:p>
    <w:p w14:paraId="52B52676" w14:textId="77777777" w:rsidR="000B3E50" w:rsidRPr="00DE7BC8" w:rsidRDefault="000B3E50" w:rsidP="000B3E50">
      <w:pPr>
        <w:pStyle w:val="Heading2"/>
      </w:pPr>
      <w:bookmarkStart w:id="188" w:name="_Toc196808029"/>
      <w:bookmarkStart w:id="189" w:name="_Toc196826858"/>
      <w:r w:rsidRPr="00DE7BC8">
        <w:t>Identifying gaps between federal and state law</w:t>
      </w:r>
      <w:bookmarkEnd w:id="188"/>
      <w:bookmarkEnd w:id="189"/>
      <w:r w:rsidRPr="00DE7BC8">
        <w:t xml:space="preserve"> </w:t>
      </w:r>
    </w:p>
    <w:p w14:paraId="0A914BC5" w14:textId="77777777" w:rsidR="000B3E50" w:rsidRPr="00DE7BC8" w:rsidRDefault="000B3E50" w:rsidP="000B3E50">
      <w:pPr>
        <w:pStyle w:val="NormalAutoChapter"/>
        <w:tabs>
          <w:tab w:val="clear" w:pos="720"/>
          <w:tab w:val="num" w:pos="2564"/>
        </w:tabs>
        <w:rPr>
          <w:color w:val="auto"/>
          <w:lang w:eastAsia="en-US"/>
        </w:rPr>
      </w:pPr>
      <w:r w:rsidRPr="00DE7BC8">
        <w:rPr>
          <w:color w:val="auto"/>
          <w:lang w:eastAsia="en-US"/>
        </w:rPr>
        <w:t xml:space="preserve">One of the issues identified by the QHRC is whether an attribute is already protected by other legislation. </w:t>
      </w:r>
    </w:p>
    <w:p w14:paraId="03148250" w14:textId="77777777" w:rsidR="000B3E50" w:rsidRPr="00DE7BC8" w:rsidRDefault="000B3E50" w:rsidP="000B3E50">
      <w:pPr>
        <w:pStyle w:val="NormalAutoChapter"/>
        <w:tabs>
          <w:tab w:val="clear" w:pos="720"/>
          <w:tab w:val="num" w:pos="2564"/>
        </w:tabs>
        <w:rPr>
          <w:color w:val="auto"/>
          <w:lang w:eastAsia="en-US"/>
        </w:rPr>
      </w:pPr>
      <w:r w:rsidRPr="00C94987">
        <w:rPr>
          <w:color w:val="auto"/>
          <w:lang w:eastAsia="en-US"/>
        </w:rPr>
        <w:t xml:space="preserve">In </w:t>
      </w:r>
      <w:r w:rsidRPr="00C94987">
        <w:rPr>
          <w:color w:val="auto"/>
        </w:rPr>
        <w:t xml:space="preserve">our </w:t>
      </w:r>
      <w:r w:rsidRPr="005C1C0E">
        <w:rPr>
          <w:color w:val="auto"/>
        </w:rPr>
        <w:t>second consultation paper</w:t>
      </w:r>
      <w:r w:rsidRPr="00C94987">
        <w:rPr>
          <w:color w:val="auto"/>
        </w:rPr>
        <w:t>, we w</w:t>
      </w:r>
      <w:r w:rsidRPr="00DE7BC8">
        <w:rPr>
          <w:color w:val="auto"/>
        </w:rPr>
        <w:t>ill address the issue of federal and state complaint pathways and procedures in detail. However, t</w:t>
      </w:r>
      <w:r w:rsidRPr="00DE7BC8">
        <w:rPr>
          <w:color w:val="auto"/>
          <w:lang w:eastAsia="en-US"/>
        </w:rPr>
        <w:t>he relationship between federal and state laws is also important to consider when assessing the extent of any gaps in protected attributes in NSW. The complex relationship means that people with some attributes may be unable to obtain an effective remedy under either NSW or federal discrimination law.</w:t>
      </w:r>
    </w:p>
    <w:p w14:paraId="44D7DDF3" w14:textId="77777777" w:rsidR="000B3E50" w:rsidRPr="00DE7BC8" w:rsidRDefault="000B3E50" w:rsidP="000B3E50">
      <w:pPr>
        <w:pStyle w:val="Heading3"/>
      </w:pPr>
      <w:r w:rsidRPr="00DE7BC8">
        <w:t>The federal unlawful discrimination jurisdiction</w:t>
      </w:r>
    </w:p>
    <w:p w14:paraId="286A9789" w14:textId="77777777" w:rsidR="000B3E50" w:rsidRPr="00DE7BC8" w:rsidRDefault="000B3E50" w:rsidP="000B3E50">
      <w:pPr>
        <w:pStyle w:val="NormalAutoChapter"/>
        <w:tabs>
          <w:tab w:val="clear" w:pos="720"/>
          <w:tab w:val="num" w:pos="2564"/>
        </w:tabs>
        <w:rPr>
          <w:color w:val="auto"/>
          <w:lang w:eastAsia="en-US"/>
        </w:rPr>
      </w:pPr>
      <w:r w:rsidRPr="00DE7BC8">
        <w:rPr>
          <w:color w:val="auto"/>
          <w:lang w:eastAsia="en-US"/>
        </w:rPr>
        <w:t xml:space="preserve">Under federal discrimination law, “unlawful discrimination” refers to discrimination that breaches the </w:t>
      </w:r>
      <w:r w:rsidRPr="00DE7BC8">
        <w:rPr>
          <w:i/>
          <w:iCs/>
          <w:color w:val="auto"/>
          <w:lang w:eastAsia="en-US"/>
        </w:rPr>
        <w:t>Racial Discrimination Act 1975</w:t>
      </w:r>
      <w:r w:rsidRPr="00DE7BC8">
        <w:rPr>
          <w:color w:val="auto"/>
          <w:lang w:eastAsia="en-US"/>
        </w:rPr>
        <w:t xml:space="preserve"> (Cth), </w:t>
      </w:r>
      <w:r w:rsidRPr="00DE7BC8">
        <w:rPr>
          <w:i/>
          <w:iCs/>
        </w:rPr>
        <w:t>Sex Discrimination Act 1984</w:t>
      </w:r>
      <w:r w:rsidRPr="00DE7BC8">
        <w:t xml:space="preserve"> (Cth)</w:t>
      </w:r>
      <w:r>
        <w:t xml:space="preserve"> (</w:t>
      </w:r>
      <w:r w:rsidRPr="00DE7BC8">
        <w:rPr>
          <w:i/>
          <w:iCs/>
        </w:rPr>
        <w:t>Sex Discrimination Act</w:t>
      </w:r>
      <w:r>
        <w:t>)</w:t>
      </w:r>
      <w:r w:rsidRPr="00DE7BC8">
        <w:t xml:space="preserve">, </w:t>
      </w:r>
      <w:r w:rsidRPr="00DE7BC8">
        <w:rPr>
          <w:i/>
          <w:iCs/>
        </w:rPr>
        <w:t>Disability Discrimination Act 1992</w:t>
      </w:r>
      <w:r w:rsidRPr="00DE7BC8">
        <w:t xml:space="preserve"> (Cth) or the </w:t>
      </w:r>
      <w:r w:rsidRPr="00DE7BC8">
        <w:rPr>
          <w:i/>
          <w:iCs/>
        </w:rPr>
        <w:t>Age Discrimination Act 2004</w:t>
      </w:r>
      <w:r w:rsidRPr="00DE7BC8">
        <w:t xml:space="preserve"> (Cth). Together, these Acts cover </w:t>
      </w:r>
      <w:r w:rsidRPr="00DE7BC8">
        <w:rPr>
          <w:color w:val="auto"/>
          <w:lang w:eastAsia="en-US"/>
        </w:rPr>
        <w:t xml:space="preserve">discrimination based on </w:t>
      </w:r>
      <w:r w:rsidRPr="00DE7BC8">
        <w:rPr>
          <w:color w:val="auto"/>
        </w:rPr>
        <w:t xml:space="preserve">age, race, colour, descent, national or ethnic origin, sex, sexual orientation, gender identity, marital or relationship status, pregnancy, breastfeeding, family responsibilities or disability. </w:t>
      </w:r>
    </w:p>
    <w:p w14:paraId="1C442E99" w14:textId="77777777" w:rsidR="000B3E50" w:rsidRPr="00DE7BC8" w:rsidRDefault="000B3E50" w:rsidP="000B3E50">
      <w:pPr>
        <w:pStyle w:val="NormalAutoChapter"/>
        <w:tabs>
          <w:tab w:val="clear" w:pos="720"/>
          <w:tab w:val="num" w:pos="2564"/>
        </w:tabs>
        <w:rPr>
          <w:color w:val="auto"/>
          <w:lang w:eastAsia="en-US"/>
        </w:rPr>
      </w:pPr>
      <w:r w:rsidRPr="00DE7BC8">
        <w:rPr>
          <w:color w:val="auto"/>
          <w:lang w:eastAsia="en-US"/>
        </w:rPr>
        <w:lastRenderedPageBreak/>
        <w:t>The Australian Human Rights Commission (AHRC) can attempt to conciliate complaints of unlawful discrimination. If this is unsuccessful, the complainant can seek a judicial remedy in the Federal Court of Australia or Federal Circuit and Family Court of Australia.</w:t>
      </w:r>
      <w:r w:rsidRPr="00DE7BC8">
        <w:rPr>
          <w:rStyle w:val="FootnoteReference"/>
          <w:color w:val="auto"/>
          <w:lang w:eastAsia="en-US"/>
        </w:rPr>
        <w:footnoteReference w:id="274"/>
      </w:r>
    </w:p>
    <w:p w14:paraId="7EBC7686" w14:textId="77777777" w:rsidR="000B3E50" w:rsidRPr="00DE7BC8" w:rsidRDefault="000B3E50" w:rsidP="000B3E50">
      <w:pPr>
        <w:pStyle w:val="NormalAutoChapter"/>
        <w:tabs>
          <w:tab w:val="clear" w:pos="720"/>
          <w:tab w:val="num" w:pos="2564"/>
        </w:tabs>
        <w:rPr>
          <w:color w:val="auto"/>
          <w:lang w:eastAsia="en-US"/>
        </w:rPr>
      </w:pPr>
      <w:r w:rsidRPr="00DE7BC8">
        <w:rPr>
          <w:color w:val="auto"/>
          <w:lang w:eastAsia="en-US"/>
        </w:rPr>
        <w:t>Someone in NSW who experiences discrimination may be able to make a complaint under either state or federal discrimination law, depending on their respective coverage (including any relevant exceptions).</w:t>
      </w:r>
    </w:p>
    <w:p w14:paraId="1F1BF5CE" w14:textId="77777777" w:rsidR="000B3E50" w:rsidRPr="00DE7BC8" w:rsidRDefault="000B3E50" w:rsidP="000B3E50">
      <w:pPr>
        <w:pStyle w:val="NormalAutoChapter"/>
        <w:tabs>
          <w:tab w:val="clear" w:pos="720"/>
          <w:tab w:val="num" w:pos="2564"/>
        </w:tabs>
        <w:rPr>
          <w:color w:val="auto"/>
          <w:lang w:eastAsia="en-US"/>
        </w:rPr>
      </w:pPr>
      <w:r w:rsidRPr="00DE7BC8">
        <w:rPr>
          <w:color w:val="auto"/>
        </w:rPr>
        <w:t xml:space="preserve">There are differences between the coverage of the ADA and federal discrimination law. Sometimes, there are overlaps. Other times, federal law covers a gap in the ADA. An example is bisexuality, which is protected by the federal definition of sexual orientation, but which is not protected by the ADA. </w:t>
      </w:r>
    </w:p>
    <w:p w14:paraId="0EB1B4E2" w14:textId="6B06A1BB" w:rsidR="000B3E50" w:rsidRPr="00DE7BC8" w:rsidRDefault="000B3E50" w:rsidP="000B3E50">
      <w:pPr>
        <w:pStyle w:val="Heading3"/>
      </w:pPr>
      <w:r w:rsidRPr="00DE7BC8">
        <w:t>Other federal complaint pathways</w:t>
      </w:r>
    </w:p>
    <w:p w14:paraId="5274FBCC" w14:textId="77777777" w:rsidR="000B3E50" w:rsidRPr="00DE7BC8" w:rsidRDefault="000B3E50" w:rsidP="000B3E50">
      <w:pPr>
        <w:pStyle w:val="NormalAutoChapter"/>
        <w:tabs>
          <w:tab w:val="clear" w:pos="720"/>
          <w:tab w:val="num" w:pos="2564"/>
        </w:tabs>
      </w:pPr>
      <w:r w:rsidRPr="00DE7BC8">
        <w:t>The AHRC has separate powers to inquire into, and attempt to conciliate, complaints alleging:</w:t>
      </w:r>
    </w:p>
    <w:p w14:paraId="6CEC95B3" w14:textId="77777777" w:rsidR="000B3E50" w:rsidRPr="00DE7BC8" w:rsidRDefault="000B3E50" w:rsidP="000B3E50">
      <w:pPr>
        <w:pStyle w:val="Normalbullet"/>
      </w:pPr>
      <w:r w:rsidRPr="00DE7BC8">
        <w:t>discrimination in employment and occupation, as part of its functions relating to equal opportunity in employment</w:t>
      </w:r>
    </w:p>
    <w:p w14:paraId="4B37F700" w14:textId="77777777" w:rsidR="000B3E50" w:rsidRPr="00DE7BC8" w:rsidRDefault="000B3E50" w:rsidP="000B3E50">
      <w:pPr>
        <w:pStyle w:val="Normalbullet"/>
      </w:pPr>
      <w:r w:rsidRPr="00DE7BC8">
        <w:t>systemic discrimination</w:t>
      </w:r>
      <w:r>
        <w:t>,</w:t>
      </w:r>
      <w:r w:rsidRPr="00DE7BC8">
        <w:t xml:space="preserve"> and</w:t>
      </w:r>
    </w:p>
    <w:p w14:paraId="3D0BA852" w14:textId="77777777" w:rsidR="000B3E50" w:rsidRPr="00DE7BC8" w:rsidRDefault="000B3E50" w:rsidP="000B3E50">
      <w:pPr>
        <w:pStyle w:val="Normalbullet"/>
      </w:pPr>
      <w:r w:rsidRPr="00DE7BC8">
        <w:t xml:space="preserve">acts or practices of the Commonwealth that breach </w:t>
      </w:r>
      <w:proofErr w:type="gramStart"/>
      <w:r w:rsidRPr="00DE7BC8">
        <w:t>particular human</w:t>
      </w:r>
      <w:proofErr w:type="gramEnd"/>
      <w:r w:rsidRPr="00DE7BC8">
        <w:t xml:space="preserve"> rights.</w:t>
      </w:r>
      <w:r w:rsidRPr="00DE7BC8">
        <w:rPr>
          <w:rStyle w:val="FootnoteReference"/>
        </w:rPr>
        <w:footnoteReference w:id="275"/>
      </w:r>
      <w:r w:rsidRPr="00DE7BC8">
        <w:t xml:space="preserve"> </w:t>
      </w:r>
    </w:p>
    <w:p w14:paraId="03452C28" w14:textId="77777777" w:rsidR="000B3E50" w:rsidRPr="00DE7BC8" w:rsidRDefault="000B3E50" w:rsidP="000B3E50">
      <w:pPr>
        <w:pStyle w:val="NormalAutoChapter"/>
        <w:tabs>
          <w:tab w:val="clear" w:pos="720"/>
          <w:tab w:val="num" w:pos="2564"/>
        </w:tabs>
      </w:pPr>
      <w:r w:rsidRPr="00DE7BC8">
        <w:t>These powers cover a wide range of attributes recognised in international human rights and labour law instruments, many of which are not covered in federal discrimination law. For instance, the equal opportunity jurisdiction includes the power to inquire into complaints about discrimination based on attributes such as religion, political opinion, medical record, irrelevant criminal record and trade union activity.</w:t>
      </w:r>
      <w:r w:rsidRPr="00DE7BC8">
        <w:rPr>
          <w:rStyle w:val="FootnoteReference"/>
          <w:color w:val="auto"/>
        </w:rPr>
        <w:footnoteReference w:id="276"/>
      </w:r>
      <w:r w:rsidRPr="00DE7BC8">
        <w:t xml:space="preserve"> </w:t>
      </w:r>
    </w:p>
    <w:p w14:paraId="0FBBB042" w14:textId="77777777" w:rsidR="000B3E50" w:rsidRPr="00DE7BC8" w:rsidRDefault="000B3E50" w:rsidP="000B3E50">
      <w:pPr>
        <w:pStyle w:val="NormalAutoChapter"/>
        <w:tabs>
          <w:tab w:val="clear" w:pos="720"/>
          <w:tab w:val="num" w:pos="2564"/>
        </w:tabs>
      </w:pPr>
      <w:r w:rsidRPr="00DE7BC8">
        <w:t>Where there is a gap in the attributes protected by the ADA or in federal discrimination law, people in NSW may be able to use these pathways to complain to the AHRC. But there are limits to what they can achieve in terms of seeking an effective remedy.</w:t>
      </w:r>
    </w:p>
    <w:p w14:paraId="2E659086" w14:textId="77777777" w:rsidR="000B3E50" w:rsidRPr="00DE7BC8" w:rsidRDefault="000B3E50" w:rsidP="000B3E50">
      <w:pPr>
        <w:pStyle w:val="NormalAutoChapter"/>
        <w:tabs>
          <w:tab w:val="clear" w:pos="720"/>
          <w:tab w:val="num" w:pos="2564"/>
        </w:tabs>
      </w:pPr>
      <w:r w:rsidRPr="00DE7BC8">
        <w:t xml:space="preserve">This is because such complaints cannot be taken to court if conciliation is unsuccessful. Instead, the AHRC can report to the Minister if it considers the act or </w:t>
      </w:r>
      <w:r w:rsidRPr="00DE7BC8">
        <w:lastRenderedPageBreak/>
        <w:t>practice constitutes discrimination or is inconsistent with, or contrary to any human right.</w:t>
      </w:r>
      <w:r w:rsidRPr="00DE7BC8">
        <w:rPr>
          <w:rStyle w:val="FootnoteReference"/>
        </w:rPr>
        <w:footnoteReference w:id="277"/>
      </w:r>
    </w:p>
    <w:p w14:paraId="0966262C" w14:textId="77777777" w:rsidR="000B3E50" w:rsidRPr="00DE7BC8" w:rsidRDefault="000B3E50" w:rsidP="000B3E50">
      <w:pPr>
        <w:pStyle w:val="Heading3"/>
      </w:pPr>
      <w:r w:rsidRPr="00DE7BC8">
        <w:t xml:space="preserve">Adverse action in employment under the </w:t>
      </w:r>
      <w:r w:rsidRPr="00DE7BC8">
        <w:rPr>
          <w:i/>
          <w:iCs w:val="0"/>
        </w:rPr>
        <w:t>Fair Work Act</w:t>
      </w:r>
    </w:p>
    <w:p w14:paraId="2ED31005" w14:textId="77777777" w:rsidR="000B3E50" w:rsidRPr="00DE7BC8" w:rsidRDefault="000B3E50" w:rsidP="000B3E50">
      <w:pPr>
        <w:pStyle w:val="NormalAutoChapter"/>
        <w:tabs>
          <w:tab w:val="clear" w:pos="720"/>
          <w:tab w:val="num" w:pos="2564"/>
        </w:tabs>
        <w:rPr>
          <w:color w:val="auto"/>
          <w:lang w:eastAsia="en-US"/>
        </w:rPr>
      </w:pPr>
      <w:r w:rsidRPr="00DE7BC8">
        <w:rPr>
          <w:color w:val="auto"/>
          <w:lang w:eastAsia="en-US"/>
        </w:rPr>
        <w:t xml:space="preserve">Another gap is created by the interplay of the </w:t>
      </w:r>
      <w:r w:rsidRPr="00DE7BC8">
        <w:rPr>
          <w:i/>
          <w:iCs/>
          <w:color w:val="auto"/>
          <w:lang w:eastAsia="en-US"/>
        </w:rPr>
        <w:t xml:space="preserve">Fair Work Act 2009 </w:t>
      </w:r>
      <w:r w:rsidRPr="00DE7BC8">
        <w:rPr>
          <w:color w:val="auto"/>
          <w:lang w:eastAsia="en-US"/>
        </w:rPr>
        <w:t>(Cth) (</w:t>
      </w:r>
      <w:r w:rsidRPr="00DE7BC8">
        <w:rPr>
          <w:i/>
          <w:iCs/>
          <w:color w:val="auto"/>
          <w:lang w:eastAsia="en-US"/>
        </w:rPr>
        <w:t>Fair Work Act</w:t>
      </w:r>
      <w:r w:rsidRPr="00DE7BC8">
        <w:rPr>
          <w:color w:val="auto"/>
          <w:lang w:eastAsia="en-US"/>
        </w:rPr>
        <w:t xml:space="preserve">) and the ADA. The </w:t>
      </w:r>
      <w:r w:rsidRPr="00DE7BC8">
        <w:rPr>
          <w:i/>
          <w:iCs/>
          <w:color w:val="auto"/>
          <w:lang w:eastAsia="en-US"/>
        </w:rPr>
        <w:t xml:space="preserve">Fair Work Act </w:t>
      </w:r>
      <w:r w:rsidRPr="00DE7BC8">
        <w:rPr>
          <w:color w:val="auto"/>
          <w:lang w:eastAsia="en-US"/>
        </w:rPr>
        <w:t xml:space="preserve">protects against “adverse action” in employment based on a broader range of </w:t>
      </w:r>
      <w:r>
        <w:rPr>
          <w:color w:val="auto"/>
          <w:lang w:eastAsia="en-US"/>
        </w:rPr>
        <w:t xml:space="preserve">personal </w:t>
      </w:r>
      <w:r w:rsidRPr="00DE7BC8">
        <w:rPr>
          <w:color w:val="auto"/>
          <w:lang w:eastAsia="en-US"/>
        </w:rPr>
        <w:t xml:space="preserve">attributes than the ADA or federal discrimination law. That is: </w:t>
      </w:r>
    </w:p>
    <w:p w14:paraId="721A65D5" w14:textId="77777777" w:rsidR="000B3E50" w:rsidRPr="00DE7BC8" w:rsidRDefault="000B3E50" w:rsidP="000B3E50">
      <w:pPr>
        <w:pStyle w:val="Quotationnormal"/>
        <w:rPr>
          <w:color w:val="auto"/>
        </w:rPr>
      </w:pPr>
      <w:r w:rsidRPr="00EA6271">
        <w:t xml:space="preserve">race, colour, sex, sexual orientation, </w:t>
      </w:r>
      <w:hyperlink r:id="rId31" w:anchor="breastfeeding" w:history="1">
        <w:r w:rsidRPr="00EA6271">
          <w:t>breastfeeding</w:t>
        </w:r>
      </w:hyperlink>
      <w:r w:rsidRPr="00EA6271">
        <w:t xml:space="preserve">, </w:t>
      </w:r>
      <w:hyperlink r:id="rId32" w:anchor="gender_identity" w:history="1">
        <w:r w:rsidRPr="00EA6271">
          <w:t>gender identity</w:t>
        </w:r>
      </w:hyperlink>
      <w:r w:rsidRPr="00EA6271">
        <w:t xml:space="preserve">, </w:t>
      </w:r>
      <w:hyperlink r:id="rId33" w:anchor="intersex_status" w:history="1">
        <w:r w:rsidRPr="00EA6271">
          <w:t>intersex status</w:t>
        </w:r>
      </w:hyperlink>
      <w:r w:rsidRPr="00EA6271">
        <w:t xml:space="preserve">, age, physical or mental disability, marital status, family or carer's responsibilities, subjection to </w:t>
      </w:r>
      <w:hyperlink r:id="rId34" w:anchor="family_and_domestic_violence" w:history="1">
        <w:r w:rsidRPr="00EA6271">
          <w:t>family and domestic violence</w:t>
        </w:r>
      </w:hyperlink>
      <w:r w:rsidRPr="00EA6271">
        <w:t>, pregnancy, religion, political opinion, national extraction or social origin</w:t>
      </w:r>
      <w:r w:rsidRPr="00DE7BC8">
        <w:rPr>
          <w:color w:val="auto"/>
        </w:rPr>
        <w:t>.</w:t>
      </w:r>
      <w:r w:rsidRPr="00DE7BC8">
        <w:rPr>
          <w:rStyle w:val="FootnoteReference"/>
          <w:color w:val="auto"/>
        </w:rPr>
        <w:footnoteReference w:id="278"/>
      </w:r>
    </w:p>
    <w:p w14:paraId="79C18A4C" w14:textId="77777777" w:rsidR="000B3E50" w:rsidRPr="00DE7BC8" w:rsidRDefault="000B3E50" w:rsidP="000B3E50">
      <w:pPr>
        <w:pStyle w:val="NormalAutoChapter"/>
        <w:tabs>
          <w:tab w:val="clear" w:pos="720"/>
          <w:tab w:val="num" w:pos="2564"/>
        </w:tabs>
        <w:rPr>
          <w:color w:val="auto"/>
          <w:lang w:eastAsia="en-US"/>
        </w:rPr>
      </w:pPr>
      <w:r w:rsidRPr="00DE7BC8">
        <w:rPr>
          <w:color w:val="auto"/>
          <w:lang w:eastAsia="en-US"/>
        </w:rPr>
        <w:t>Adverse action includes a range of conduct against an employee, such as:</w:t>
      </w:r>
    </w:p>
    <w:p w14:paraId="10E3716F" w14:textId="77777777" w:rsidR="000B3E50" w:rsidRPr="00DE7BC8" w:rsidRDefault="000B3E50" w:rsidP="000B3E50">
      <w:pPr>
        <w:pStyle w:val="Normalbullet"/>
      </w:pPr>
      <w:r w:rsidRPr="00DE7BC8">
        <w:t>dismissing them</w:t>
      </w:r>
    </w:p>
    <w:p w14:paraId="0083717D" w14:textId="77777777" w:rsidR="000B3E50" w:rsidRPr="00DE7BC8" w:rsidRDefault="000B3E50" w:rsidP="000B3E50">
      <w:pPr>
        <w:pStyle w:val="Normalbullet"/>
      </w:pPr>
      <w:r w:rsidRPr="00DE7BC8">
        <w:t>injuring them</w:t>
      </w:r>
      <w:r>
        <w:t xml:space="preserve"> in their employment</w:t>
      </w:r>
    </w:p>
    <w:p w14:paraId="4DA58ACC" w14:textId="77777777" w:rsidR="000B3E50" w:rsidRPr="00DE7BC8" w:rsidRDefault="000B3E50" w:rsidP="000B3E50">
      <w:pPr>
        <w:pStyle w:val="Normalbullet"/>
      </w:pPr>
      <w:r w:rsidRPr="00DE7BC8">
        <w:t xml:space="preserve">altering their position to their prejudice, and </w:t>
      </w:r>
    </w:p>
    <w:p w14:paraId="62CA8B66" w14:textId="2DECD69C" w:rsidR="000B3E50" w:rsidRPr="00DE7BC8" w:rsidRDefault="000B3E50" w:rsidP="000B3E50">
      <w:pPr>
        <w:pStyle w:val="Normalbullet"/>
      </w:pPr>
      <w:r w:rsidRPr="00DE7BC8">
        <w:t xml:space="preserve">discriminating between them and other </w:t>
      </w:r>
      <w:r w:rsidRPr="00732936">
        <w:t>employees</w:t>
      </w:r>
      <w:r w:rsidRPr="00DE7BC8">
        <w:t>.</w:t>
      </w:r>
      <w:r w:rsidRPr="00DE7BC8">
        <w:rPr>
          <w:rStyle w:val="FootnoteReference"/>
        </w:rPr>
        <w:footnoteReference w:id="279"/>
      </w:r>
    </w:p>
    <w:p w14:paraId="0F52C4D0" w14:textId="77777777" w:rsidR="000B3E50" w:rsidRDefault="000B3E50" w:rsidP="000B3E50">
      <w:pPr>
        <w:pStyle w:val="NormalAutoChapter"/>
        <w:tabs>
          <w:tab w:val="clear" w:pos="720"/>
          <w:tab w:val="num" w:pos="2564"/>
        </w:tabs>
        <w:rPr>
          <w:color w:val="auto"/>
          <w:lang w:eastAsia="en-US"/>
        </w:rPr>
      </w:pPr>
      <w:r w:rsidRPr="005761DB">
        <w:rPr>
          <w:color w:val="auto"/>
          <w:lang w:eastAsia="en-US"/>
        </w:rPr>
        <w:t xml:space="preserve">However, </w:t>
      </w:r>
      <w:r>
        <w:rPr>
          <w:color w:val="auto"/>
          <w:lang w:eastAsia="en-US"/>
        </w:rPr>
        <w:t>an exception provides that this</w:t>
      </w:r>
      <w:r w:rsidRPr="005761DB">
        <w:rPr>
          <w:color w:val="auto"/>
          <w:lang w:eastAsia="en-US"/>
        </w:rPr>
        <w:t xml:space="preserve"> does not apply to conduct that is not unlawful under any anti-discrimination law in force where the conduct occurs.</w:t>
      </w:r>
      <w:r w:rsidRPr="00DE7BC8">
        <w:rPr>
          <w:rStyle w:val="FootnoteReference"/>
          <w:color w:val="auto"/>
          <w:lang w:eastAsia="en-US"/>
        </w:rPr>
        <w:footnoteReference w:id="280"/>
      </w:r>
      <w:r w:rsidRPr="005761DB">
        <w:rPr>
          <w:color w:val="auto"/>
          <w:lang w:eastAsia="en-US"/>
        </w:rPr>
        <w:t xml:space="preserve"> If neither the ADA nor federal discrimination law prohibits discrimination based on these attributes, people in NSW cannot use the </w:t>
      </w:r>
      <w:r w:rsidRPr="005761DB">
        <w:rPr>
          <w:i/>
          <w:iCs/>
          <w:color w:val="auto"/>
          <w:lang w:eastAsia="en-US"/>
        </w:rPr>
        <w:t>Fair Work Act</w:t>
      </w:r>
      <w:r w:rsidRPr="005761DB">
        <w:rPr>
          <w:color w:val="auto"/>
          <w:lang w:eastAsia="en-US"/>
        </w:rPr>
        <w:t xml:space="preserve"> to complain about certain forms of adverse action in employment based such attributes either. For instance, neither the ADA nor federal discrimination law covers discrimination based on family and domestic violence, religion, political opinion and social origin. </w:t>
      </w:r>
    </w:p>
    <w:p w14:paraId="75552398" w14:textId="77777777" w:rsidR="000B3E50" w:rsidRPr="005761DB" w:rsidRDefault="000B3E50" w:rsidP="000B3E50">
      <w:pPr>
        <w:pStyle w:val="NormalAutoChapter"/>
        <w:tabs>
          <w:tab w:val="clear" w:pos="720"/>
          <w:tab w:val="num" w:pos="2564"/>
        </w:tabs>
        <w:rPr>
          <w:color w:val="auto"/>
          <w:lang w:eastAsia="en-US"/>
        </w:rPr>
      </w:pPr>
      <w:r w:rsidRPr="005761DB">
        <w:rPr>
          <w:color w:val="auto"/>
          <w:lang w:eastAsia="en-US"/>
        </w:rPr>
        <w:t>This means people in NSW can be doubly disadvantaged compared to people in other states and territories</w:t>
      </w:r>
      <w:r>
        <w:rPr>
          <w:color w:val="auto"/>
          <w:lang w:eastAsia="en-US"/>
        </w:rPr>
        <w:t xml:space="preserve"> in which these attributes are protected.</w:t>
      </w:r>
    </w:p>
    <w:p w14:paraId="5E437BB9" w14:textId="77777777" w:rsidR="000B3E50" w:rsidRDefault="000B3E50" w:rsidP="000B3E50">
      <w:pPr>
        <w:pStyle w:val="NormalAutoChapter"/>
        <w:tabs>
          <w:tab w:val="clear" w:pos="720"/>
          <w:tab w:val="num" w:pos="2564"/>
        </w:tabs>
        <w:rPr>
          <w:color w:val="auto"/>
          <w:lang w:eastAsia="en-US"/>
        </w:rPr>
      </w:pPr>
      <w:r>
        <w:rPr>
          <w:color w:val="auto"/>
          <w:lang w:eastAsia="en-US"/>
        </w:rPr>
        <w:t>A</w:t>
      </w:r>
      <w:r w:rsidRPr="00DE7BC8">
        <w:rPr>
          <w:color w:val="auto"/>
          <w:lang w:eastAsia="en-US"/>
        </w:rPr>
        <w:t xml:space="preserve">dding certain attributes to the ADA might enliven the employment protections under the </w:t>
      </w:r>
      <w:r w:rsidRPr="00DE7BC8">
        <w:rPr>
          <w:i/>
          <w:iCs/>
          <w:color w:val="auto"/>
          <w:lang w:eastAsia="en-US"/>
        </w:rPr>
        <w:t>Fair Work Act</w:t>
      </w:r>
      <w:r w:rsidRPr="00DE7BC8">
        <w:rPr>
          <w:color w:val="auto"/>
          <w:lang w:eastAsia="en-US"/>
        </w:rPr>
        <w:t xml:space="preserve"> relating to that attribute (subject to any exceptions). This will need to be considered carefully to avoid further complexity and inconsistency between the jurisdictions</w:t>
      </w:r>
      <w:r>
        <w:rPr>
          <w:color w:val="auto"/>
          <w:lang w:eastAsia="en-US"/>
        </w:rPr>
        <w:t xml:space="preserve">. We will return to </w:t>
      </w:r>
      <w:r w:rsidRPr="00CE1F73">
        <w:rPr>
          <w:color w:val="auto"/>
          <w:lang w:eastAsia="en-US"/>
        </w:rPr>
        <w:t>this issue in our second consultation paper.</w:t>
      </w:r>
    </w:p>
    <w:p w14:paraId="5DEE4BA3" w14:textId="77777777" w:rsidR="000B3E50" w:rsidRPr="00DE7BC8" w:rsidRDefault="000B3E50" w:rsidP="000B3E50">
      <w:pPr>
        <w:pStyle w:val="NormalAutoChapter"/>
        <w:tabs>
          <w:tab w:val="clear" w:pos="720"/>
          <w:tab w:val="num" w:pos="2564"/>
        </w:tabs>
      </w:pPr>
      <w:r>
        <w:t xml:space="preserve">This exception does not apply to other related protections in the </w:t>
      </w:r>
      <w:r w:rsidRPr="00554299">
        <w:rPr>
          <w:i/>
          <w:iCs/>
        </w:rPr>
        <w:t>Fair Work Act</w:t>
      </w:r>
      <w:r>
        <w:t>. T</w:t>
      </w:r>
      <w:r w:rsidRPr="00DE7BC8">
        <w:t>h</w:t>
      </w:r>
      <w:r>
        <w:t xml:space="preserve">is includes the prohibition on taking adverse action against someone </w:t>
      </w:r>
      <w:r w:rsidRPr="00DE7BC8">
        <w:t>because they:</w:t>
      </w:r>
    </w:p>
    <w:p w14:paraId="19D8877B" w14:textId="77777777" w:rsidR="000B3E50" w:rsidRPr="00DE7BC8" w:rsidRDefault="000B3E50" w:rsidP="000B3E50">
      <w:pPr>
        <w:pStyle w:val="Normalbullet"/>
      </w:pPr>
      <w:r w:rsidRPr="00DE7BC8">
        <w:lastRenderedPageBreak/>
        <w:t>are or are not a member of an industrial association, or</w:t>
      </w:r>
    </w:p>
    <w:p w14:paraId="22D2364D" w14:textId="77777777" w:rsidR="000B3E50" w:rsidRPr="00DE7BC8" w:rsidRDefault="000B3E50" w:rsidP="000B3E50">
      <w:pPr>
        <w:pStyle w:val="Normalbullet"/>
      </w:pPr>
      <w:r w:rsidRPr="00DE7BC8">
        <w:t>engage, propose to engage, or do not engage, in industrial activity.</w:t>
      </w:r>
      <w:r w:rsidRPr="00DE7BC8">
        <w:rPr>
          <w:rStyle w:val="FootnoteReference"/>
        </w:rPr>
        <w:footnoteReference w:id="281"/>
      </w:r>
    </w:p>
    <w:p w14:paraId="7579FFC9" w14:textId="77777777" w:rsidR="000B3E50" w:rsidRPr="007C132A" w:rsidRDefault="000B3E50" w:rsidP="000B3E50">
      <w:pPr>
        <w:pStyle w:val="NormalAutoChapter"/>
        <w:tabs>
          <w:tab w:val="clear" w:pos="720"/>
          <w:tab w:val="num" w:pos="9084"/>
        </w:tabs>
      </w:pPr>
      <w:r>
        <w:t>In addition, t</w:t>
      </w:r>
      <w:r w:rsidRPr="00DE7BC8">
        <w:t>he</w:t>
      </w:r>
      <w:r>
        <w:t xml:space="preserve"> exception does not apply to the </w:t>
      </w:r>
      <w:r w:rsidRPr="00DE7BC8">
        <w:t>prohibit</w:t>
      </w:r>
      <w:r>
        <w:t xml:space="preserve">ion on the </w:t>
      </w:r>
      <w:r w:rsidRPr="00DE7BC8">
        <w:t xml:space="preserve">termination of employment based on the </w:t>
      </w:r>
      <w:r>
        <w:t>broad list of attributes we mention above</w:t>
      </w:r>
      <w:r w:rsidRPr="00DE7BC8">
        <w:t>.</w:t>
      </w:r>
      <w:r w:rsidRPr="00DE7BC8">
        <w:rPr>
          <w:rStyle w:val="FootnoteReference"/>
          <w:color w:val="auto"/>
          <w:lang w:eastAsia="en-US"/>
        </w:rPr>
        <w:footnoteReference w:id="282"/>
      </w:r>
      <w:r w:rsidRPr="00DE7BC8">
        <w:t xml:space="preserve"> </w:t>
      </w:r>
    </w:p>
    <w:p w14:paraId="6456BDB9" w14:textId="77777777" w:rsidR="000B3E50" w:rsidRPr="00DE7BC8" w:rsidRDefault="000B3E50" w:rsidP="000B3E50">
      <w:pPr>
        <w:pStyle w:val="Recommendationheading"/>
        <w:rPr>
          <w:rFonts w:ascii="Public Sans" w:hAnsi="Public Sans"/>
        </w:rPr>
      </w:pPr>
      <w:r w:rsidRPr="00DE7BC8">
        <w:rPr>
          <w:rFonts w:ascii="Public Sans" w:hAnsi="Public Sans"/>
        </w:rPr>
        <w:t xml:space="preserve">Question 5.1: </w:t>
      </w:r>
      <w:r>
        <w:rPr>
          <w:rFonts w:ascii="Public Sans" w:hAnsi="Public Sans"/>
        </w:rPr>
        <w:t xml:space="preserve">Guiding principles </w:t>
      </w:r>
    </w:p>
    <w:p w14:paraId="6EB95E36" w14:textId="77777777" w:rsidR="000B3E50" w:rsidRPr="00DE7BC8" w:rsidRDefault="000B3E50" w:rsidP="000B3E50">
      <w:pPr>
        <w:pStyle w:val="Recommendationnormal"/>
      </w:pPr>
      <w:r w:rsidRPr="00DE7BC8">
        <w:t>What principles should guide decision</w:t>
      </w:r>
      <w:r>
        <w:t>s about what, if any, new attributes should be added to the ADA?</w:t>
      </w:r>
      <w:r w:rsidRPr="00DE7BC8" w:rsidDel="00AE2E2A">
        <w:t xml:space="preserve"> </w:t>
      </w:r>
    </w:p>
    <w:p w14:paraId="58602F0F" w14:textId="77777777" w:rsidR="000B3E50" w:rsidRPr="00DE7BC8" w:rsidRDefault="000B3E50" w:rsidP="000B3E50">
      <w:pPr>
        <w:pStyle w:val="Heading1"/>
      </w:pPr>
      <w:bookmarkStart w:id="190" w:name="_Toc196808030"/>
      <w:bookmarkStart w:id="191" w:name="_Toc196826859"/>
      <w:bookmarkEnd w:id="185"/>
      <w:r w:rsidRPr="00DE7BC8">
        <w:t>Some options for new protected attributes</w:t>
      </w:r>
      <w:bookmarkEnd w:id="190"/>
      <w:bookmarkEnd w:id="191"/>
    </w:p>
    <w:p w14:paraId="7CFA2C96" w14:textId="77777777" w:rsidR="000B3E50" w:rsidRPr="00DE7BC8" w:rsidRDefault="000B3E50" w:rsidP="000B3E50">
      <w:pPr>
        <w:pStyle w:val="NormalAutoChapter"/>
        <w:tabs>
          <w:tab w:val="clear" w:pos="720"/>
          <w:tab w:val="num" w:pos="2564"/>
        </w:tabs>
      </w:pPr>
      <w:r w:rsidRPr="00DE7BC8">
        <w:t xml:space="preserve">In preliminary submissions, we received a range of suggestions for possible new protected attributes. We outline these below, highlighting potential considerations relating to their expression, definitions and exceptions drawn from other laws and law reform processes. We encourage you to comment on these options and </w:t>
      </w:r>
      <w:r>
        <w:t xml:space="preserve">to </w:t>
      </w:r>
      <w:r w:rsidRPr="00DE7BC8">
        <w:t>suggest others.</w:t>
      </w:r>
    </w:p>
    <w:p w14:paraId="248D640A" w14:textId="77777777" w:rsidR="000B3E50" w:rsidRPr="00DE7BC8" w:rsidRDefault="000B3E50" w:rsidP="000B3E50">
      <w:pPr>
        <w:pStyle w:val="Heading2"/>
      </w:pPr>
      <w:bookmarkStart w:id="192" w:name="_Toc196808031"/>
      <w:bookmarkStart w:id="193" w:name="_Toc196826860"/>
      <w:r w:rsidRPr="00DE7BC8">
        <w:t>Irrelevant criminal record</w:t>
      </w:r>
      <w:bookmarkEnd w:id="192"/>
      <w:bookmarkEnd w:id="193"/>
      <w:r w:rsidRPr="00DE7BC8">
        <w:t xml:space="preserve"> </w:t>
      </w:r>
    </w:p>
    <w:p w14:paraId="5F439CB0" w14:textId="77777777" w:rsidR="000B3E50" w:rsidRPr="00DE7BC8" w:rsidRDefault="000B3E50" w:rsidP="000B3E50">
      <w:pPr>
        <w:pStyle w:val="NormalAutoChapter"/>
      </w:pPr>
      <w:r w:rsidRPr="00DE7BC8">
        <w:t>In preliminary submissions, we heard concerns that discrimination based on irrelevant criminal record can make it hard to enter the workforce. This form of discrimination can affect some groups disproportionately, such as Aboriginal people, sex workers and gender diverse communities, due to their high level of contact with the criminal justice system.</w:t>
      </w:r>
      <w:r w:rsidRPr="00DE7BC8">
        <w:rPr>
          <w:rStyle w:val="FootnoteReference"/>
        </w:rPr>
        <w:footnoteReference w:id="283"/>
      </w:r>
      <w:r w:rsidRPr="00DE7BC8">
        <w:t xml:space="preserve"> </w:t>
      </w:r>
    </w:p>
    <w:p w14:paraId="3FDEE999" w14:textId="77777777" w:rsidR="000B3E50" w:rsidRPr="00DE7BC8" w:rsidRDefault="000B3E50" w:rsidP="000B3E50">
      <w:pPr>
        <w:pStyle w:val="NormalAutoChapter"/>
        <w:tabs>
          <w:tab w:val="clear" w:pos="720"/>
          <w:tab w:val="num" w:pos="2564"/>
        </w:tabs>
        <w:rPr>
          <w:lang w:eastAsia="en-US"/>
        </w:rPr>
      </w:pPr>
      <w:r w:rsidRPr="00DE7BC8">
        <w:rPr>
          <w:lang w:eastAsia="en-US"/>
        </w:rPr>
        <w:t>Discrimination based on irrelevant criminal record is unlawful in the Australian Capital Territory (ACT), the Northern Territory (NT) and Tasmania.</w:t>
      </w:r>
      <w:r w:rsidRPr="00DE7BC8">
        <w:rPr>
          <w:rStyle w:val="FootnoteReference"/>
        </w:rPr>
        <w:footnoteReference w:id="284"/>
      </w:r>
      <w:r w:rsidRPr="00DE7BC8">
        <w:rPr>
          <w:lang w:eastAsia="en-US"/>
        </w:rPr>
        <w:t xml:space="preserve"> The AHRC says this should be unlawful under federal discrimination law too, with judicial remedies available.</w:t>
      </w:r>
      <w:r w:rsidRPr="00DE7BC8">
        <w:rPr>
          <w:rStyle w:val="FootnoteReference"/>
          <w:lang w:eastAsia="en-US"/>
        </w:rPr>
        <w:footnoteReference w:id="285"/>
      </w:r>
      <w:r w:rsidRPr="00DE7BC8">
        <w:rPr>
          <w:lang w:eastAsia="en-US"/>
        </w:rPr>
        <w:t xml:space="preserve"> Currently, the AHRC can inquire into and try to conciliate complaints of discrimination at work based on irrelevant criminal record.</w:t>
      </w:r>
      <w:r w:rsidRPr="00DE7BC8">
        <w:rPr>
          <w:rStyle w:val="FootnoteReference"/>
          <w:lang w:eastAsia="en-US"/>
        </w:rPr>
        <w:footnoteReference w:id="286"/>
      </w:r>
      <w:r w:rsidRPr="00DE7BC8">
        <w:rPr>
          <w:lang w:eastAsia="en-US"/>
        </w:rPr>
        <w:t xml:space="preserve"> However, as we note above, judicial remedies are not available for such complaints. </w:t>
      </w:r>
    </w:p>
    <w:p w14:paraId="65B46E5E" w14:textId="77777777" w:rsidR="000B3E50" w:rsidRPr="00DE7BC8" w:rsidRDefault="000B3E50" w:rsidP="000B3E50">
      <w:pPr>
        <w:pStyle w:val="NormalAutoChapter"/>
        <w:tabs>
          <w:tab w:val="num" w:pos="2564"/>
        </w:tabs>
      </w:pPr>
      <w:r w:rsidRPr="00DE7BC8">
        <w:lastRenderedPageBreak/>
        <w:t>In 1999, the NSWLRC recommended against including lapsed criminal convictions as an attribute. It said there was no reason for the ADA to cover criminal records, as other laws dealt with spent convictions and when a criminal record must be disclosed.</w:t>
      </w:r>
      <w:r w:rsidRPr="00DE7BC8">
        <w:rPr>
          <w:rStyle w:val="FootnoteReference"/>
        </w:rPr>
        <w:footnoteReference w:id="287"/>
      </w:r>
      <w:r w:rsidRPr="00DE7BC8">
        <w:t xml:space="preserve"> </w:t>
      </w:r>
    </w:p>
    <w:p w14:paraId="55FAF98B" w14:textId="61588CC8" w:rsidR="000B3E50" w:rsidRPr="009E234E" w:rsidRDefault="000B3E50" w:rsidP="000B3E50">
      <w:pPr>
        <w:pStyle w:val="NormalAutoChapter"/>
        <w:tabs>
          <w:tab w:val="num" w:pos="2564"/>
        </w:tabs>
        <w:rPr>
          <w:color w:val="auto"/>
        </w:rPr>
      </w:pPr>
      <w:r w:rsidRPr="009E234E">
        <w:rPr>
          <w:color w:val="auto"/>
        </w:rPr>
        <w:t>In 2024, the Queensland Parliament enacted reforms to add “irrelevant criminal record” as a protected attribute. This, and other amendments to Queensland’s discrimination law, was due to commence on 1 July 2025.</w:t>
      </w:r>
      <w:r w:rsidRPr="009E234E">
        <w:rPr>
          <w:rStyle w:val="FootnoteReference"/>
          <w:color w:val="auto"/>
        </w:rPr>
        <w:footnoteReference w:id="288"/>
      </w:r>
      <w:r w:rsidRPr="009E234E">
        <w:rPr>
          <w:color w:val="auto"/>
        </w:rPr>
        <w:t xml:space="preserve"> However, the current Queensland Government </w:t>
      </w:r>
      <w:r w:rsidR="00FA03C6">
        <w:rPr>
          <w:color w:val="auto"/>
        </w:rPr>
        <w:t xml:space="preserve">decided </w:t>
      </w:r>
      <w:r w:rsidRPr="009E234E">
        <w:rPr>
          <w:color w:val="auto"/>
        </w:rPr>
        <w:t>to defer the commencement of all these amendments to conduct further consultations. It expressed concerns that the attribute of “irrelevant criminal record” could affect government decision-making on issues such as weapons licensing, police protection notices or security provider licensing.</w:t>
      </w:r>
      <w:r w:rsidRPr="009E234E">
        <w:rPr>
          <w:rStyle w:val="FootnoteReference"/>
          <w:color w:val="auto"/>
        </w:rPr>
        <w:footnoteReference w:id="289"/>
      </w:r>
      <w:r w:rsidRPr="009E234E">
        <w:rPr>
          <w:color w:val="auto"/>
        </w:rPr>
        <w:t xml:space="preserve"> </w:t>
      </w:r>
    </w:p>
    <w:p w14:paraId="18442AD5" w14:textId="77777777" w:rsidR="000B3E50" w:rsidRPr="00DE7BC8" w:rsidRDefault="000B3E50" w:rsidP="000B3E50">
      <w:pPr>
        <w:pStyle w:val="Heading3"/>
      </w:pPr>
      <w:r w:rsidRPr="00DE7BC8">
        <w:t xml:space="preserve">Models for defining the scope </w:t>
      </w:r>
    </w:p>
    <w:p w14:paraId="0A2BDEFC" w14:textId="77777777" w:rsidR="000B3E50" w:rsidRPr="00DE7BC8" w:rsidRDefault="000B3E50" w:rsidP="000B3E50">
      <w:pPr>
        <w:pStyle w:val="NormalAutoChapter"/>
        <w:tabs>
          <w:tab w:val="clear" w:pos="720"/>
          <w:tab w:val="num" w:pos="2564"/>
        </w:tabs>
        <w:rPr>
          <w:lang w:eastAsia="en-US"/>
        </w:rPr>
      </w:pPr>
      <w:r w:rsidRPr="00DE7BC8">
        <w:rPr>
          <w:lang w:eastAsia="en-US"/>
        </w:rPr>
        <w:t>If NSW was to recognise irrelevant criminal record as a protected attribute, other states and territories might provide models. For instance, the ACT defines “irrelevant criminal record” to include:</w:t>
      </w:r>
    </w:p>
    <w:p w14:paraId="50162677" w14:textId="77777777" w:rsidR="000B3E50" w:rsidRPr="00DE7BC8" w:rsidRDefault="000B3E50" w:rsidP="000B3E50">
      <w:pPr>
        <w:pStyle w:val="Normalbullet"/>
      </w:pPr>
      <w:r w:rsidRPr="00DE7BC8">
        <w:t>a record relating to an alleged offence where the proceedings were not finalised</w:t>
      </w:r>
    </w:p>
    <w:p w14:paraId="7CCE708E" w14:textId="77777777" w:rsidR="000B3E50" w:rsidRPr="00DE7BC8" w:rsidRDefault="000B3E50" w:rsidP="000B3E50">
      <w:pPr>
        <w:pStyle w:val="Normalbullet"/>
      </w:pPr>
      <w:r w:rsidRPr="00DE7BC8">
        <w:t xml:space="preserve">a record relating to an alleged offence where the individual was acquitted </w:t>
      </w:r>
    </w:p>
    <w:p w14:paraId="16C0E2D0" w14:textId="77777777" w:rsidR="000B3E50" w:rsidRPr="00DE7BC8" w:rsidRDefault="000B3E50" w:rsidP="000B3E50">
      <w:pPr>
        <w:pStyle w:val="Normalbullet"/>
      </w:pPr>
      <w:r w:rsidRPr="00DE7BC8">
        <w:t xml:space="preserve">instances where the individual was served with an infringement notice </w:t>
      </w:r>
    </w:p>
    <w:p w14:paraId="00C9F658" w14:textId="77777777" w:rsidR="000B3E50" w:rsidRPr="00DE7BC8" w:rsidRDefault="000B3E50" w:rsidP="000B3E50">
      <w:pPr>
        <w:pStyle w:val="Normalbullet"/>
      </w:pPr>
      <w:r w:rsidRPr="00DE7BC8">
        <w:t>instances where the individual had a conviction for an offence, but the circumstances of the offence were not directly relevant to the situation in which discrimination arose, and</w:t>
      </w:r>
    </w:p>
    <w:p w14:paraId="5EFC4AF5" w14:textId="77777777" w:rsidR="000B3E50" w:rsidRPr="00DE7BC8" w:rsidRDefault="000B3E50" w:rsidP="000B3E50">
      <w:pPr>
        <w:pStyle w:val="Normalbullet"/>
      </w:pPr>
      <w:r w:rsidRPr="00DE7BC8">
        <w:t>spent convictions (which includes extinguished homosexual convictions).</w:t>
      </w:r>
      <w:r w:rsidRPr="00DE7BC8">
        <w:rPr>
          <w:rStyle w:val="FootnoteReference"/>
        </w:rPr>
        <w:footnoteReference w:id="290"/>
      </w:r>
    </w:p>
    <w:p w14:paraId="0FD493AA" w14:textId="77777777" w:rsidR="000B3E50" w:rsidRPr="00DE7BC8" w:rsidRDefault="000B3E50" w:rsidP="000B3E50">
      <w:pPr>
        <w:pStyle w:val="NormalAutoChapter"/>
        <w:tabs>
          <w:tab w:val="clear" w:pos="720"/>
          <w:tab w:val="num" w:pos="2564"/>
        </w:tabs>
      </w:pPr>
      <w:r w:rsidRPr="00DE7BC8">
        <w:rPr>
          <w:color w:val="auto"/>
        </w:rPr>
        <w:t xml:space="preserve">An issue is how the ADA might deal with discrimination based on </w:t>
      </w:r>
      <w:r w:rsidRPr="00DE7BC8">
        <w:rPr>
          <w:lang w:eastAsia="en-US"/>
        </w:rPr>
        <w:t xml:space="preserve">expunged convictions for homosexuality offences, which have now been repealed. One option is to treat </w:t>
      </w:r>
      <w:r w:rsidRPr="00DE7BC8">
        <w:rPr>
          <w:color w:val="auto"/>
        </w:rPr>
        <w:t xml:space="preserve">extinguished or expunged homosexual convictions as “irrelevant criminal records”, as in the ACT, </w:t>
      </w:r>
      <w:r>
        <w:rPr>
          <w:color w:val="auto"/>
        </w:rPr>
        <w:t xml:space="preserve">the </w:t>
      </w:r>
      <w:r w:rsidRPr="00DE7BC8">
        <w:rPr>
          <w:color w:val="auto"/>
        </w:rPr>
        <w:t>NT and Tasmania</w:t>
      </w:r>
      <w:r w:rsidRPr="00DE7BC8">
        <w:t>.</w:t>
      </w:r>
      <w:r w:rsidRPr="00DE7BC8">
        <w:rPr>
          <w:rStyle w:val="FootnoteReference"/>
        </w:rPr>
        <w:footnoteReference w:id="291"/>
      </w:r>
      <w:r w:rsidRPr="00DE7BC8">
        <w:t xml:space="preserve"> </w:t>
      </w:r>
    </w:p>
    <w:p w14:paraId="6931ACF5" w14:textId="77777777" w:rsidR="000B3E50" w:rsidRPr="00DE7BC8" w:rsidRDefault="000B3E50" w:rsidP="000B3E50">
      <w:pPr>
        <w:pStyle w:val="NormalAutoChapter"/>
        <w:tabs>
          <w:tab w:val="num" w:pos="2564"/>
        </w:tabs>
        <w:rPr>
          <w:strike/>
          <w:color w:val="auto"/>
        </w:rPr>
      </w:pPr>
      <w:r w:rsidRPr="00DE7BC8">
        <w:lastRenderedPageBreak/>
        <w:t xml:space="preserve">Alternatively, </w:t>
      </w:r>
      <w:r w:rsidRPr="00DE7BC8">
        <w:rPr>
          <w:color w:val="auto"/>
        </w:rPr>
        <w:t>“expunged homosexual conviction” could be recognised as a distinct attribute, as in Victoria.</w:t>
      </w:r>
      <w:r w:rsidRPr="00DE7BC8">
        <w:rPr>
          <w:rStyle w:val="FootnoteReference"/>
          <w:color w:val="auto"/>
        </w:rPr>
        <w:footnoteReference w:id="292"/>
      </w:r>
      <w:r w:rsidRPr="00DE7BC8">
        <w:rPr>
          <w:color w:val="auto"/>
        </w:rPr>
        <w:t xml:space="preserve"> The former Queensland Government preferred this approach because expunged homosexual offence convictions should never have existed. This differentiates them from other convictions.</w:t>
      </w:r>
      <w:r w:rsidRPr="00DE7BC8">
        <w:rPr>
          <w:rStyle w:val="FootnoteReference"/>
          <w:color w:val="auto"/>
        </w:rPr>
        <w:footnoteReference w:id="293"/>
      </w:r>
    </w:p>
    <w:p w14:paraId="31C528CB" w14:textId="77777777" w:rsidR="000B3E50" w:rsidRPr="00DE7BC8" w:rsidRDefault="000B3E50" w:rsidP="000B3E50">
      <w:pPr>
        <w:pStyle w:val="Heading3"/>
      </w:pPr>
      <w:r w:rsidRPr="00DE7BC8">
        <w:t>Possible exceptions</w:t>
      </w:r>
    </w:p>
    <w:p w14:paraId="73BABBE6" w14:textId="77777777" w:rsidR="000B3E50" w:rsidRPr="00DE7BC8" w:rsidRDefault="000B3E50" w:rsidP="000B3E50">
      <w:pPr>
        <w:pStyle w:val="NormalAutoChapter"/>
        <w:tabs>
          <w:tab w:val="num" w:pos="2564"/>
        </w:tabs>
        <w:rPr>
          <w:color w:val="auto"/>
        </w:rPr>
      </w:pPr>
      <w:r w:rsidRPr="00DE7BC8">
        <w:rPr>
          <w:color w:val="auto"/>
        </w:rPr>
        <w:t xml:space="preserve">Another issue is whether exceptions to discrimination based on “irrelevant criminal record” are needed to balance competing interests. For instance, exceptions apply elsewhere relating to: </w:t>
      </w:r>
    </w:p>
    <w:p w14:paraId="5DC763AF" w14:textId="77777777" w:rsidR="000B3E50" w:rsidRPr="00DE7BC8" w:rsidRDefault="000B3E50" w:rsidP="000B3E50">
      <w:pPr>
        <w:pStyle w:val="Normalbullet"/>
      </w:pPr>
      <w:r w:rsidRPr="00DE7BC8">
        <w:t>employment that involves working with vulnerable people, if the discrimination is reasonably necessary to protect their wellbeing</w:t>
      </w:r>
      <w:r w:rsidRPr="00DE7BC8">
        <w:rPr>
          <w:rStyle w:val="FootnoteReference"/>
        </w:rPr>
        <w:footnoteReference w:id="294"/>
      </w:r>
      <w:r w:rsidRPr="00DE7BC8">
        <w:t xml:space="preserve"> </w:t>
      </w:r>
    </w:p>
    <w:p w14:paraId="0F357530" w14:textId="77777777" w:rsidR="00F36944" w:rsidRDefault="000B3E50" w:rsidP="00F36944">
      <w:pPr>
        <w:pStyle w:val="Normalbullet"/>
      </w:pPr>
      <w:r w:rsidRPr="00DE7BC8">
        <w:t>employment that involves working with children if the discrimination is reasonably necessary to protect children’s wellbeing,</w:t>
      </w:r>
      <w:r w:rsidRPr="00DE7BC8">
        <w:rPr>
          <w:rStyle w:val="FootnoteReference"/>
        </w:rPr>
        <w:footnoteReference w:id="295"/>
      </w:r>
      <w:r w:rsidRPr="00DE7BC8">
        <w:t xml:space="preserve"> or</w:t>
      </w:r>
    </w:p>
    <w:p w14:paraId="79BE3F6A" w14:textId="532A0CAF" w:rsidR="000B3E50" w:rsidRPr="00DE7BC8" w:rsidRDefault="000B3E50" w:rsidP="00F36944">
      <w:pPr>
        <w:pStyle w:val="Normalbullet"/>
      </w:pPr>
      <w:r w:rsidRPr="00F36944">
        <w:t>providing accommodation, where it is reasonably necessary to protect the wellbeing of nearby residents</w:t>
      </w:r>
      <w:r w:rsidRPr="00DE7BC8">
        <w:rPr>
          <w:rStyle w:val="cf01"/>
        </w:rPr>
        <w:t>.</w:t>
      </w:r>
      <w:r w:rsidRPr="00DE7BC8">
        <w:rPr>
          <w:rStyle w:val="FootnoteReference"/>
        </w:rPr>
        <w:footnoteReference w:id="296"/>
      </w:r>
    </w:p>
    <w:p w14:paraId="1293C8DC" w14:textId="77777777" w:rsidR="000B3E50" w:rsidRPr="00DE7BC8" w:rsidRDefault="000B3E50" w:rsidP="000B3E50">
      <w:pPr>
        <w:pStyle w:val="Heading2"/>
      </w:pPr>
      <w:bookmarkStart w:id="194" w:name="_Toc196808032"/>
      <w:bookmarkStart w:id="195" w:name="_Toc196826861"/>
      <w:r w:rsidRPr="00DE7BC8">
        <w:t>Domestic and family violence</w:t>
      </w:r>
      <w:bookmarkEnd w:id="194"/>
      <w:bookmarkEnd w:id="195"/>
      <w:r w:rsidRPr="00DE7BC8">
        <w:t xml:space="preserve"> </w:t>
      </w:r>
    </w:p>
    <w:p w14:paraId="4A8D636F" w14:textId="77777777" w:rsidR="000B3E50" w:rsidRPr="00DE7BC8" w:rsidRDefault="000B3E50" w:rsidP="000B3E50">
      <w:pPr>
        <w:pStyle w:val="NormalAutoChapter"/>
      </w:pPr>
      <w:r w:rsidRPr="00DE7BC8">
        <w:rPr>
          <w:bCs/>
          <w:iCs/>
        </w:rPr>
        <w:t>We heard that victim-survivors of domestic and family violence can experience a range of discriminatory practices. This includes in the areas of accommodation, work and education.</w:t>
      </w:r>
      <w:r w:rsidRPr="00DE7BC8">
        <w:rPr>
          <w:rStyle w:val="FootnoteReference"/>
          <w:bCs/>
          <w:iCs/>
        </w:rPr>
        <w:footnoteReference w:id="297"/>
      </w:r>
      <w:r w:rsidRPr="00DE7BC8">
        <w:t xml:space="preserve"> </w:t>
      </w:r>
    </w:p>
    <w:p w14:paraId="2D2C660D" w14:textId="77777777" w:rsidR="000B3E50" w:rsidRPr="00DE7BC8" w:rsidRDefault="000B3E50" w:rsidP="000B3E50">
      <w:pPr>
        <w:pStyle w:val="NormalAutoChapter"/>
        <w:tabs>
          <w:tab w:val="clear" w:pos="720"/>
          <w:tab w:val="num" w:pos="2564"/>
        </w:tabs>
        <w:rPr>
          <w:lang w:eastAsia="en-US"/>
        </w:rPr>
      </w:pPr>
      <w:r w:rsidRPr="00DE7BC8">
        <w:rPr>
          <w:lang w:eastAsia="en-US"/>
        </w:rPr>
        <w:t>South Australia, the ACT and the NT protect against discrimination based on domestic or family violence</w:t>
      </w:r>
      <w:r>
        <w:rPr>
          <w:lang w:eastAsia="en-US"/>
        </w:rPr>
        <w:t>.</w:t>
      </w:r>
      <w:r w:rsidRPr="00DE7BC8">
        <w:rPr>
          <w:rStyle w:val="FootnoteReference"/>
          <w:lang w:eastAsia="en-US"/>
        </w:rPr>
        <w:footnoteReference w:id="298"/>
      </w:r>
      <w:r w:rsidRPr="00DE7BC8">
        <w:rPr>
          <w:lang w:eastAsia="en-US"/>
        </w:rPr>
        <w:t xml:space="preserve"> It is also covered by the </w:t>
      </w:r>
      <w:r w:rsidRPr="00DE7BC8">
        <w:rPr>
          <w:i/>
          <w:iCs/>
          <w:lang w:eastAsia="en-US"/>
        </w:rPr>
        <w:t>Fair Work Act</w:t>
      </w:r>
      <w:r w:rsidRPr="00DE7BC8">
        <w:rPr>
          <w:lang w:eastAsia="en-US"/>
        </w:rPr>
        <w:t xml:space="preserve">, but this </w:t>
      </w:r>
      <w:r w:rsidRPr="00DE7BC8">
        <w:rPr>
          <w:lang w:eastAsia="en-US"/>
        </w:rPr>
        <w:lastRenderedPageBreak/>
        <w:t>protection against discrimination does not extend to NSW (as we discuss above).</w:t>
      </w:r>
      <w:r w:rsidRPr="00DE7BC8">
        <w:rPr>
          <w:rStyle w:val="FootnoteReference"/>
          <w:lang w:eastAsia="en-US"/>
        </w:rPr>
        <w:footnoteReference w:id="299"/>
      </w:r>
      <w:r w:rsidRPr="00DE7BC8">
        <w:rPr>
          <w:lang w:eastAsia="en-US"/>
        </w:rPr>
        <w:t xml:space="preserve"> </w:t>
      </w:r>
      <w:r w:rsidRPr="009E234E">
        <w:rPr>
          <w:color w:val="auto"/>
          <w:lang w:eastAsia="en-US"/>
        </w:rPr>
        <w:t>The Queensland Parliament passed amendments in 2024 to add this attribute but, as we note above, the commencement date is now uncertain.</w:t>
      </w:r>
      <w:r w:rsidRPr="009E234E">
        <w:rPr>
          <w:rStyle w:val="FootnoteReference"/>
          <w:color w:val="auto"/>
          <w:lang w:eastAsia="en-US"/>
        </w:rPr>
        <w:footnoteReference w:id="300"/>
      </w:r>
      <w:r w:rsidRPr="009E234E">
        <w:rPr>
          <w:color w:val="auto"/>
          <w:lang w:eastAsia="en-US"/>
        </w:rPr>
        <w:t xml:space="preserve"> </w:t>
      </w:r>
    </w:p>
    <w:p w14:paraId="1B53DA90" w14:textId="77777777" w:rsidR="000B3E50" w:rsidRPr="00DE7BC8" w:rsidRDefault="000B3E50" w:rsidP="000B3E50">
      <w:pPr>
        <w:pStyle w:val="NormalAutoChapter"/>
        <w:tabs>
          <w:tab w:val="clear" w:pos="720"/>
          <w:tab w:val="num" w:pos="2564"/>
        </w:tabs>
        <w:rPr>
          <w:lang w:eastAsia="en-US"/>
        </w:rPr>
      </w:pPr>
      <w:r w:rsidRPr="00DE7BC8">
        <w:rPr>
          <w:shd w:val="clear" w:color="auto" w:fill="FFFFFF"/>
        </w:rPr>
        <w:t>Federally, the AHRC broadly supported a new prohibition against discrimination based on domestic and family violence. However, it thought the framing of any such prohibition needed further consideration.</w:t>
      </w:r>
      <w:r w:rsidRPr="00DE7BC8">
        <w:rPr>
          <w:rStyle w:val="FootnoteReference"/>
          <w:shd w:val="clear" w:color="auto" w:fill="FFFFFF"/>
        </w:rPr>
        <w:footnoteReference w:id="301"/>
      </w:r>
    </w:p>
    <w:p w14:paraId="7AF497FB" w14:textId="77777777" w:rsidR="000B3E50" w:rsidRPr="00DE7BC8" w:rsidRDefault="000B3E50" w:rsidP="000B3E50">
      <w:pPr>
        <w:pStyle w:val="NormalAutoChapter"/>
        <w:tabs>
          <w:tab w:val="clear" w:pos="720"/>
          <w:tab w:val="num" w:pos="2564"/>
        </w:tabs>
        <w:rPr>
          <w:lang w:eastAsia="en-US"/>
        </w:rPr>
      </w:pPr>
      <w:r w:rsidRPr="00DE7BC8">
        <w:rPr>
          <w:color w:val="auto"/>
          <w:shd w:val="clear" w:color="auto" w:fill="FFFFFF"/>
        </w:rPr>
        <w:t>Another option is to include protections for people who have been subjected to sexual violence more generally.</w:t>
      </w:r>
      <w:r w:rsidRPr="00DE7BC8">
        <w:rPr>
          <w:rStyle w:val="FootnoteReference"/>
          <w:bCs/>
          <w:iCs/>
          <w:color w:val="auto"/>
        </w:rPr>
        <w:footnoteReference w:id="302"/>
      </w:r>
      <w:r w:rsidRPr="00DE7BC8">
        <w:rPr>
          <w:bCs/>
          <w:iCs/>
          <w:color w:val="auto"/>
        </w:rPr>
        <w:t xml:space="preserve"> This could go beyond the domestic and family violence context. It could </w:t>
      </w:r>
      <w:r w:rsidRPr="00DE7BC8">
        <w:rPr>
          <w:color w:val="auto"/>
          <w:shd w:val="clear" w:color="auto" w:fill="FFFFFF"/>
        </w:rPr>
        <w:t>protect a wider range of people who may be vulnerable to experiencing discrimination.</w:t>
      </w:r>
    </w:p>
    <w:p w14:paraId="147777F0" w14:textId="77777777" w:rsidR="000B3E50" w:rsidRPr="00DE7BC8" w:rsidRDefault="000B3E50" w:rsidP="000B3E50">
      <w:pPr>
        <w:pStyle w:val="Heading2"/>
      </w:pPr>
      <w:bookmarkStart w:id="196" w:name="_Toc196808033"/>
      <w:bookmarkStart w:id="197" w:name="_Toc196826862"/>
      <w:r w:rsidRPr="00DE7BC8">
        <w:t>Health status and irrelevant medical record</w:t>
      </w:r>
      <w:bookmarkEnd w:id="196"/>
      <w:bookmarkEnd w:id="197"/>
      <w:r w:rsidRPr="00DE7BC8">
        <w:t xml:space="preserve"> </w:t>
      </w:r>
    </w:p>
    <w:p w14:paraId="4641007D" w14:textId="77777777" w:rsidR="000B3E50" w:rsidRPr="00DE7BC8" w:rsidRDefault="000B3E50" w:rsidP="000B3E50">
      <w:pPr>
        <w:pStyle w:val="NormalAutoChapter"/>
        <w:tabs>
          <w:tab w:val="clear" w:pos="720"/>
          <w:tab w:val="num" w:pos="2564"/>
        </w:tabs>
        <w:rPr>
          <w:lang w:eastAsia="en-US"/>
        </w:rPr>
      </w:pPr>
      <w:r w:rsidRPr="00DE7BC8">
        <w:rPr>
          <w:lang w:eastAsia="en-US"/>
        </w:rPr>
        <w:t xml:space="preserve">Two other potential protected attributes are “health status” and “irrelevant medical history”. These could be added to the ADA separately from the disability attribute, which we outline in </w:t>
      </w:r>
      <w:r w:rsidRPr="007A0CFD">
        <w:rPr>
          <w:lang w:eastAsia="en-US"/>
        </w:rPr>
        <w:t>chapter 4.</w:t>
      </w:r>
      <w:r w:rsidRPr="00DE7BC8">
        <w:rPr>
          <w:lang w:eastAsia="en-US"/>
        </w:rPr>
        <w:t xml:space="preserve"> While this could expand protections,</w:t>
      </w:r>
      <w:r>
        <w:rPr>
          <w:lang w:eastAsia="en-US"/>
        </w:rPr>
        <w:t xml:space="preserve"> another view is that it</w:t>
      </w:r>
      <w:r w:rsidRPr="00DE7BC8">
        <w:rPr>
          <w:lang w:eastAsia="en-US"/>
        </w:rPr>
        <w:t xml:space="preserve"> might lead to overlaps with disability discrimination. </w:t>
      </w:r>
    </w:p>
    <w:p w14:paraId="46BC8E22" w14:textId="77777777" w:rsidR="000B3E50" w:rsidRPr="00DE7BC8" w:rsidRDefault="000B3E50" w:rsidP="000B3E50">
      <w:pPr>
        <w:pStyle w:val="Heading3"/>
      </w:pPr>
      <w:r w:rsidRPr="00DE7BC8">
        <w:t>Health status</w:t>
      </w:r>
    </w:p>
    <w:p w14:paraId="4AA57635" w14:textId="77777777" w:rsidR="000B3E50" w:rsidRPr="00DE7BC8" w:rsidRDefault="000B3E50" w:rsidP="000B3E50">
      <w:pPr>
        <w:pStyle w:val="NormalAutoChapter"/>
        <w:tabs>
          <w:tab w:val="clear" w:pos="720"/>
          <w:tab w:val="num" w:pos="2564"/>
        </w:tabs>
        <w:rPr>
          <w:color w:val="auto"/>
        </w:rPr>
      </w:pPr>
      <w:r>
        <w:rPr>
          <w:lang w:eastAsia="en-US"/>
        </w:rPr>
        <w:t>A new “health status” attribute</w:t>
      </w:r>
      <w:r w:rsidRPr="00DE7BC8">
        <w:rPr>
          <w:lang w:eastAsia="en-US"/>
        </w:rPr>
        <w:t xml:space="preserve"> might cover discrimination based on</w:t>
      </w:r>
      <w:r>
        <w:rPr>
          <w:lang w:eastAsia="en-US"/>
        </w:rPr>
        <w:t xml:space="preserve"> a range</w:t>
      </w:r>
      <w:r w:rsidRPr="00DE7BC8">
        <w:rPr>
          <w:lang w:eastAsia="en-US"/>
        </w:rPr>
        <w:t xml:space="preserve"> factors</w:t>
      </w:r>
      <w:r>
        <w:rPr>
          <w:lang w:eastAsia="en-US"/>
        </w:rPr>
        <w:t xml:space="preserve">, for instance </w:t>
      </w:r>
      <w:r w:rsidRPr="00DE7BC8">
        <w:t>mental health status</w:t>
      </w:r>
      <w:r>
        <w:t xml:space="preserve">, </w:t>
      </w:r>
      <w:r w:rsidRPr="00DE7BC8">
        <w:t>blood borne virus status, and/or sexually transmissible infection status.</w:t>
      </w:r>
      <w:r>
        <w:t xml:space="preserve"> Some argue this could</w:t>
      </w:r>
      <w:r w:rsidRPr="00DE7BC8">
        <w:rPr>
          <w:lang w:eastAsia="en-US"/>
        </w:rPr>
        <w:t xml:space="preserve">: </w:t>
      </w:r>
    </w:p>
    <w:p w14:paraId="48B4B083" w14:textId="77777777" w:rsidR="000B3E50" w:rsidRPr="00DE7BC8" w:rsidRDefault="000B3E50" w:rsidP="000B3E50">
      <w:pPr>
        <w:pStyle w:val="Normalbullet"/>
      </w:pPr>
      <w:r w:rsidRPr="00DE7BC8">
        <w:t xml:space="preserve">be a more appropriate way of recognising the rights of people with HIV/AIDS, who may not consider having HIV/AIDS to be a disability, </w:t>
      </w:r>
      <w:r>
        <w:t>and</w:t>
      </w:r>
    </w:p>
    <w:p w14:paraId="56E46296" w14:textId="77777777" w:rsidR="000B3E50" w:rsidRPr="00DE7BC8" w:rsidRDefault="000B3E50" w:rsidP="000B3E50">
      <w:pPr>
        <w:pStyle w:val="Normalbullet"/>
      </w:pPr>
      <w:r w:rsidRPr="00DE7BC8">
        <w:t>protect people who experience episodic mental health issues, which may not be covered clearly by the definition of disability.</w:t>
      </w:r>
      <w:r w:rsidRPr="00DE7BC8">
        <w:rPr>
          <w:rStyle w:val="FootnoteReference"/>
        </w:rPr>
        <w:footnoteReference w:id="303"/>
      </w:r>
      <w:r w:rsidRPr="00DE7BC8">
        <w:t xml:space="preserve"> </w:t>
      </w:r>
    </w:p>
    <w:p w14:paraId="12A6FBE5" w14:textId="77777777" w:rsidR="000B3E50" w:rsidRPr="00DE7BC8" w:rsidRDefault="000B3E50" w:rsidP="000B3E50">
      <w:pPr>
        <w:pStyle w:val="NormalAutoChapter"/>
        <w:tabs>
          <w:tab w:val="clear" w:pos="720"/>
          <w:tab w:val="num" w:pos="2564"/>
        </w:tabs>
      </w:pPr>
      <w:r>
        <w:t>Another view is that a “health status” attribute should protect people who use drugs and/or alcohol, regardless of their degree of use, to address the discrimination and stigma they face.</w:t>
      </w:r>
      <w:r w:rsidRPr="00DE7BC8">
        <w:rPr>
          <w:rStyle w:val="FootnoteReference"/>
        </w:rPr>
        <w:footnoteReference w:id="304"/>
      </w:r>
      <w:r w:rsidRPr="00DE7BC8">
        <w:t xml:space="preserve">  </w:t>
      </w:r>
    </w:p>
    <w:p w14:paraId="2B1A4D25" w14:textId="698C2ED8" w:rsidR="000B3E50" w:rsidRPr="00F8633B" w:rsidRDefault="000B3E50" w:rsidP="000B3E50">
      <w:pPr>
        <w:pStyle w:val="NormalAutoChapter"/>
        <w:tabs>
          <w:tab w:val="clear" w:pos="720"/>
          <w:tab w:val="num" w:pos="2564"/>
        </w:tabs>
        <w:rPr>
          <w:color w:val="auto"/>
        </w:rPr>
      </w:pPr>
      <w:r w:rsidRPr="00DE7BC8">
        <w:rPr>
          <w:lang w:eastAsia="en-US"/>
        </w:rPr>
        <w:t xml:space="preserve">In NSW, the ADA’s definition of disability likely covers the first three of these conditions. It is also broad enough to capture drug or alcohol addiction, in some </w:t>
      </w:r>
      <w:r w:rsidRPr="00DE7BC8">
        <w:rPr>
          <w:lang w:eastAsia="en-US"/>
        </w:rPr>
        <w:lastRenderedPageBreak/>
        <w:t>cases.</w:t>
      </w:r>
      <w:r w:rsidR="00D9392B">
        <w:rPr>
          <w:rStyle w:val="FootnoteReference"/>
          <w:lang w:eastAsia="en-US"/>
        </w:rPr>
        <w:footnoteReference w:id="305"/>
      </w:r>
      <w:r>
        <w:rPr>
          <w:lang w:eastAsia="en-US"/>
        </w:rPr>
        <w:t xml:space="preserve"> </w:t>
      </w:r>
      <w:r w:rsidRPr="00DE7BC8">
        <w:rPr>
          <w:lang w:eastAsia="en-US"/>
        </w:rPr>
        <w:t>This suggests that a new “health status” attribute may lead to</w:t>
      </w:r>
      <w:r>
        <w:rPr>
          <w:lang w:eastAsia="en-US"/>
        </w:rPr>
        <w:t xml:space="preserve"> a degree of</w:t>
      </w:r>
      <w:r w:rsidRPr="00DE7BC8">
        <w:rPr>
          <w:lang w:eastAsia="en-US"/>
        </w:rPr>
        <w:t xml:space="preserve"> overlapping coverage. The QHRC recently recommended against a separate health status attribute because such overlaps could create further complexity.</w:t>
      </w:r>
      <w:r w:rsidRPr="00DE7BC8">
        <w:rPr>
          <w:rStyle w:val="FootnoteReference"/>
        </w:rPr>
        <w:footnoteReference w:id="306"/>
      </w:r>
      <w:r w:rsidRPr="00DE7BC8">
        <w:t xml:space="preserve"> </w:t>
      </w:r>
    </w:p>
    <w:p w14:paraId="2B0E4CD3" w14:textId="77777777" w:rsidR="000B3E50" w:rsidRPr="00DE7BC8" w:rsidRDefault="000B3E50" w:rsidP="000B3E50">
      <w:pPr>
        <w:pStyle w:val="Heading3"/>
      </w:pPr>
      <w:r w:rsidRPr="00DE7BC8">
        <w:t>Irrelevant medical record</w:t>
      </w:r>
    </w:p>
    <w:p w14:paraId="5EA5FFF6" w14:textId="77777777" w:rsidR="000B3E50" w:rsidRPr="00DE7BC8" w:rsidRDefault="000B3E50" w:rsidP="000B3E50">
      <w:pPr>
        <w:pStyle w:val="NormalAutoChapter"/>
      </w:pPr>
      <w:r w:rsidRPr="00DE7BC8">
        <w:t>Some instances of discrimination based on medical history may also be considered disability discrimination. This could happen where, for example, someone’s medical history involves records about a disability they either had or were thought to have, or they may have in the future.</w:t>
      </w:r>
      <w:r w:rsidRPr="00DE7BC8">
        <w:rPr>
          <w:rStyle w:val="FootnoteReference"/>
        </w:rPr>
        <w:footnoteReference w:id="307"/>
      </w:r>
      <w:r w:rsidRPr="00DE7BC8">
        <w:t xml:space="preserve"> </w:t>
      </w:r>
    </w:p>
    <w:p w14:paraId="21595AE2" w14:textId="77777777" w:rsidR="000B3E50" w:rsidRPr="00DE7BC8" w:rsidRDefault="000B3E50" w:rsidP="000B3E50">
      <w:pPr>
        <w:pStyle w:val="NormalAutoChapter"/>
      </w:pPr>
      <w:r w:rsidRPr="00DE7BC8">
        <w:t xml:space="preserve">However, an “irrelevant medical record” attribute may provide clearer protections. It could also protect against discrimination that goes beyond disability discrimination. </w:t>
      </w:r>
    </w:p>
    <w:p w14:paraId="7C0053C2" w14:textId="77777777" w:rsidR="000B3E50" w:rsidRPr="00DE7BC8" w:rsidRDefault="000B3E50" w:rsidP="000B3E50">
      <w:pPr>
        <w:pStyle w:val="NormalAutoChapter"/>
      </w:pPr>
      <w:r w:rsidRPr="00DE7BC8">
        <w:t xml:space="preserve">This is recognised as a protected attribute in discrimination law in </w:t>
      </w:r>
      <w:r w:rsidRPr="00DE7BC8">
        <w:rPr>
          <w:szCs w:val="22"/>
        </w:rPr>
        <w:t>Tasmania and the NT.</w:t>
      </w:r>
      <w:r w:rsidRPr="00DE7BC8">
        <w:rPr>
          <w:rStyle w:val="FootnoteReference"/>
          <w:szCs w:val="22"/>
        </w:rPr>
        <w:footnoteReference w:id="308"/>
      </w:r>
      <w:r w:rsidRPr="00DE7BC8">
        <w:rPr>
          <w:szCs w:val="22"/>
        </w:rPr>
        <w:t xml:space="preserve"> The AHRC can inquire into employment discrimination based on this attribute as part of its equal opportunity function.</w:t>
      </w:r>
      <w:r w:rsidRPr="00DE7BC8">
        <w:rPr>
          <w:rStyle w:val="FootnoteReference"/>
        </w:rPr>
        <w:footnoteReference w:id="309"/>
      </w:r>
      <w:r w:rsidRPr="00DE7BC8">
        <w:rPr>
          <w:szCs w:val="22"/>
        </w:rPr>
        <w:t xml:space="preserve"> However, as we note above, judicial remedies are not available for such complaints. </w:t>
      </w:r>
    </w:p>
    <w:p w14:paraId="339A3A81" w14:textId="285BBFE2" w:rsidR="000B3E50" w:rsidRPr="009E234E" w:rsidRDefault="000B3E50" w:rsidP="000B3E50">
      <w:pPr>
        <w:pStyle w:val="NormalAutoChapter"/>
        <w:tabs>
          <w:tab w:val="clear" w:pos="720"/>
          <w:tab w:val="num" w:pos="2564"/>
        </w:tabs>
        <w:rPr>
          <w:color w:val="auto"/>
        </w:rPr>
      </w:pPr>
      <w:r w:rsidRPr="009E234E">
        <w:rPr>
          <w:color w:val="auto"/>
          <w:lang w:eastAsia="en-US"/>
        </w:rPr>
        <w:t xml:space="preserve">The Queensland Parliament passed amendments in 2024 to </w:t>
      </w:r>
      <w:r w:rsidRPr="009E234E">
        <w:rPr>
          <w:color w:val="auto"/>
          <w:szCs w:val="22"/>
        </w:rPr>
        <w:t>cover discrimination based on medical records that are “</w:t>
      </w:r>
      <w:r w:rsidRPr="009E234E">
        <w:rPr>
          <w:color w:val="auto"/>
        </w:rPr>
        <w:t>not directly relevant to the situation in which the record or part of the record is being considered”.</w:t>
      </w:r>
      <w:r w:rsidRPr="009E234E">
        <w:rPr>
          <w:rStyle w:val="FootnoteReference"/>
          <w:color w:val="auto"/>
        </w:rPr>
        <w:footnoteReference w:id="310"/>
      </w:r>
      <w:r w:rsidRPr="009E234E">
        <w:rPr>
          <w:color w:val="auto"/>
        </w:rPr>
        <w:t xml:space="preserve"> However</w:t>
      </w:r>
      <w:r w:rsidRPr="009E234E">
        <w:rPr>
          <w:color w:val="auto"/>
          <w:lang w:eastAsia="en-US"/>
        </w:rPr>
        <w:t>, the commencement date is now uncertain</w:t>
      </w:r>
      <w:r w:rsidRPr="009E234E">
        <w:rPr>
          <w:color w:val="auto"/>
        </w:rPr>
        <w:t>.</w:t>
      </w:r>
    </w:p>
    <w:p w14:paraId="3EC3389C" w14:textId="77777777" w:rsidR="000B3E50" w:rsidRPr="00DE7BC8" w:rsidRDefault="000B3E50" w:rsidP="000B3E50">
      <w:pPr>
        <w:pStyle w:val="NormalAutoChapter"/>
        <w:tabs>
          <w:tab w:val="clear" w:pos="720"/>
          <w:tab w:val="num" w:pos="2564"/>
        </w:tabs>
      </w:pPr>
      <w:r w:rsidRPr="009E234E">
        <w:rPr>
          <w:color w:val="auto"/>
        </w:rPr>
        <w:t xml:space="preserve">The Law Reform Commission of Western Australia </w:t>
      </w:r>
      <w:r w:rsidRPr="00DE7BC8">
        <w:t xml:space="preserve">(LRCWA) similarly recommended adding this attribute to WA’s discrimination law and considered it should also cover workers’ compensation history. In its view, people may be reluctant to make valid workers’ compensation claims if they think </w:t>
      </w:r>
      <w:r>
        <w:t>the claims</w:t>
      </w:r>
      <w:r w:rsidRPr="00DE7BC8">
        <w:t xml:space="preserve"> may be disclosed to future employers.</w:t>
      </w:r>
      <w:r w:rsidRPr="00DE7BC8">
        <w:rPr>
          <w:rStyle w:val="FootnoteReference"/>
        </w:rPr>
        <w:footnoteReference w:id="311"/>
      </w:r>
      <w:r w:rsidRPr="00DE7BC8">
        <w:t xml:space="preserve"> </w:t>
      </w:r>
    </w:p>
    <w:p w14:paraId="625F9907" w14:textId="77777777" w:rsidR="000B3E50" w:rsidRPr="00DE7BC8" w:rsidRDefault="000B3E50" w:rsidP="000B3E50">
      <w:pPr>
        <w:pStyle w:val="Heading2"/>
      </w:pPr>
      <w:bookmarkStart w:id="198" w:name="_Toc196808034"/>
      <w:bookmarkStart w:id="199" w:name="_Toc196826863"/>
      <w:r w:rsidRPr="00DE7BC8">
        <w:lastRenderedPageBreak/>
        <w:t>Industrial activity or political belief or activity</w:t>
      </w:r>
      <w:bookmarkEnd w:id="198"/>
      <w:bookmarkEnd w:id="199"/>
    </w:p>
    <w:p w14:paraId="087E9204" w14:textId="77777777" w:rsidR="000B3E50" w:rsidRPr="00DE7BC8" w:rsidRDefault="000B3E50" w:rsidP="000B3E50">
      <w:pPr>
        <w:pStyle w:val="NormalAutoChapter"/>
      </w:pPr>
      <w:r w:rsidRPr="00DE7BC8">
        <w:rPr>
          <w:lang w:eastAsia="en-US"/>
        </w:rPr>
        <w:t xml:space="preserve">Another idea could be to protect against discrimination based on </w:t>
      </w:r>
      <w:r w:rsidRPr="00DE7BC8">
        <w:t>industrial activity, and/or political belief or activity. We heard this could prevent people being targeted at work because of their involvement in such activities.</w:t>
      </w:r>
      <w:r w:rsidRPr="00DE7BC8">
        <w:rPr>
          <w:rStyle w:val="FootnoteReference"/>
          <w:lang w:eastAsia="en-US"/>
        </w:rPr>
        <w:footnoteReference w:id="312"/>
      </w:r>
      <w:r w:rsidRPr="00DE7BC8">
        <w:rPr>
          <w:lang w:eastAsia="en-US"/>
        </w:rPr>
        <w:t xml:space="preserve"> </w:t>
      </w:r>
    </w:p>
    <w:p w14:paraId="7AB44937" w14:textId="77777777" w:rsidR="000B3E50" w:rsidRPr="00DE7BC8" w:rsidRDefault="000B3E50" w:rsidP="000B3E50">
      <w:pPr>
        <w:pStyle w:val="Heading3"/>
      </w:pPr>
      <w:r w:rsidRPr="00DE7BC8">
        <w:t>Industrial activity</w:t>
      </w:r>
    </w:p>
    <w:p w14:paraId="7169B1CC" w14:textId="77777777" w:rsidR="000B3E50" w:rsidRPr="00DE7BC8" w:rsidRDefault="000B3E50" w:rsidP="000B3E50">
      <w:pPr>
        <w:pStyle w:val="NormalAutoChapter"/>
        <w:tabs>
          <w:tab w:val="clear" w:pos="720"/>
          <w:tab w:val="num" w:pos="2564"/>
        </w:tabs>
      </w:pPr>
      <w:r w:rsidRPr="00DE7BC8">
        <w:t>In 1999, the NSWLRC recommended against adding industrial activity or trade union membership to the ADA as a protected attribute. It concluded this was already protected by industrial laws.</w:t>
      </w:r>
      <w:r w:rsidRPr="00DE7BC8">
        <w:rPr>
          <w:rStyle w:val="FootnoteReference"/>
          <w:color w:val="auto"/>
          <w:szCs w:val="22"/>
        </w:rPr>
        <w:footnoteReference w:id="313"/>
      </w:r>
    </w:p>
    <w:p w14:paraId="7ED6D1D2" w14:textId="77777777" w:rsidR="000B3E50" w:rsidRPr="00DE7BC8" w:rsidRDefault="000B3E50" w:rsidP="000B3E50">
      <w:pPr>
        <w:pStyle w:val="NormalAutoChapter"/>
        <w:tabs>
          <w:tab w:val="num" w:pos="2564"/>
        </w:tabs>
      </w:pPr>
      <w:r w:rsidRPr="00DE7BC8">
        <w:rPr>
          <w:lang w:eastAsia="en-US"/>
        </w:rPr>
        <w:t>However, discrimination laws in most other states and territories prohibit discrimination based on:</w:t>
      </w:r>
    </w:p>
    <w:p w14:paraId="123C6917" w14:textId="77777777" w:rsidR="000B3E50" w:rsidRPr="00DE7BC8" w:rsidRDefault="000B3E50" w:rsidP="000B3E50">
      <w:pPr>
        <w:pStyle w:val="Normalbullet"/>
        <w:rPr>
          <w:lang w:eastAsia="en-AU"/>
        </w:rPr>
      </w:pPr>
      <w:r w:rsidRPr="00DE7BC8">
        <w:t>industrial activity</w:t>
      </w:r>
      <w:r w:rsidRPr="00DE7BC8">
        <w:rPr>
          <w:rStyle w:val="FootnoteReference"/>
        </w:rPr>
        <w:footnoteReference w:id="314"/>
      </w:r>
    </w:p>
    <w:p w14:paraId="32985E50" w14:textId="77777777" w:rsidR="000B3E50" w:rsidRPr="00DE7BC8" w:rsidRDefault="000B3E50" w:rsidP="000B3E50">
      <w:pPr>
        <w:pStyle w:val="Normalbullet"/>
        <w:rPr>
          <w:lang w:eastAsia="en-AU"/>
        </w:rPr>
      </w:pPr>
      <w:r w:rsidRPr="00DE7BC8">
        <w:t>trade union activity,</w:t>
      </w:r>
      <w:r w:rsidRPr="00DE7BC8">
        <w:rPr>
          <w:rStyle w:val="FootnoteReference"/>
        </w:rPr>
        <w:footnoteReference w:id="315"/>
      </w:r>
      <w:r w:rsidRPr="00DE7BC8">
        <w:t xml:space="preserve"> or</w:t>
      </w:r>
    </w:p>
    <w:p w14:paraId="1A66FD6E" w14:textId="77777777" w:rsidR="000B3E50" w:rsidRPr="00DE7BC8" w:rsidRDefault="000B3E50" w:rsidP="000B3E50">
      <w:pPr>
        <w:pStyle w:val="Normalbullet"/>
        <w:rPr>
          <w:lang w:eastAsia="en-AU"/>
        </w:rPr>
      </w:pPr>
      <w:r w:rsidRPr="00DE7BC8">
        <w:t>trade union or employer association activity.</w:t>
      </w:r>
      <w:r w:rsidRPr="00DE7BC8">
        <w:rPr>
          <w:rStyle w:val="FootnoteReference"/>
        </w:rPr>
        <w:footnoteReference w:id="316"/>
      </w:r>
      <w:r w:rsidRPr="00DE7BC8">
        <w:t xml:space="preserve"> </w:t>
      </w:r>
    </w:p>
    <w:p w14:paraId="7C151AAE" w14:textId="77777777" w:rsidR="000B3E50" w:rsidRPr="00DE7BC8" w:rsidRDefault="000B3E50" w:rsidP="000B3E50">
      <w:pPr>
        <w:pStyle w:val="NormalAutoChapter"/>
        <w:tabs>
          <w:tab w:val="clear" w:pos="720"/>
          <w:tab w:val="num" w:pos="2564"/>
        </w:tabs>
      </w:pPr>
      <w:r w:rsidRPr="00DE7BC8">
        <w:t>Federally, the AHRC can inquire into complaints about discrimination based on trade union activity as part of its functions relating to equal opportunity in employment.</w:t>
      </w:r>
      <w:r w:rsidRPr="00DE7BC8">
        <w:rPr>
          <w:rStyle w:val="FootnoteReference"/>
        </w:rPr>
        <w:footnoteReference w:id="317"/>
      </w:r>
      <w:r w:rsidRPr="00DE7BC8">
        <w:t xml:space="preserve"> However, federal judicial remedies do not apply. </w:t>
      </w:r>
    </w:p>
    <w:p w14:paraId="50AD8E7B" w14:textId="77777777" w:rsidR="000B3E50" w:rsidRPr="00DE7BC8" w:rsidRDefault="000B3E50" w:rsidP="000B3E50">
      <w:pPr>
        <w:pStyle w:val="NormalAutoChapter"/>
        <w:tabs>
          <w:tab w:val="clear" w:pos="720"/>
          <w:tab w:val="num" w:pos="2564"/>
        </w:tabs>
      </w:pPr>
      <w:r>
        <w:t>As we note above, t</w:t>
      </w:r>
      <w:r w:rsidRPr="00DE7BC8">
        <w:t xml:space="preserve">he </w:t>
      </w:r>
      <w:r w:rsidRPr="00DE7BC8">
        <w:rPr>
          <w:i/>
          <w:iCs/>
        </w:rPr>
        <w:t>Fair Work Act</w:t>
      </w:r>
      <w:r w:rsidRPr="00DE7BC8">
        <w:t xml:space="preserve"> also protects against adverse action against someone because they:</w:t>
      </w:r>
    </w:p>
    <w:p w14:paraId="2D3FD588" w14:textId="77777777" w:rsidR="000B3E50" w:rsidRPr="00DE7BC8" w:rsidRDefault="000B3E50" w:rsidP="000B3E50">
      <w:pPr>
        <w:pStyle w:val="Normalbullet"/>
      </w:pPr>
      <w:r w:rsidRPr="00DE7BC8">
        <w:t>are or are not a member of an industrial association, or</w:t>
      </w:r>
    </w:p>
    <w:p w14:paraId="04EF9BE0" w14:textId="77777777" w:rsidR="000B3E50" w:rsidRPr="00DE7BC8" w:rsidRDefault="000B3E50" w:rsidP="000B3E50">
      <w:pPr>
        <w:pStyle w:val="Normalbullet"/>
      </w:pPr>
      <w:r w:rsidRPr="00DE7BC8">
        <w:t>engage, propose to engage, or do not engage, in industrial activity.</w:t>
      </w:r>
      <w:r w:rsidRPr="00DE7BC8">
        <w:rPr>
          <w:rStyle w:val="FootnoteReference"/>
        </w:rPr>
        <w:footnoteReference w:id="318"/>
      </w:r>
    </w:p>
    <w:p w14:paraId="773B8F34" w14:textId="77777777" w:rsidR="000B3E50" w:rsidRPr="00DE7BC8" w:rsidRDefault="000B3E50" w:rsidP="000B3E50">
      <w:pPr>
        <w:pStyle w:val="NormalAutoChapter"/>
        <w:tabs>
          <w:tab w:val="num" w:pos="2564"/>
        </w:tabs>
      </w:pPr>
      <w:r w:rsidRPr="00DE7BC8">
        <w:rPr>
          <w:lang w:eastAsia="en-US"/>
        </w:rPr>
        <w:t>In the discrimination laws of other states and territories, this attribute generally covers a range of activities, including:</w:t>
      </w:r>
    </w:p>
    <w:p w14:paraId="42F1ABE3" w14:textId="77777777" w:rsidR="000B3E50" w:rsidRPr="00DE7BC8" w:rsidRDefault="000B3E50" w:rsidP="000B3E50">
      <w:pPr>
        <w:pStyle w:val="Normalbullet"/>
      </w:pPr>
      <w:r w:rsidRPr="00DE7BC8">
        <w:t>being a member of an organisation, as well as proposing or refusing to join one</w:t>
      </w:r>
    </w:p>
    <w:p w14:paraId="4C5BEFD1" w14:textId="77777777" w:rsidR="000B3E50" w:rsidRPr="00DE7BC8" w:rsidRDefault="000B3E50" w:rsidP="000B3E50">
      <w:pPr>
        <w:pStyle w:val="Normalbullet"/>
      </w:pPr>
      <w:r w:rsidRPr="00DE7BC8">
        <w:t>establishing or forming, or being involved in establishing or forming, an organisation</w:t>
      </w:r>
    </w:p>
    <w:p w14:paraId="7E0C0248" w14:textId="77777777" w:rsidR="000B3E50" w:rsidRPr="00DE7BC8" w:rsidRDefault="000B3E50" w:rsidP="000B3E50">
      <w:pPr>
        <w:pStyle w:val="Normalbullet"/>
      </w:pPr>
      <w:r w:rsidRPr="00DE7BC8">
        <w:lastRenderedPageBreak/>
        <w:t>participating in, organising, encouraging, assisting or promoting lawful industrial activity (or proposing to)</w:t>
      </w:r>
    </w:p>
    <w:p w14:paraId="2DC090CC" w14:textId="77777777" w:rsidR="000B3E50" w:rsidRPr="00DE7BC8" w:rsidRDefault="000B3E50" w:rsidP="000B3E50">
      <w:pPr>
        <w:pStyle w:val="Normalbullet"/>
      </w:pPr>
      <w:r w:rsidRPr="00DE7BC8">
        <w:t>not participating in, or refusing to participate in, lawful industrial activity, and</w:t>
      </w:r>
    </w:p>
    <w:p w14:paraId="4F7FB9B3" w14:textId="77777777" w:rsidR="000B3E50" w:rsidRPr="00DE7BC8" w:rsidRDefault="000B3E50" w:rsidP="000B3E50">
      <w:pPr>
        <w:pStyle w:val="Normalbullet"/>
      </w:pPr>
      <w:r w:rsidRPr="00DE7BC8">
        <w:t>representing or advancing the views, claims or interests of members of an industrial organisation or industrial association.</w:t>
      </w:r>
      <w:r w:rsidRPr="00DE7BC8">
        <w:rPr>
          <w:rStyle w:val="FootnoteReference"/>
        </w:rPr>
        <w:footnoteReference w:id="319"/>
      </w:r>
    </w:p>
    <w:p w14:paraId="7203EED4" w14:textId="77777777" w:rsidR="000B3E50" w:rsidRPr="00DE7BC8" w:rsidRDefault="000B3E50" w:rsidP="000B3E50">
      <w:pPr>
        <w:pStyle w:val="NormalAutoChapter"/>
        <w:tabs>
          <w:tab w:val="clear" w:pos="720"/>
          <w:tab w:val="num" w:pos="2564"/>
        </w:tabs>
      </w:pPr>
      <w:r w:rsidRPr="00DE7BC8">
        <w:rPr>
          <w:color w:val="auto"/>
        </w:rPr>
        <w:t>Tasmania specifically permits discrimination in employment based on industrial activity if it is based on a genuine occupational requirement relating to a particular position.</w:t>
      </w:r>
      <w:r w:rsidRPr="00DE7BC8">
        <w:rPr>
          <w:rStyle w:val="FootnoteReference"/>
          <w:color w:val="auto"/>
        </w:rPr>
        <w:footnoteReference w:id="320"/>
      </w:r>
    </w:p>
    <w:p w14:paraId="1BEE1CF3" w14:textId="77777777" w:rsidR="000B3E50" w:rsidRPr="00DE7BC8" w:rsidRDefault="000B3E50" w:rsidP="000B3E50">
      <w:pPr>
        <w:pStyle w:val="Heading3"/>
      </w:pPr>
      <w:r w:rsidRPr="00DE7BC8">
        <w:t>Political belief, opinion or activity</w:t>
      </w:r>
    </w:p>
    <w:p w14:paraId="18D95957" w14:textId="77777777" w:rsidR="000B3E50" w:rsidRDefault="000B3E50" w:rsidP="000B3E50">
      <w:pPr>
        <w:pStyle w:val="NormalAutoChapter"/>
        <w:tabs>
          <w:tab w:val="num" w:pos="2564"/>
        </w:tabs>
        <w:spacing w:after="120"/>
        <w:rPr>
          <w:lang w:eastAsia="en-US"/>
        </w:rPr>
      </w:pPr>
      <w:r>
        <w:rPr>
          <w:lang w:eastAsia="en-US"/>
        </w:rPr>
        <w:t>I</w:t>
      </w:r>
      <w:r w:rsidRPr="00DE7BC8">
        <w:rPr>
          <w:lang w:eastAsia="en-US"/>
        </w:rPr>
        <w:t>nternational human rights law prohibits discrimination based on political or other opinion.</w:t>
      </w:r>
      <w:r w:rsidRPr="00DE7BC8">
        <w:rPr>
          <w:rStyle w:val="FootnoteReference"/>
          <w:lang w:eastAsia="en-US"/>
        </w:rPr>
        <w:footnoteReference w:id="321"/>
      </w:r>
      <w:r>
        <w:rPr>
          <w:lang w:eastAsia="en-US"/>
        </w:rPr>
        <w:t xml:space="preserve"> Some laws in Australia also protect against this:</w:t>
      </w:r>
    </w:p>
    <w:p w14:paraId="654527E2" w14:textId="77777777" w:rsidR="000B3E50" w:rsidRDefault="000B3E50" w:rsidP="000B3E50">
      <w:pPr>
        <w:pStyle w:val="Normalbullet"/>
      </w:pPr>
      <w:r w:rsidRPr="00DE7BC8">
        <w:t>While the expressions vary, some other states and territories protect against discrimination based on political belief or activity.</w:t>
      </w:r>
      <w:r w:rsidRPr="00DE7BC8">
        <w:rPr>
          <w:rStyle w:val="FootnoteReference"/>
        </w:rPr>
        <w:footnoteReference w:id="322"/>
      </w:r>
      <w:r w:rsidRPr="00DE7BC8">
        <w:t xml:space="preserve"> </w:t>
      </w:r>
    </w:p>
    <w:p w14:paraId="2917FBAB" w14:textId="77777777" w:rsidR="000B3E50" w:rsidRDefault="000B3E50" w:rsidP="000B3E50">
      <w:pPr>
        <w:pStyle w:val="Normalbullet"/>
      </w:pPr>
      <w:r>
        <w:t>T</w:t>
      </w:r>
      <w:r w:rsidRPr="00DE7BC8">
        <w:t>he AHRC can receive complaints of discrimination in employment based on this attribute as part of its equal opportunity jurisdiction.</w:t>
      </w:r>
      <w:r w:rsidRPr="00DE7BC8">
        <w:rPr>
          <w:rStyle w:val="FootnoteReference"/>
        </w:rPr>
        <w:footnoteReference w:id="323"/>
      </w:r>
      <w:r w:rsidRPr="00DE7BC8">
        <w:t xml:space="preserve"> </w:t>
      </w:r>
      <w:r>
        <w:t>However, j</w:t>
      </w:r>
      <w:r w:rsidRPr="00DE7BC8">
        <w:t xml:space="preserve">udicial remedies do not apply. </w:t>
      </w:r>
    </w:p>
    <w:p w14:paraId="181E9E8C" w14:textId="77777777" w:rsidR="000B3E50" w:rsidRPr="00DE7BC8" w:rsidRDefault="000B3E50" w:rsidP="000B3E50">
      <w:pPr>
        <w:pStyle w:val="Normalbullet"/>
      </w:pPr>
      <w:r w:rsidRPr="00DE7BC8">
        <w:t xml:space="preserve">The </w:t>
      </w:r>
      <w:r w:rsidRPr="00EC543A">
        <w:rPr>
          <w:i/>
          <w:iCs/>
        </w:rPr>
        <w:t xml:space="preserve">Fair Work Act </w:t>
      </w:r>
      <w:r w:rsidRPr="00DE7BC8">
        <w:t>also protects against adverse action based on political opinion.</w:t>
      </w:r>
      <w:r w:rsidRPr="00DE7BC8">
        <w:rPr>
          <w:rStyle w:val="FootnoteReference"/>
        </w:rPr>
        <w:footnoteReference w:id="324"/>
      </w:r>
      <w:r w:rsidRPr="00DE7BC8">
        <w:t xml:space="preserve"> </w:t>
      </w:r>
      <w:r>
        <w:t>An exception to this</w:t>
      </w:r>
      <w:r w:rsidRPr="00DE7BC8">
        <w:t xml:space="preserve"> </w:t>
      </w:r>
      <w:r>
        <w:t xml:space="preserve">currently </w:t>
      </w:r>
      <w:r w:rsidRPr="00DE7BC8">
        <w:t>appl</w:t>
      </w:r>
      <w:r>
        <w:t xml:space="preserve">ies </w:t>
      </w:r>
      <w:r w:rsidRPr="00DE7BC8">
        <w:t xml:space="preserve">in NSW, for the reasons we note above. </w:t>
      </w:r>
    </w:p>
    <w:p w14:paraId="69B52903" w14:textId="77777777" w:rsidR="000B3E50" w:rsidRPr="00DE7BC8" w:rsidRDefault="000B3E50" w:rsidP="000B3E50">
      <w:pPr>
        <w:pStyle w:val="NormalAutoChapter"/>
        <w:tabs>
          <w:tab w:val="clear" w:pos="720"/>
          <w:tab w:val="num" w:pos="2564"/>
        </w:tabs>
      </w:pPr>
      <w:r w:rsidRPr="00DE7BC8">
        <w:t xml:space="preserve">Although the definitions in these laws differ, this attribute generally includes: </w:t>
      </w:r>
    </w:p>
    <w:p w14:paraId="65F35538" w14:textId="77777777" w:rsidR="000B3E50" w:rsidRPr="00DE7BC8" w:rsidRDefault="000B3E50" w:rsidP="000B3E50">
      <w:pPr>
        <w:pStyle w:val="Normalbullet"/>
      </w:pPr>
      <w:r w:rsidRPr="00DE7BC8">
        <w:t>having, or not having, a political conviction, belief, opinion or affiliation, and</w:t>
      </w:r>
    </w:p>
    <w:p w14:paraId="43192C38" w14:textId="77777777" w:rsidR="000B3E50" w:rsidRPr="00DE7BC8" w:rsidRDefault="000B3E50" w:rsidP="000B3E50">
      <w:pPr>
        <w:pStyle w:val="Normalbullet"/>
      </w:pPr>
      <w:r w:rsidRPr="00DE7BC8">
        <w:t>engaging, or not engaging in, political activity.</w:t>
      </w:r>
      <w:r w:rsidRPr="00DE7BC8">
        <w:rPr>
          <w:rStyle w:val="FootnoteReference"/>
        </w:rPr>
        <w:footnoteReference w:id="325"/>
      </w:r>
    </w:p>
    <w:p w14:paraId="37C2493F" w14:textId="77777777" w:rsidR="000B3E50" w:rsidRPr="00DE7BC8" w:rsidRDefault="000B3E50" w:rsidP="000B3E50">
      <w:pPr>
        <w:pStyle w:val="NormalAutoChapter"/>
        <w:tabs>
          <w:tab w:val="clear" w:pos="720"/>
          <w:tab w:val="num" w:pos="2564"/>
        </w:tabs>
      </w:pPr>
      <w:r w:rsidRPr="00DE7BC8">
        <w:lastRenderedPageBreak/>
        <w:t>In 1999, the NSWLRC recommended including “political opinion” as a protected attribute in the ADA.</w:t>
      </w:r>
      <w:r w:rsidRPr="00DE7BC8">
        <w:rPr>
          <w:rStyle w:val="FootnoteReference"/>
          <w:lang w:eastAsia="en-US"/>
        </w:rPr>
        <w:footnoteReference w:id="326"/>
      </w:r>
      <w:r w:rsidRPr="00DE7BC8">
        <w:t xml:space="preserve"> </w:t>
      </w:r>
    </w:p>
    <w:p w14:paraId="3380B4C1" w14:textId="77777777" w:rsidR="000B3E50" w:rsidRPr="00DE7BC8" w:rsidRDefault="000B3E50" w:rsidP="000B3E50">
      <w:pPr>
        <w:pStyle w:val="NormalAutoChapter"/>
        <w:tabs>
          <w:tab w:val="clear" w:pos="720"/>
          <w:tab w:val="num" w:pos="2564"/>
        </w:tabs>
        <w:rPr>
          <w:lang w:eastAsia="en-US"/>
        </w:rPr>
      </w:pPr>
      <w:r w:rsidRPr="00DE7BC8">
        <w:t xml:space="preserve">If NSW was to recognise this as a protected attribute, one issue is what kinds of beliefs or opinions should be protected. For instance: </w:t>
      </w:r>
    </w:p>
    <w:p w14:paraId="6BA312CC" w14:textId="77777777" w:rsidR="000B3E50" w:rsidRPr="00DE7BC8" w:rsidRDefault="000B3E50" w:rsidP="000B3E50">
      <w:pPr>
        <w:pStyle w:val="Normalbullet"/>
      </w:pPr>
      <w:r w:rsidRPr="00DE7BC8">
        <w:t>the ACT Tribunal found that “political” means “concerned with the ‘processes of government’” or “bearing on government”</w:t>
      </w:r>
      <w:r w:rsidRPr="00DE7BC8">
        <w:rPr>
          <w:rStyle w:val="FootnoteReference"/>
        </w:rPr>
        <w:footnoteReference w:id="327"/>
      </w:r>
      <w:r w:rsidRPr="00DE7BC8">
        <w:t xml:space="preserve"> </w:t>
      </w:r>
    </w:p>
    <w:p w14:paraId="6A150F46" w14:textId="77777777" w:rsidR="000B3E50" w:rsidRPr="00DE7BC8" w:rsidRDefault="000B3E50" w:rsidP="000B3E50">
      <w:pPr>
        <w:pStyle w:val="Normalbullet"/>
      </w:pPr>
      <w:r w:rsidRPr="00DE7BC8">
        <w:t>the NSWLRC recommended defining “political opinion” as opinions about the role of the state and state power,</w:t>
      </w:r>
      <w:r w:rsidRPr="00DE7BC8">
        <w:rPr>
          <w:rStyle w:val="FootnoteReference"/>
        </w:rPr>
        <w:footnoteReference w:id="328"/>
      </w:r>
      <w:r w:rsidRPr="00DE7BC8">
        <w:t xml:space="preserve"> and</w:t>
      </w:r>
    </w:p>
    <w:p w14:paraId="44F7D150" w14:textId="77777777" w:rsidR="000B3E50" w:rsidRPr="00DE7BC8" w:rsidRDefault="000B3E50" w:rsidP="000B3E50">
      <w:pPr>
        <w:pStyle w:val="Normalbullet"/>
      </w:pPr>
      <w:r w:rsidRPr="00DE7BC8">
        <w:t>Victoria confines the protection to a “lawful political belief” and “lawful political activity”.</w:t>
      </w:r>
      <w:r w:rsidRPr="00DE7BC8">
        <w:rPr>
          <w:rStyle w:val="FootnoteReference"/>
        </w:rPr>
        <w:footnoteReference w:id="329"/>
      </w:r>
    </w:p>
    <w:p w14:paraId="7225BE94" w14:textId="77777777" w:rsidR="000B3E50" w:rsidRPr="00DE7BC8" w:rsidRDefault="000B3E50" w:rsidP="000B3E50">
      <w:pPr>
        <w:pStyle w:val="NormalAutoChapter"/>
        <w:tabs>
          <w:tab w:val="clear" w:pos="720"/>
          <w:tab w:val="num" w:pos="2564"/>
        </w:tabs>
      </w:pPr>
      <w:r w:rsidRPr="00DE7BC8">
        <w:t>Some laws permit discrimination based on this attribute in relation to employment in political roles (such as ministerial advisors or employees of political parties).</w:t>
      </w:r>
      <w:r w:rsidRPr="00DE7BC8">
        <w:rPr>
          <w:rStyle w:val="FootnoteReference"/>
          <w:color w:val="auto"/>
          <w:lang w:eastAsia="en-US"/>
        </w:rPr>
        <w:footnoteReference w:id="330"/>
      </w:r>
      <w:r w:rsidRPr="00DE7BC8">
        <w:t xml:space="preserve"> However, the LRCWA said this should only apply when:</w:t>
      </w:r>
    </w:p>
    <w:p w14:paraId="2D0D2FC6" w14:textId="77777777" w:rsidR="000B3E50" w:rsidRPr="00DE7BC8" w:rsidRDefault="000B3E50" w:rsidP="000B3E50">
      <w:pPr>
        <w:pStyle w:val="Normalbullet"/>
      </w:pPr>
      <w:r w:rsidRPr="00DE7BC8">
        <w:t>holding or not holding a political conviction, or engaging (or failing to engage) in any lawful political activities, is an inherent requirement of the job</w:t>
      </w:r>
    </w:p>
    <w:p w14:paraId="6DEE8A15" w14:textId="77777777" w:rsidR="000B3E50" w:rsidRPr="00DE7BC8" w:rsidRDefault="000B3E50" w:rsidP="000B3E50">
      <w:pPr>
        <w:pStyle w:val="Normalbullet"/>
      </w:pPr>
      <w:r w:rsidRPr="00DE7BC8">
        <w:t>the person cannot comply with the requirement because of their political conviction, and</w:t>
      </w:r>
    </w:p>
    <w:p w14:paraId="73342895" w14:textId="77777777" w:rsidR="000B3E50" w:rsidRPr="00DE7BC8" w:rsidRDefault="000B3E50" w:rsidP="000B3E50">
      <w:pPr>
        <w:pStyle w:val="Normalbullet"/>
      </w:pPr>
      <w:r w:rsidRPr="00DE7BC8">
        <w:t>it is reasonable and proportionate in the circumstances.</w:t>
      </w:r>
      <w:r w:rsidRPr="00DE7BC8">
        <w:rPr>
          <w:rStyle w:val="FootnoteReference"/>
        </w:rPr>
        <w:footnoteReference w:id="331"/>
      </w:r>
      <w:r w:rsidRPr="00DE7BC8">
        <w:t xml:space="preserve"> </w:t>
      </w:r>
    </w:p>
    <w:p w14:paraId="3305DE21" w14:textId="77777777" w:rsidR="000B3E50" w:rsidRPr="00DE7BC8" w:rsidRDefault="000B3E50" w:rsidP="000B3E50">
      <w:pPr>
        <w:pStyle w:val="NormalAutoChapter"/>
        <w:tabs>
          <w:tab w:val="clear" w:pos="720"/>
          <w:tab w:val="num" w:pos="2564"/>
        </w:tabs>
        <w:rPr>
          <w:color w:val="auto"/>
          <w:lang w:eastAsia="en-US"/>
        </w:rPr>
      </w:pPr>
      <w:r w:rsidRPr="00DE7BC8">
        <w:rPr>
          <w:color w:val="auto"/>
        </w:rPr>
        <w:t xml:space="preserve">Victoria has two additional exceptions, which apply to </w:t>
      </w:r>
      <w:r w:rsidRPr="00DE7BC8">
        <w:t>clubs established principally for a political purpose and local councillors.</w:t>
      </w:r>
      <w:r w:rsidRPr="00DE7BC8">
        <w:rPr>
          <w:rStyle w:val="FootnoteReference"/>
        </w:rPr>
        <w:footnoteReference w:id="332"/>
      </w:r>
      <w:r w:rsidRPr="00DE7BC8">
        <w:t xml:space="preserve"> In 1999, the NSWLRC supported these exceptions.</w:t>
      </w:r>
      <w:r w:rsidRPr="00DE7BC8">
        <w:rPr>
          <w:rStyle w:val="FootnoteReference"/>
          <w:color w:val="auto"/>
          <w:lang w:eastAsia="en-US"/>
        </w:rPr>
        <w:footnoteReference w:id="333"/>
      </w:r>
    </w:p>
    <w:p w14:paraId="03277787" w14:textId="77777777" w:rsidR="000B3E50" w:rsidRPr="00DE7BC8" w:rsidRDefault="000B3E50" w:rsidP="000B3E50">
      <w:pPr>
        <w:pStyle w:val="Heading2"/>
      </w:pPr>
      <w:bookmarkStart w:id="201" w:name="_Toc196808035"/>
      <w:bookmarkStart w:id="202" w:name="_Toc196826864"/>
      <w:r w:rsidRPr="00DE7BC8">
        <w:t>Physical features or appearance</w:t>
      </w:r>
      <w:bookmarkEnd w:id="201"/>
      <w:bookmarkEnd w:id="202"/>
      <w:r w:rsidRPr="00DE7BC8">
        <w:t xml:space="preserve"> </w:t>
      </w:r>
    </w:p>
    <w:p w14:paraId="1C2119DC" w14:textId="77777777" w:rsidR="000B3E50" w:rsidRPr="00DE7BC8" w:rsidRDefault="000B3E50" w:rsidP="000B3E50">
      <w:pPr>
        <w:pStyle w:val="NormalAutoChapter"/>
        <w:tabs>
          <w:tab w:val="clear" w:pos="720"/>
          <w:tab w:val="num" w:pos="2564"/>
        </w:tabs>
      </w:pPr>
      <w:bookmarkStart w:id="203" w:name="_Hlk160181346"/>
      <w:r w:rsidRPr="00DE7BC8">
        <w:t xml:space="preserve">Another option is to protect against discrimination based on physical features or appearance. </w:t>
      </w:r>
    </w:p>
    <w:p w14:paraId="3CE9E005" w14:textId="77777777" w:rsidR="000B3E50" w:rsidRPr="00DE7BC8" w:rsidRDefault="000B3E50" w:rsidP="000B3E50">
      <w:pPr>
        <w:pStyle w:val="NormalAutoChapter"/>
        <w:tabs>
          <w:tab w:val="clear" w:pos="720"/>
          <w:tab w:val="num" w:pos="2564"/>
        </w:tabs>
      </w:pPr>
      <w:r w:rsidRPr="00DE7BC8">
        <w:lastRenderedPageBreak/>
        <w:t xml:space="preserve">While this may overlap with existing protections against disability discrimination, it could also go beyond them. For instance, a new attribute could apply more generally to protect against discrimination based on </w:t>
      </w:r>
      <w:bookmarkEnd w:id="203"/>
      <w:r w:rsidRPr="00DE7BC8">
        <w:t>height, weight, size or other bodily features.</w:t>
      </w:r>
      <w:r w:rsidRPr="00DE7BC8">
        <w:rPr>
          <w:rStyle w:val="FootnoteReference"/>
        </w:rPr>
        <w:footnoteReference w:id="334"/>
      </w:r>
      <w:r w:rsidRPr="00DE7BC8">
        <w:t xml:space="preserve"> </w:t>
      </w:r>
    </w:p>
    <w:p w14:paraId="7343FB27" w14:textId="77777777" w:rsidR="000B3E50" w:rsidRPr="00DE7BC8" w:rsidRDefault="000B3E50" w:rsidP="000B3E50">
      <w:pPr>
        <w:pStyle w:val="NormalAutoChapter"/>
        <w:tabs>
          <w:tab w:val="clear" w:pos="720"/>
          <w:tab w:val="num" w:pos="2564"/>
        </w:tabs>
      </w:pPr>
      <w:r w:rsidRPr="00DE7BC8">
        <w:t>In Victoria, this attribute has been interpreted broadly to include characteristics that a person has from birth or that emerge later in life. It also protects against discrimination based on physical features that come from deliberate bodily alterations, such as tattoos.</w:t>
      </w:r>
      <w:r w:rsidRPr="00DE7BC8">
        <w:rPr>
          <w:rStyle w:val="FootnoteReference"/>
        </w:rPr>
        <w:footnoteReference w:id="335"/>
      </w:r>
    </w:p>
    <w:p w14:paraId="1206F11F" w14:textId="77777777" w:rsidR="000B3E50" w:rsidRPr="00AF05E3" w:rsidRDefault="000B3E50" w:rsidP="000B3E50">
      <w:pPr>
        <w:pStyle w:val="NormalAutoChapter"/>
        <w:tabs>
          <w:tab w:val="clear" w:pos="720"/>
          <w:tab w:val="num" w:pos="2564"/>
        </w:tabs>
        <w:rPr>
          <w:color w:val="00B050"/>
        </w:rPr>
      </w:pPr>
      <w:r w:rsidRPr="00DE7BC8">
        <w:t>However, an issue is whether the law should prohibit discrimination against someone based on physical features they have chosen to adopt.</w:t>
      </w:r>
      <w:r w:rsidRPr="00DE7BC8" w:rsidDel="009077D8">
        <w:rPr>
          <w:rStyle w:val="FootnoteReference"/>
        </w:rPr>
        <w:t xml:space="preserve"> </w:t>
      </w:r>
      <w:r w:rsidRPr="00DE7BC8">
        <w:t>The QHRC concluded it was not necessary to protect against discrimination based on chosen alterations. It said that people with tattoos, certain hairstyles or co</w:t>
      </w:r>
      <w:r>
        <w:t>s</w:t>
      </w:r>
      <w:r w:rsidRPr="00DE7BC8">
        <w:t>metic procedures do not experience broader structural disadvantage, unless this aspect of their appearance relates to another existing attribute (s</w:t>
      </w:r>
      <w:r w:rsidRPr="00AF05E3">
        <w:t>uch as race).</w:t>
      </w:r>
      <w:r w:rsidRPr="00AF05E3">
        <w:rPr>
          <w:rStyle w:val="FootnoteReference"/>
        </w:rPr>
        <w:footnoteReference w:id="336"/>
      </w:r>
      <w:r w:rsidRPr="00AF05E3">
        <w:t xml:space="preserve"> </w:t>
      </w:r>
      <w:r w:rsidRPr="00956096">
        <w:rPr>
          <w:color w:val="auto"/>
        </w:rPr>
        <w:t>The recent Queensland amendments take a similar approach but, as we note above, the commencement of these changes is uncertain.</w:t>
      </w:r>
      <w:r w:rsidRPr="00956096">
        <w:rPr>
          <w:rStyle w:val="FootnoteReference"/>
          <w:color w:val="auto"/>
        </w:rPr>
        <w:footnoteReference w:id="337"/>
      </w:r>
    </w:p>
    <w:p w14:paraId="2F5CDFBF" w14:textId="77777777" w:rsidR="000B3E50" w:rsidRPr="00DE7BC8" w:rsidRDefault="000B3E50" w:rsidP="000B3E50">
      <w:pPr>
        <w:pStyle w:val="NormalAutoChapter"/>
        <w:tabs>
          <w:tab w:val="clear" w:pos="720"/>
          <w:tab w:val="num" w:pos="2564"/>
        </w:tabs>
      </w:pPr>
      <w:r w:rsidRPr="00AF05E3">
        <w:t>Some other exceptions could also be considered. For instance,</w:t>
      </w:r>
      <w:r w:rsidRPr="00DE7BC8">
        <w:t xml:space="preserve"> discrimination based on physical features or appearance is allowed elsewhere if: </w:t>
      </w:r>
    </w:p>
    <w:p w14:paraId="19005FAE" w14:textId="195AE5A3" w:rsidR="000B3E50" w:rsidRPr="00DE7BC8" w:rsidRDefault="000B3E50" w:rsidP="000B3E50">
      <w:pPr>
        <w:pStyle w:val="Normalbullet"/>
      </w:pPr>
      <w:r w:rsidRPr="00DE7BC8">
        <w:t>it is necessary to protect health, safety, or property</w:t>
      </w:r>
      <w:r w:rsidRPr="00DE7BC8">
        <w:rPr>
          <w:rStyle w:val="FootnoteReference"/>
        </w:rPr>
        <w:footnoteReference w:id="338"/>
      </w:r>
    </w:p>
    <w:p w14:paraId="3E636004" w14:textId="77777777" w:rsidR="000B3E50" w:rsidRPr="00DE7BC8" w:rsidRDefault="000B3E50" w:rsidP="000B3E50">
      <w:pPr>
        <w:pStyle w:val="Normalbullet"/>
      </w:pPr>
      <w:r w:rsidRPr="00DE7BC8">
        <w:t>there is a genuine occupational requirement, for example, in forms of employment such as modelling,</w:t>
      </w:r>
      <w:r w:rsidRPr="00DE7BC8">
        <w:rPr>
          <w:rStyle w:val="FootnoteReference"/>
        </w:rPr>
        <w:footnoteReference w:id="339"/>
      </w:r>
      <w:r w:rsidRPr="00DE7BC8">
        <w:t xml:space="preserve"> or</w:t>
      </w:r>
    </w:p>
    <w:p w14:paraId="05675013" w14:textId="77777777" w:rsidR="000B3E50" w:rsidRPr="00DE7BC8" w:rsidRDefault="000B3E50" w:rsidP="000B3E50">
      <w:pPr>
        <w:pStyle w:val="Normalbullet"/>
      </w:pPr>
      <w:r w:rsidRPr="00DE7BC8">
        <w:rPr>
          <w:rFonts w:cs="Arial"/>
        </w:rPr>
        <w:t>welfare services are being provided to</w:t>
      </w:r>
      <w:r w:rsidRPr="00DE7BC8">
        <w:rPr>
          <w:rFonts w:cs="Arial"/>
          <w:lang w:eastAsia="en-AU"/>
        </w:rPr>
        <w:t xml:space="preserve"> people with </w:t>
      </w:r>
      <w:proofErr w:type="gramStart"/>
      <w:r w:rsidRPr="00DE7BC8">
        <w:rPr>
          <w:rFonts w:cs="Arial"/>
          <w:lang w:eastAsia="en-AU"/>
        </w:rPr>
        <w:t>particular physical</w:t>
      </w:r>
      <w:proofErr w:type="gramEnd"/>
      <w:r w:rsidRPr="00DE7BC8">
        <w:rPr>
          <w:rFonts w:cs="Arial"/>
          <w:lang w:eastAsia="en-AU"/>
        </w:rPr>
        <w:t xml:space="preserve"> features.</w:t>
      </w:r>
      <w:r w:rsidRPr="00DE7BC8">
        <w:rPr>
          <w:rStyle w:val="FootnoteReference"/>
          <w:rFonts w:cs="Arial"/>
        </w:rPr>
        <w:footnoteReference w:id="340"/>
      </w:r>
    </w:p>
    <w:p w14:paraId="67779B7A" w14:textId="77777777" w:rsidR="000B3E50" w:rsidRPr="00DE7BC8" w:rsidRDefault="000B3E50" w:rsidP="000B3E50">
      <w:pPr>
        <w:pStyle w:val="NormalAutoChapter"/>
        <w:tabs>
          <w:tab w:val="clear" w:pos="720"/>
          <w:tab w:val="num" w:pos="2564"/>
        </w:tabs>
      </w:pPr>
      <w:r w:rsidRPr="00DE7BC8">
        <w:t>In 1999, the NSWLRC recommended against including this attribute in the ADA. It said the concept could not be articulated clearly.</w:t>
      </w:r>
      <w:r w:rsidRPr="00DE7BC8">
        <w:rPr>
          <w:rStyle w:val="FootnoteReference"/>
          <w:color w:val="auto"/>
        </w:rPr>
        <w:footnoteReference w:id="341"/>
      </w:r>
      <w:r w:rsidRPr="00DE7BC8">
        <w:t xml:space="preserve">  </w:t>
      </w:r>
    </w:p>
    <w:p w14:paraId="72948876" w14:textId="77777777" w:rsidR="000B3E50" w:rsidRPr="00DE7BC8" w:rsidRDefault="000B3E50" w:rsidP="000B3E50">
      <w:pPr>
        <w:pStyle w:val="Heading2"/>
      </w:pPr>
      <w:bookmarkStart w:id="204" w:name="_Toc196808036"/>
      <w:bookmarkStart w:id="205" w:name="_Toc196826865"/>
      <w:r w:rsidRPr="00DE7BC8">
        <w:lastRenderedPageBreak/>
        <w:t>Religious belief or activity</w:t>
      </w:r>
      <w:bookmarkEnd w:id="204"/>
      <w:bookmarkEnd w:id="205"/>
    </w:p>
    <w:p w14:paraId="4743FB59" w14:textId="77777777" w:rsidR="000B3E50" w:rsidRPr="00DE7BC8" w:rsidRDefault="000B3E50" w:rsidP="000B3E50">
      <w:pPr>
        <w:pStyle w:val="NormalAutoChapter"/>
        <w:tabs>
          <w:tab w:val="clear" w:pos="720"/>
          <w:tab w:val="num" w:pos="2564"/>
        </w:tabs>
      </w:pPr>
      <w:r>
        <w:t>I</w:t>
      </w:r>
      <w:r w:rsidRPr="00DE7BC8">
        <w:t xml:space="preserve">nternational human rights law </w:t>
      </w:r>
      <w:r>
        <w:t>contains a right to non-discrimination based on</w:t>
      </w:r>
      <w:r w:rsidRPr="00DE7BC8">
        <w:t xml:space="preserve"> religion.</w:t>
      </w:r>
      <w:r w:rsidRPr="00DE7BC8">
        <w:rPr>
          <w:rStyle w:val="FootnoteReference"/>
          <w:lang w:eastAsia="en-US"/>
        </w:rPr>
        <w:footnoteReference w:id="342"/>
      </w:r>
      <w:r>
        <w:t xml:space="preserve"> </w:t>
      </w:r>
      <w:r w:rsidRPr="00DE7BC8">
        <w:t xml:space="preserve">In most </w:t>
      </w:r>
      <w:r>
        <w:t xml:space="preserve">Australian </w:t>
      </w:r>
      <w:r w:rsidRPr="00DE7BC8">
        <w:t>states and territories, it is unlawful to discriminate based on religious belief, conviction and/or activity.</w:t>
      </w:r>
      <w:r w:rsidRPr="00DE7BC8">
        <w:rPr>
          <w:rStyle w:val="FootnoteReference"/>
          <w:lang w:eastAsia="en-US"/>
        </w:rPr>
        <w:footnoteReference w:id="343"/>
      </w:r>
      <w:r w:rsidRPr="00DE7BC8">
        <w:t xml:space="preserve"> Federally, the AHRC can inquire into complaints based on religious discrimination in work as part of its equal opportunity function, but judicial remedies are not available.</w:t>
      </w:r>
      <w:r w:rsidRPr="00DE7BC8">
        <w:rPr>
          <w:rStyle w:val="FootnoteReference"/>
          <w:lang w:eastAsia="en-US"/>
        </w:rPr>
        <w:footnoteReference w:id="344"/>
      </w:r>
      <w:r w:rsidRPr="00DE7BC8">
        <w:t xml:space="preserve"> </w:t>
      </w:r>
    </w:p>
    <w:p w14:paraId="160E4F24" w14:textId="77777777" w:rsidR="000B3E50" w:rsidRPr="00DE7BC8" w:rsidRDefault="000B3E50" w:rsidP="000B3E50">
      <w:pPr>
        <w:pStyle w:val="NormalAutoChapter"/>
        <w:tabs>
          <w:tab w:val="clear" w:pos="720"/>
          <w:tab w:val="num" w:pos="2564"/>
        </w:tabs>
      </w:pPr>
      <w:r w:rsidRPr="00DE7BC8">
        <w:t xml:space="preserve">The ADA does not contain a protected attribute that addresses religious discrimination. The </w:t>
      </w:r>
      <w:r w:rsidRPr="00DE7BC8">
        <w:rPr>
          <w:i/>
          <w:iCs/>
        </w:rPr>
        <w:t>Fair Work Act</w:t>
      </w:r>
      <w:r w:rsidRPr="00DE7BC8">
        <w:t>’s protections against adverse action based on religion do not apply in NSW, for the reasons we outline above.</w:t>
      </w:r>
      <w:r w:rsidRPr="00DE7BC8">
        <w:rPr>
          <w:rStyle w:val="FootnoteReference"/>
          <w:lang w:eastAsia="en-US"/>
        </w:rPr>
        <w:footnoteReference w:id="345"/>
      </w:r>
      <w:r w:rsidRPr="00DE7BC8">
        <w:t xml:space="preserve"> Many </w:t>
      </w:r>
      <w:proofErr w:type="gramStart"/>
      <w:r w:rsidRPr="00DE7BC8">
        <w:t>think</w:t>
      </w:r>
      <w:proofErr w:type="gramEnd"/>
      <w:r w:rsidRPr="00DE7BC8">
        <w:t xml:space="preserve"> this creates a significant gap in protection in NSW.</w:t>
      </w:r>
    </w:p>
    <w:p w14:paraId="3DFEC855" w14:textId="77777777" w:rsidR="000B3E50" w:rsidRPr="00DE7BC8" w:rsidRDefault="000B3E50" w:rsidP="000B3E50">
      <w:pPr>
        <w:pStyle w:val="Heading3"/>
      </w:pPr>
      <w:r w:rsidRPr="00DE7BC8">
        <w:t xml:space="preserve">Existing religious protections </w:t>
      </w:r>
    </w:p>
    <w:p w14:paraId="72583DD1" w14:textId="77777777" w:rsidR="000B3E50" w:rsidRPr="00DE7BC8" w:rsidRDefault="000B3E50" w:rsidP="000B3E50">
      <w:pPr>
        <w:pStyle w:val="NormalAutoChapter"/>
        <w:tabs>
          <w:tab w:val="clear" w:pos="720"/>
          <w:tab w:val="num" w:pos="2564"/>
        </w:tabs>
        <w:rPr>
          <w:lang w:eastAsia="en-US"/>
        </w:rPr>
      </w:pPr>
      <w:r w:rsidRPr="00DE7BC8">
        <w:rPr>
          <w:lang w:eastAsia="en-US"/>
        </w:rPr>
        <w:t xml:space="preserve">In the ADA, the definition of racial discrimination provides limited and indirect protections for religion. Discrimination based on “ethno-religious origin” is a form of racial discrimination. This term was added to the ADA to clarify </w:t>
      </w:r>
      <w:r w:rsidRPr="00DE7BC8">
        <w:t>that ethno-religious groups, such as members of the Jewish, Islamic and Sikh faiths, are protected against racial vilification and discrimination.</w:t>
      </w:r>
      <w:r w:rsidRPr="00DE7BC8">
        <w:rPr>
          <w:rStyle w:val="FootnoteReference"/>
          <w:color w:val="auto"/>
        </w:rPr>
        <w:footnoteReference w:id="346"/>
      </w:r>
      <w:r w:rsidRPr="00DE7BC8">
        <w:t xml:space="preserve"> </w:t>
      </w:r>
    </w:p>
    <w:p w14:paraId="3E486C11" w14:textId="77777777" w:rsidR="000B3E50" w:rsidRPr="00DE7BC8" w:rsidRDefault="000B3E50" w:rsidP="000B3E50">
      <w:pPr>
        <w:pStyle w:val="NormalAutoChapter"/>
        <w:tabs>
          <w:tab w:val="clear" w:pos="720"/>
          <w:tab w:val="num" w:pos="2564"/>
        </w:tabs>
        <w:rPr>
          <w:lang w:eastAsia="en-US"/>
        </w:rPr>
      </w:pPr>
      <w:r w:rsidRPr="00DE7BC8">
        <w:t>However, “ethno-religious origin” has been interpreted inconsistently. One view is that it protects against discrimination based on being a Muslim from a particular national grouping, but not against discrimination based on being a member of that religion generally.</w:t>
      </w:r>
      <w:r w:rsidRPr="00DE7BC8">
        <w:rPr>
          <w:rStyle w:val="FootnoteReference"/>
        </w:rPr>
        <w:footnoteReference w:id="347"/>
      </w:r>
      <w:r w:rsidRPr="00DE7BC8">
        <w:rPr>
          <w:rStyle w:val="FootnoteReference"/>
        </w:rPr>
        <w:t xml:space="preserve"> </w:t>
      </w:r>
      <w:r w:rsidRPr="00DE7BC8">
        <w:t xml:space="preserve"> Other Tribunal decisions have not drawn this clear line, making it hard for Anti-Discrimination NSW to advise the public clearly about their rights.</w:t>
      </w:r>
      <w:r w:rsidRPr="00DE7BC8">
        <w:rPr>
          <w:rStyle w:val="FootnoteReference"/>
        </w:rPr>
        <w:footnoteReference w:id="348"/>
      </w:r>
    </w:p>
    <w:p w14:paraId="7B66ACCD" w14:textId="77777777" w:rsidR="000B3E50" w:rsidRPr="00DE7BC8" w:rsidRDefault="000B3E50" w:rsidP="000B3E50">
      <w:pPr>
        <w:pStyle w:val="NormalAutoChapter"/>
        <w:tabs>
          <w:tab w:val="clear" w:pos="720"/>
          <w:tab w:val="num" w:pos="2564"/>
        </w:tabs>
        <w:rPr>
          <w:lang w:eastAsia="en-US"/>
        </w:rPr>
      </w:pPr>
      <w:r w:rsidRPr="00DE7BC8">
        <w:rPr>
          <w:lang w:eastAsia="en-US"/>
        </w:rPr>
        <w:t>The complex system of exceptions is another way the ADA indirectly protects freedom of religion. For instance,</w:t>
      </w:r>
      <w:r w:rsidRPr="00DE7BC8">
        <w:t xml:space="preserve"> religious organisations and private schools have broad exceptions from the ADA. </w:t>
      </w:r>
      <w:r w:rsidRPr="00DE7BC8">
        <w:rPr>
          <w:lang w:eastAsia="en-US"/>
        </w:rPr>
        <w:t xml:space="preserve">We outline these in </w:t>
      </w:r>
      <w:r w:rsidRPr="007A0CFD">
        <w:rPr>
          <w:lang w:eastAsia="en-US"/>
        </w:rPr>
        <w:t xml:space="preserve">chapter </w:t>
      </w:r>
      <w:r w:rsidRPr="007A0CFD">
        <w:rPr>
          <w:color w:val="000000" w:themeColor="text1"/>
          <w:lang w:eastAsia="en-US"/>
        </w:rPr>
        <w:t>7</w:t>
      </w:r>
      <w:r w:rsidRPr="007A0CFD">
        <w:rPr>
          <w:lang w:eastAsia="en-US"/>
        </w:rPr>
        <w:t>.</w:t>
      </w:r>
    </w:p>
    <w:p w14:paraId="2D003281" w14:textId="77777777" w:rsidR="000B3E50" w:rsidRPr="00DE7BC8" w:rsidRDefault="000B3E50" w:rsidP="000B3E50">
      <w:pPr>
        <w:pStyle w:val="NormalAutoChapter"/>
        <w:tabs>
          <w:tab w:val="clear" w:pos="720"/>
          <w:tab w:val="num" w:pos="2564"/>
        </w:tabs>
      </w:pPr>
      <w:r w:rsidRPr="00DE7BC8">
        <w:lastRenderedPageBreak/>
        <w:t>Previous reviews have recommended that specific protections against religious discrimination should be introduced in NSW and federal law.</w:t>
      </w:r>
      <w:r w:rsidRPr="00DE7BC8">
        <w:rPr>
          <w:rStyle w:val="FootnoteReference"/>
        </w:rPr>
        <w:footnoteReference w:id="349"/>
      </w:r>
      <w:r w:rsidRPr="00DE7BC8">
        <w:t xml:space="preserve"> However, attempts at enacting such protections have so far been unsuccessful. </w:t>
      </w:r>
    </w:p>
    <w:p w14:paraId="7B9E466B" w14:textId="77777777" w:rsidR="000B3E50" w:rsidRPr="00DE7BC8" w:rsidRDefault="000B3E50" w:rsidP="000B3E50">
      <w:pPr>
        <w:pStyle w:val="Heading3"/>
      </w:pPr>
      <w:r w:rsidRPr="00DE7BC8">
        <w:t>Defining any new protected attribute</w:t>
      </w:r>
    </w:p>
    <w:p w14:paraId="0200629F" w14:textId="77777777" w:rsidR="000B3E50" w:rsidRPr="00DE7BC8" w:rsidRDefault="000B3E50" w:rsidP="000B3E50">
      <w:pPr>
        <w:pStyle w:val="NormalAutoChapter"/>
        <w:tabs>
          <w:tab w:val="clear" w:pos="720"/>
          <w:tab w:val="num" w:pos="2564"/>
        </w:tabs>
        <w:rPr>
          <w:lang w:eastAsia="en-US"/>
        </w:rPr>
      </w:pPr>
      <w:r w:rsidRPr="00DE7BC8">
        <w:rPr>
          <w:color w:val="000000" w:themeColor="text1"/>
          <w:lang w:eastAsia="en-US"/>
        </w:rPr>
        <w:t>If NSW were to protect against religious discrimination, other parts of the ADA and other laws provide examples of approaches that could be adopted or adapted.</w:t>
      </w:r>
    </w:p>
    <w:p w14:paraId="63D42907" w14:textId="77777777" w:rsidR="000B3E50" w:rsidRPr="00DE7BC8" w:rsidRDefault="000B3E50" w:rsidP="000B3E50">
      <w:pPr>
        <w:pStyle w:val="NormalAutoChapter"/>
        <w:tabs>
          <w:tab w:val="clear" w:pos="720"/>
          <w:tab w:val="num" w:pos="2564"/>
        </w:tabs>
      </w:pPr>
      <w:r w:rsidRPr="00DE7BC8">
        <w:t>While the ADA does not prohibit religious discrimination, it does prohibit religious vilification. It is unlawful to publicly incite hatred towards, serious contempt for or severe ridicule of an individual or a group of people based on their:</w:t>
      </w:r>
    </w:p>
    <w:p w14:paraId="5D36E562" w14:textId="77777777" w:rsidR="000B3E50" w:rsidRPr="00DE7BC8" w:rsidRDefault="000B3E50" w:rsidP="000B3E50">
      <w:pPr>
        <w:pStyle w:val="Normalbullet"/>
      </w:pPr>
      <w:r w:rsidRPr="00DE7BC8">
        <w:t>religious belief or affiliation (or lack of), or</w:t>
      </w:r>
    </w:p>
    <w:p w14:paraId="1E0ACA67" w14:textId="77777777" w:rsidR="000B3E50" w:rsidRPr="00DE7BC8" w:rsidRDefault="000B3E50" w:rsidP="000B3E50">
      <w:pPr>
        <w:pStyle w:val="Normalbullet"/>
      </w:pPr>
      <w:r w:rsidRPr="00DE7BC8">
        <w:t>engagement, or lack of engagement, in religious activity.</w:t>
      </w:r>
      <w:r w:rsidRPr="00DE7BC8">
        <w:rPr>
          <w:rStyle w:val="FootnoteReference"/>
        </w:rPr>
        <w:footnoteReference w:id="350"/>
      </w:r>
    </w:p>
    <w:p w14:paraId="1F03972E" w14:textId="77777777" w:rsidR="000B3E50" w:rsidRPr="00DE7BC8" w:rsidRDefault="000B3E50" w:rsidP="000B3E50">
      <w:pPr>
        <w:pStyle w:val="NormalAutoChapter"/>
        <w:tabs>
          <w:tab w:val="clear" w:pos="720"/>
          <w:tab w:val="num" w:pos="2564"/>
        </w:tabs>
        <w:rPr>
          <w:lang w:eastAsia="en-US"/>
        </w:rPr>
      </w:pPr>
      <w:r w:rsidRPr="00DE7BC8">
        <w:t xml:space="preserve">The ADA does not define “religious belief”, “religious affiliation” or “religious activity”. As we discuss in </w:t>
      </w:r>
      <w:r w:rsidRPr="007A0CFD">
        <w:t>chapter 8</w:t>
      </w:r>
      <w:r w:rsidRPr="00DE7BC8">
        <w:t>, we heard many concerns about this approach.</w:t>
      </w:r>
    </w:p>
    <w:p w14:paraId="67CB774E" w14:textId="77777777" w:rsidR="000B3E50" w:rsidRPr="00DE7BC8" w:rsidRDefault="000B3E50" w:rsidP="000B3E50">
      <w:pPr>
        <w:pStyle w:val="NormalAutoChapter"/>
        <w:tabs>
          <w:tab w:val="clear" w:pos="720"/>
          <w:tab w:val="num" w:pos="2564"/>
        </w:tabs>
        <w:rPr>
          <w:lang w:eastAsia="en-US"/>
        </w:rPr>
      </w:pPr>
      <w:r w:rsidRPr="00DE7BC8">
        <w:t xml:space="preserve">Some preliminary submissions suggest that the ADA’s religious vilification protection should use the definitions in s 93Z of the </w:t>
      </w:r>
      <w:r w:rsidRPr="00DE7BC8">
        <w:rPr>
          <w:i/>
          <w:iCs/>
        </w:rPr>
        <w:t xml:space="preserve">Crimes Act 1900 </w:t>
      </w:r>
      <w:r w:rsidRPr="00DE7BC8">
        <w:t>(NSW) instead.</w:t>
      </w:r>
      <w:r w:rsidRPr="00DE7BC8">
        <w:rPr>
          <w:rStyle w:val="FootnoteReference"/>
          <w:color w:val="auto"/>
        </w:rPr>
        <w:footnoteReference w:id="351"/>
      </w:r>
      <w:r w:rsidRPr="00DE7BC8">
        <w:t xml:space="preserve"> Section 93Z makes it an offence to publicly threaten or incite violence based on a specific religious belief or affiliation. This is defined as “holding or not holding a religious belief or view”. It appears to be narrower than the protection offered in the ADA</w:t>
      </w:r>
      <w:r w:rsidRPr="00DE7BC8">
        <w:rPr>
          <w:szCs w:val="18"/>
        </w:rPr>
        <w:t xml:space="preserve">. It only includes affiliation with a religious group if this amounts to holding a religious belief or view and does not include engaging in a religious activity. </w:t>
      </w:r>
    </w:p>
    <w:p w14:paraId="03ACE300" w14:textId="77777777" w:rsidR="000B3E50" w:rsidRPr="00DE7BC8" w:rsidRDefault="000B3E50" w:rsidP="000B3E50">
      <w:pPr>
        <w:pStyle w:val="NormalAutoChapter"/>
        <w:tabs>
          <w:tab w:val="clear" w:pos="720"/>
          <w:tab w:val="num" w:pos="2564"/>
        </w:tabs>
        <w:rPr>
          <w:lang w:eastAsia="en-US"/>
        </w:rPr>
      </w:pPr>
      <w:r w:rsidRPr="00DE7BC8">
        <w:t>Other states and territories may also provide models. Their protections against discrimination based on religious belief and/or activity, or religious conviction generally cover:</w:t>
      </w:r>
    </w:p>
    <w:p w14:paraId="1A8D2D8D" w14:textId="77777777" w:rsidR="000B3E50" w:rsidRPr="00DE7BC8" w:rsidRDefault="000B3E50" w:rsidP="000B3E50">
      <w:pPr>
        <w:pStyle w:val="Normalbullet"/>
      </w:pPr>
      <w:r w:rsidRPr="00DE7BC8">
        <w:t>holding or not holding a religious belief, and</w:t>
      </w:r>
    </w:p>
    <w:p w14:paraId="351936B1" w14:textId="77777777" w:rsidR="000B3E50" w:rsidRPr="00DE7BC8" w:rsidRDefault="000B3E50" w:rsidP="000B3E50">
      <w:pPr>
        <w:pStyle w:val="Normalbullet"/>
      </w:pPr>
      <w:r w:rsidRPr="00DE7BC8">
        <w:t>engaging, or not engaging, in religious activity.</w:t>
      </w:r>
      <w:r w:rsidRPr="00DE7BC8">
        <w:rPr>
          <w:rStyle w:val="FootnoteReference"/>
        </w:rPr>
        <w:footnoteReference w:id="352"/>
      </w:r>
      <w:r w:rsidRPr="00DE7BC8">
        <w:t xml:space="preserve"> </w:t>
      </w:r>
    </w:p>
    <w:p w14:paraId="2353EE2F" w14:textId="77777777" w:rsidR="000B3E50" w:rsidRPr="00DE7BC8" w:rsidRDefault="000B3E50" w:rsidP="000B3E50">
      <w:pPr>
        <w:pStyle w:val="NormalAutoChapter"/>
        <w:tabs>
          <w:tab w:val="clear" w:pos="720"/>
          <w:tab w:val="num" w:pos="2564"/>
        </w:tabs>
      </w:pPr>
      <w:r w:rsidRPr="00DE7BC8">
        <w:lastRenderedPageBreak/>
        <w:t>Some laws only prohibit discrimination based on “lawful” religious activities and/or beliefs.</w:t>
      </w:r>
      <w:r w:rsidRPr="00DE7BC8">
        <w:rPr>
          <w:rStyle w:val="FootnoteReference"/>
        </w:rPr>
        <w:footnoteReference w:id="353"/>
      </w:r>
      <w:r w:rsidRPr="00DE7BC8">
        <w:t xml:space="preserve"> </w:t>
      </w:r>
      <w:r>
        <w:t>T</w:t>
      </w:r>
      <w:r w:rsidRPr="00DE7BC8">
        <w:t xml:space="preserve">he ADA’s prohibition on religious vilification does not have this qualification. However, one view is that this </w:t>
      </w:r>
      <w:r>
        <w:t xml:space="preserve">is </w:t>
      </w:r>
      <w:r w:rsidRPr="00DE7BC8">
        <w:t>unnecessary, as lawfulness is part of the well-established judicial definition of “religion”.</w:t>
      </w:r>
      <w:r w:rsidRPr="00DE7BC8">
        <w:rPr>
          <w:rStyle w:val="FootnoteReference"/>
        </w:rPr>
        <w:footnoteReference w:id="354"/>
      </w:r>
      <w:r w:rsidRPr="00DE7BC8">
        <w:t xml:space="preserve">  </w:t>
      </w:r>
    </w:p>
    <w:p w14:paraId="65E5384B" w14:textId="77777777" w:rsidR="000B3E50" w:rsidRPr="00DE7BC8" w:rsidRDefault="000B3E50" w:rsidP="000B3E50">
      <w:pPr>
        <w:pStyle w:val="NormalAutoChapter"/>
        <w:tabs>
          <w:tab w:val="clear" w:pos="720"/>
          <w:tab w:val="num" w:pos="2564"/>
        </w:tabs>
      </w:pPr>
      <w:r w:rsidRPr="00DE7BC8">
        <w:t>Developing this new attribute could also provide an opportunity to recognise the rights of Aboriginal and Torres Strait Islander peoples. The ACT recognises the cultural heritage and distinct spiritual practices of Aboriginal and Torres Strait Islander peoples. In the NT, “religious belief or activity” includes “Aboriginal spiritual belief or activity”.</w:t>
      </w:r>
      <w:r w:rsidRPr="00DE7BC8">
        <w:rPr>
          <w:rStyle w:val="FootnoteReference"/>
        </w:rPr>
        <w:footnoteReference w:id="355"/>
      </w:r>
      <w:r w:rsidRPr="00DE7BC8">
        <w:t xml:space="preserve"> In 1999, the NSWLRC recommended that a similar form of recognition be part of a new religious belief attribute.</w:t>
      </w:r>
      <w:r w:rsidRPr="00DE7BC8">
        <w:rPr>
          <w:rStyle w:val="FootnoteReference"/>
        </w:rPr>
        <w:footnoteReference w:id="356"/>
      </w:r>
    </w:p>
    <w:p w14:paraId="25AD906E" w14:textId="77777777" w:rsidR="000B3E50" w:rsidRPr="00DE7BC8" w:rsidRDefault="000B3E50" w:rsidP="000B3E50">
      <w:pPr>
        <w:pStyle w:val="NormalAutoChapter"/>
        <w:tabs>
          <w:tab w:val="clear" w:pos="720"/>
          <w:tab w:val="num" w:pos="2564"/>
        </w:tabs>
      </w:pPr>
      <w:r w:rsidRPr="00DE7BC8">
        <w:t>Other characteristics related to religion could also be protected. For instance, the LRCWA recently recommended expressly protecting against discrimination based on religious appearance or dress.</w:t>
      </w:r>
      <w:r w:rsidRPr="00DE7BC8">
        <w:rPr>
          <w:rStyle w:val="FootnoteReference"/>
        </w:rPr>
        <w:footnoteReference w:id="357"/>
      </w:r>
    </w:p>
    <w:p w14:paraId="0E8A971E" w14:textId="77777777" w:rsidR="000B3E50" w:rsidRPr="00DE7BC8" w:rsidRDefault="000B3E50" w:rsidP="000B3E50">
      <w:pPr>
        <w:pStyle w:val="NormalAutoChapter"/>
        <w:tabs>
          <w:tab w:val="clear" w:pos="720"/>
          <w:tab w:val="num" w:pos="2564"/>
        </w:tabs>
      </w:pPr>
      <w:r w:rsidRPr="00DE7BC8">
        <w:t>An alternative could be to add a broader attribute that protects freedom of thought, conscience and religion. The AHRC recommended adding this to federal discrimination law.</w:t>
      </w:r>
      <w:r w:rsidRPr="00DE7BC8">
        <w:rPr>
          <w:rStyle w:val="FootnoteReference"/>
        </w:rPr>
        <w:footnoteReference w:id="358"/>
      </w:r>
      <w:r w:rsidRPr="00DE7BC8">
        <w:t xml:space="preserve"> </w:t>
      </w:r>
      <w:r w:rsidRPr="00DE7BC8">
        <w:rPr>
          <w:lang w:eastAsia="en-US"/>
        </w:rPr>
        <w:t>This is the approach in the UK, where the protected attribute of “religion or belief” includes philosophical beliefs.</w:t>
      </w:r>
      <w:r w:rsidRPr="00DE7BC8">
        <w:rPr>
          <w:rStyle w:val="FootnoteReference"/>
        </w:rPr>
        <w:footnoteReference w:id="359"/>
      </w:r>
    </w:p>
    <w:p w14:paraId="75D4147D" w14:textId="77777777" w:rsidR="000B3E50" w:rsidRPr="00DE7BC8" w:rsidRDefault="000B3E50" w:rsidP="000B3E50">
      <w:pPr>
        <w:pStyle w:val="Heading3"/>
      </w:pPr>
      <w:r w:rsidRPr="00DE7BC8">
        <w:t xml:space="preserve">The relationship with race discrimination </w:t>
      </w:r>
    </w:p>
    <w:p w14:paraId="64230142" w14:textId="77777777" w:rsidR="000B3E50" w:rsidRPr="00DE7BC8" w:rsidRDefault="000B3E50" w:rsidP="000B3E50">
      <w:pPr>
        <w:pStyle w:val="NormalAutoChapter"/>
        <w:tabs>
          <w:tab w:val="clear" w:pos="720"/>
          <w:tab w:val="num" w:pos="2564"/>
        </w:tabs>
      </w:pPr>
      <w:r w:rsidRPr="00DE7BC8">
        <w:t>If new protections against religious discrimination are added, it might not be necessary to keep “ethno-religious origin” in the definition of race</w:t>
      </w:r>
      <w:r w:rsidRPr="00DE7BC8">
        <w:rPr>
          <w:color w:val="auto"/>
        </w:rPr>
        <w:t>. The NSWLRC recommended in 1999 that it be removed, preferring to expressly protect against religious discrimination instead.</w:t>
      </w:r>
      <w:r w:rsidRPr="00DE7BC8">
        <w:rPr>
          <w:rStyle w:val="FootnoteReference"/>
          <w:color w:val="auto"/>
        </w:rPr>
        <w:footnoteReference w:id="360"/>
      </w:r>
      <w:r w:rsidRPr="00DE7BC8">
        <w:rPr>
          <w:color w:val="FF0000"/>
        </w:rPr>
        <w:t xml:space="preserve"> </w:t>
      </w:r>
    </w:p>
    <w:p w14:paraId="2DF438F0" w14:textId="77777777" w:rsidR="000B3E50" w:rsidRPr="00DE7BC8" w:rsidRDefault="000B3E50" w:rsidP="000B3E50">
      <w:pPr>
        <w:pStyle w:val="NormalAutoChapter"/>
        <w:tabs>
          <w:tab w:val="clear" w:pos="720"/>
          <w:tab w:val="num" w:pos="2564"/>
        </w:tabs>
      </w:pPr>
      <w:r w:rsidRPr="00DE7BC8">
        <w:t>But there may be benefits in keeping “ethno-religious” origin in the definition of “race”. Arguably, having both could provide broad protections to people of faith.</w:t>
      </w:r>
      <w:r w:rsidRPr="00DE7BC8">
        <w:rPr>
          <w:rStyle w:val="FootnoteReference"/>
        </w:rPr>
        <w:footnoteReference w:id="361"/>
      </w:r>
    </w:p>
    <w:p w14:paraId="0D39219D" w14:textId="77777777" w:rsidR="000B3E50" w:rsidRPr="00DE7BC8" w:rsidRDefault="000B3E50" w:rsidP="000B3E50">
      <w:pPr>
        <w:pStyle w:val="Heading3"/>
      </w:pPr>
      <w:r w:rsidRPr="00DE7BC8">
        <w:lastRenderedPageBreak/>
        <w:t xml:space="preserve">Exceptions </w:t>
      </w:r>
    </w:p>
    <w:p w14:paraId="63CB3004" w14:textId="77777777" w:rsidR="000B3E50" w:rsidRPr="00DE7BC8" w:rsidRDefault="000B3E50" w:rsidP="000B3E50">
      <w:pPr>
        <w:pStyle w:val="NormalAutoChapter"/>
        <w:tabs>
          <w:tab w:val="clear" w:pos="720"/>
          <w:tab w:val="num" w:pos="2564"/>
        </w:tabs>
      </w:pPr>
      <w:r w:rsidRPr="00DE7BC8">
        <w:t xml:space="preserve">If NSW adds a new protected attribute, the question of exceptions will need to be carefully considered. The interaction between any new protections against religious discrimination and other protected attributes, such as sex, sexual orientation and gender identity, is likely to be complicated. </w:t>
      </w:r>
    </w:p>
    <w:p w14:paraId="04FDFB33" w14:textId="77777777" w:rsidR="000B3E50" w:rsidRPr="00DE7BC8" w:rsidRDefault="000B3E50" w:rsidP="000B3E50">
      <w:pPr>
        <w:pStyle w:val="NormalAutoChapter"/>
        <w:tabs>
          <w:tab w:val="clear" w:pos="720"/>
          <w:tab w:val="num" w:pos="2564"/>
        </w:tabs>
      </w:pPr>
      <w:r w:rsidRPr="00DE7BC8">
        <w:t xml:space="preserve">Given this, we consider the existing exceptions relating to religious belief in greater detail in </w:t>
      </w:r>
      <w:r w:rsidRPr="007A0CFD">
        <w:t>chapter 7</w:t>
      </w:r>
      <w:r w:rsidRPr="003A33FF">
        <w:t>.</w:t>
      </w:r>
      <w:r w:rsidRPr="00DE7BC8">
        <w:t xml:space="preserve"> These include exceptions for private educational authorities, charities, adoption services and religious bodies.</w:t>
      </w:r>
    </w:p>
    <w:p w14:paraId="1E9A7CAA" w14:textId="77777777" w:rsidR="000B3E50" w:rsidRPr="00DE7BC8" w:rsidRDefault="000B3E50" w:rsidP="000B3E50">
      <w:pPr>
        <w:pStyle w:val="Heading2"/>
      </w:pPr>
      <w:bookmarkStart w:id="206" w:name="_Toc196808037"/>
      <w:bookmarkStart w:id="207" w:name="_Toc196826866"/>
      <w:r w:rsidRPr="00DE7BC8">
        <w:t>Sex characteristics</w:t>
      </w:r>
      <w:bookmarkEnd w:id="206"/>
      <w:bookmarkEnd w:id="207"/>
    </w:p>
    <w:p w14:paraId="27AD54E2" w14:textId="77777777" w:rsidR="000B3E50" w:rsidRPr="00DE7BC8" w:rsidRDefault="000B3E50" w:rsidP="000B3E50">
      <w:pPr>
        <w:pStyle w:val="NormalAutoChapter"/>
        <w:tabs>
          <w:tab w:val="clear" w:pos="720"/>
          <w:tab w:val="num" w:pos="2564"/>
        </w:tabs>
      </w:pPr>
      <w:r w:rsidRPr="00DE7BC8">
        <w:t>Unlike most other Australian discrimination laws, the ADA does not protect against discrimination or vilification based on having innate variations of sex characteristics.</w:t>
      </w:r>
      <w:r w:rsidRPr="00DE7BC8">
        <w:rPr>
          <w:rStyle w:val="FootnoteReference"/>
        </w:rPr>
        <w:footnoteReference w:id="362"/>
      </w:r>
      <w:r w:rsidRPr="00DE7BC8">
        <w:t xml:space="preserve"> Many preliminary submissions told us it should. We heard that people with innate variations of sex characteristics regularly experience discrimination, including in employment and schools.</w:t>
      </w:r>
      <w:r w:rsidRPr="00DE7BC8">
        <w:rPr>
          <w:rStyle w:val="FootnoteReference"/>
        </w:rPr>
        <w:footnoteReference w:id="363"/>
      </w:r>
    </w:p>
    <w:p w14:paraId="3F9E34BF" w14:textId="77777777" w:rsidR="000B3E50" w:rsidRPr="00DE7BC8" w:rsidRDefault="000B3E50" w:rsidP="000B3E50">
      <w:pPr>
        <w:pStyle w:val="NormalAutoChapter"/>
        <w:tabs>
          <w:tab w:val="clear" w:pos="720"/>
          <w:tab w:val="num" w:pos="2564"/>
        </w:tabs>
      </w:pPr>
      <w:r w:rsidRPr="00DE7BC8">
        <w:t xml:space="preserve">The criminal vilification offence in the </w:t>
      </w:r>
      <w:r w:rsidRPr="00DE7BC8">
        <w:rPr>
          <w:i/>
          <w:iCs/>
        </w:rPr>
        <w:t>Crimes Act</w:t>
      </w:r>
      <w:r w:rsidRPr="00DE7BC8">
        <w:t xml:space="preserve"> provides one option for expressing and defining this attribute. Under s 93Z of the </w:t>
      </w:r>
      <w:r w:rsidRPr="00DE7BC8">
        <w:rPr>
          <w:i/>
          <w:iCs/>
        </w:rPr>
        <w:t>Crimes Act</w:t>
      </w:r>
      <w:r w:rsidRPr="00DE7BC8">
        <w:t xml:space="preserve">, it is an offence to publicly threaten or incite violence towards an individual or group because they are of intersex status. This is defined as having physical, hormonal or genetic features that are: </w:t>
      </w:r>
    </w:p>
    <w:p w14:paraId="335A6AA4" w14:textId="77777777" w:rsidR="000B3E50" w:rsidRPr="00DE7BC8" w:rsidRDefault="000B3E50" w:rsidP="000B3E50">
      <w:pPr>
        <w:pStyle w:val="Normalbullet"/>
        <w:rPr>
          <w:lang w:eastAsia="en-AU"/>
        </w:rPr>
      </w:pPr>
      <w:r w:rsidRPr="00DE7BC8">
        <w:rPr>
          <w:lang w:eastAsia="en-AU"/>
        </w:rPr>
        <w:t>neither wholly female nor wholly male</w:t>
      </w:r>
    </w:p>
    <w:p w14:paraId="2EB9D498" w14:textId="77777777" w:rsidR="000B3E50" w:rsidRPr="00DE7BC8" w:rsidRDefault="000B3E50" w:rsidP="000B3E50">
      <w:pPr>
        <w:pStyle w:val="Normalbullet"/>
        <w:rPr>
          <w:lang w:eastAsia="en-AU"/>
        </w:rPr>
      </w:pPr>
      <w:r w:rsidRPr="00DE7BC8">
        <w:rPr>
          <w:lang w:eastAsia="en-AU"/>
        </w:rPr>
        <w:t>a combination of female and male, or</w:t>
      </w:r>
    </w:p>
    <w:p w14:paraId="2A1D9BD8" w14:textId="77777777" w:rsidR="000B3E50" w:rsidRPr="00DE7BC8" w:rsidRDefault="000B3E50" w:rsidP="000B3E50">
      <w:pPr>
        <w:pStyle w:val="Normalbullet"/>
        <w:rPr>
          <w:lang w:eastAsia="en-AU"/>
        </w:rPr>
      </w:pPr>
      <w:r w:rsidRPr="00DE7BC8">
        <w:rPr>
          <w:lang w:eastAsia="en-AU"/>
        </w:rPr>
        <w:t>neither female nor male.</w:t>
      </w:r>
      <w:r w:rsidRPr="00DE7BC8">
        <w:rPr>
          <w:rStyle w:val="FootnoteReference"/>
          <w:lang w:eastAsia="en-AU"/>
        </w:rPr>
        <w:footnoteReference w:id="364"/>
      </w:r>
    </w:p>
    <w:p w14:paraId="4CF07207" w14:textId="77777777" w:rsidR="000B3E50" w:rsidRPr="00DE7BC8" w:rsidRDefault="000B3E50" w:rsidP="000B3E50">
      <w:pPr>
        <w:pStyle w:val="NormalAutoChapter"/>
        <w:tabs>
          <w:tab w:val="clear" w:pos="720"/>
          <w:tab w:val="num" w:pos="2564"/>
        </w:tabs>
      </w:pPr>
      <w:r w:rsidRPr="00DE7BC8">
        <w:t xml:space="preserve">For consistency with the criminal law, this definition could be adopted in the ADA. The </w:t>
      </w:r>
      <w:r w:rsidRPr="00DE7BC8">
        <w:rPr>
          <w:i/>
          <w:iCs/>
        </w:rPr>
        <w:t xml:space="preserve">Sex Discrimination Act </w:t>
      </w:r>
      <w:r w:rsidRPr="00DE7BC8">
        <w:t xml:space="preserve">and the </w:t>
      </w:r>
      <w:r w:rsidRPr="00DE7BC8">
        <w:rPr>
          <w:i/>
          <w:iCs/>
        </w:rPr>
        <w:t xml:space="preserve">Fair Work Act </w:t>
      </w:r>
      <w:r w:rsidRPr="00DE7BC8">
        <w:t>also use it.</w:t>
      </w:r>
      <w:r w:rsidRPr="00DE7BC8">
        <w:rPr>
          <w:rStyle w:val="FootnoteReference"/>
        </w:rPr>
        <w:footnoteReference w:id="365"/>
      </w:r>
      <w:r w:rsidRPr="00DE7BC8">
        <w:t xml:space="preserve"> </w:t>
      </w:r>
    </w:p>
    <w:p w14:paraId="3F53581A" w14:textId="77777777" w:rsidR="000B3E50" w:rsidRPr="00DE7BC8" w:rsidRDefault="000B3E50" w:rsidP="000B3E50">
      <w:pPr>
        <w:pStyle w:val="NormalAutoChapter"/>
        <w:tabs>
          <w:tab w:val="clear" w:pos="720"/>
          <w:tab w:val="num" w:pos="2564"/>
        </w:tabs>
        <w:rPr>
          <w:color w:val="auto"/>
        </w:rPr>
      </w:pPr>
      <w:r w:rsidRPr="00DE7BC8">
        <w:t xml:space="preserve">However, other expressions and definitions may be more widely accepted by people entitled to this protection. </w:t>
      </w:r>
      <w:r>
        <w:t xml:space="preserve">In particular, the attribute of “sex characteristics” </w:t>
      </w:r>
      <w:r w:rsidRPr="00DE7BC8">
        <w:rPr>
          <w:color w:val="auto"/>
        </w:rPr>
        <w:lastRenderedPageBreak/>
        <w:t>reflects the terminology and definitions developed by international human rights law experts.</w:t>
      </w:r>
      <w:r w:rsidRPr="00DE7BC8">
        <w:rPr>
          <w:rStyle w:val="FootnoteReference"/>
          <w:color w:val="auto"/>
        </w:rPr>
        <w:footnoteReference w:id="366"/>
      </w:r>
    </w:p>
    <w:p w14:paraId="7B67A3F3" w14:textId="77777777" w:rsidR="000B3E50" w:rsidRPr="00DE7BC8" w:rsidRDefault="000B3E50" w:rsidP="000B3E50">
      <w:pPr>
        <w:pStyle w:val="NormalAutoChapter"/>
        <w:tabs>
          <w:tab w:val="clear" w:pos="720"/>
          <w:tab w:val="num" w:pos="2564"/>
        </w:tabs>
      </w:pPr>
      <w:r w:rsidRPr="00DE7BC8">
        <w:t>Several other states and territories already protect against discrimination based on sex characteristics. They define this as “a person’s physical features relating to sex”, including:</w:t>
      </w:r>
    </w:p>
    <w:p w14:paraId="52099E8F" w14:textId="77777777" w:rsidR="000B3E50" w:rsidRPr="00DE7BC8" w:rsidRDefault="000B3E50" w:rsidP="000B3E50">
      <w:pPr>
        <w:pStyle w:val="Normalbullet"/>
      </w:pPr>
      <w:r w:rsidRPr="00DE7BC8">
        <w:t>genitalia and other sexual and reproductive parts of the person’s anatomy, and</w:t>
      </w:r>
    </w:p>
    <w:p w14:paraId="5614A266" w14:textId="77777777" w:rsidR="000B3E50" w:rsidRPr="00DE7BC8" w:rsidRDefault="000B3E50" w:rsidP="000B3E50">
      <w:pPr>
        <w:pStyle w:val="Normalbullet"/>
      </w:pPr>
      <w:r w:rsidRPr="00DE7BC8">
        <w:t xml:space="preserve">the person’s chromosomes, hormones and secondary physical features emerging </w:t>
      </w:r>
      <w:proofErr w:type="gramStart"/>
      <w:r w:rsidRPr="00DE7BC8">
        <w:t>as a result of</w:t>
      </w:r>
      <w:proofErr w:type="gramEnd"/>
      <w:r w:rsidRPr="00DE7BC8">
        <w:t xml:space="preserve"> puberty.</w:t>
      </w:r>
      <w:r w:rsidRPr="00DE7BC8">
        <w:rPr>
          <w:rStyle w:val="FootnoteReference"/>
        </w:rPr>
        <w:footnoteReference w:id="367"/>
      </w:r>
    </w:p>
    <w:p w14:paraId="70A703B6" w14:textId="77777777" w:rsidR="000B3E50" w:rsidRPr="00DE7BC8" w:rsidRDefault="000B3E50" w:rsidP="000B3E50">
      <w:pPr>
        <w:pStyle w:val="NormalAutoChapter"/>
        <w:tabs>
          <w:tab w:val="clear" w:pos="720"/>
          <w:tab w:val="num" w:pos="2564"/>
        </w:tabs>
      </w:pPr>
      <w:r w:rsidRPr="00DE7BC8">
        <w:t xml:space="preserve">However, the interaction between a protected attribute of “sex characteristics” and the existing test for direct discrimination, if unchanged, might cause complications. </w:t>
      </w:r>
      <w:r>
        <w:t>As e</w:t>
      </w:r>
      <w:r w:rsidRPr="00DE7BC8">
        <w:t>veryone has sex characteristics, it might be hard to identify an appropriate comparator.</w:t>
      </w:r>
      <w:r w:rsidRPr="00DE7BC8">
        <w:rPr>
          <w:rStyle w:val="FootnoteReference"/>
        </w:rPr>
        <w:t xml:space="preserve"> </w:t>
      </w:r>
      <w:r w:rsidRPr="00DE7BC8">
        <w:t>As such, some argue the ADA may not effectively protect people with innate variations of sex characteristics if the comparator test is kept.</w:t>
      </w:r>
      <w:r w:rsidRPr="00DE7BC8">
        <w:rPr>
          <w:rStyle w:val="FootnoteReference"/>
        </w:rPr>
        <w:footnoteReference w:id="368"/>
      </w:r>
      <w:r w:rsidRPr="00DE7BC8">
        <w:t xml:space="preserve"> </w:t>
      </w:r>
    </w:p>
    <w:p w14:paraId="52464318" w14:textId="77777777" w:rsidR="000B3E50" w:rsidRPr="00DE7BC8" w:rsidRDefault="000B3E50" w:rsidP="000B3E50">
      <w:pPr>
        <w:pStyle w:val="NormalAutoChapter"/>
        <w:tabs>
          <w:tab w:val="clear" w:pos="720"/>
          <w:tab w:val="num" w:pos="2564"/>
        </w:tabs>
        <w:rPr>
          <w:color w:val="000000" w:themeColor="text1"/>
        </w:rPr>
      </w:pPr>
      <w:r w:rsidRPr="00DE7BC8">
        <w:t>As first introduced, the Equality</w:t>
      </w:r>
      <w:r w:rsidRPr="00DE7BC8">
        <w:rPr>
          <w:color w:val="000000" w:themeColor="text1"/>
        </w:rPr>
        <w:t xml:space="preserve"> </w:t>
      </w:r>
      <w:r w:rsidRPr="00C86412">
        <w:rPr>
          <w:szCs w:val="18"/>
        </w:rPr>
        <w:t>Legislation Amendment (LGBTIQA+) Bill 2023 (NSW)</w:t>
      </w:r>
      <w:r w:rsidRPr="00DE7BC8">
        <w:rPr>
          <w:color w:val="000000" w:themeColor="text1"/>
        </w:rPr>
        <w:t xml:space="preserve"> </w:t>
      </w:r>
      <w:r>
        <w:rPr>
          <w:color w:val="000000" w:themeColor="text1"/>
        </w:rPr>
        <w:t xml:space="preserve">(Equality Bill) </w:t>
      </w:r>
      <w:r w:rsidRPr="00DE7BC8">
        <w:rPr>
          <w:color w:val="000000" w:themeColor="text1"/>
        </w:rPr>
        <w:t>proposed to protect people with “a variation of sex characteristics”, or those thought to have this. This would have been defined as “a person who has an innate variation of primary or secondary sex characteristics that differ from norms for female or male bodies”.</w:t>
      </w:r>
      <w:r w:rsidRPr="00DE7BC8">
        <w:rPr>
          <w:rStyle w:val="FootnoteReference"/>
          <w:color w:val="000000" w:themeColor="text1"/>
        </w:rPr>
        <w:footnoteReference w:id="369"/>
      </w:r>
      <w:r w:rsidRPr="00DE7BC8">
        <w:rPr>
          <w:color w:val="000000" w:themeColor="text1"/>
        </w:rPr>
        <w:t xml:space="preserve"> This was not enacted</w:t>
      </w:r>
      <w:r>
        <w:rPr>
          <w:color w:val="000000" w:themeColor="text1"/>
        </w:rPr>
        <w:t>. O</w:t>
      </w:r>
      <w:r w:rsidRPr="00DE7BC8">
        <w:rPr>
          <w:color w:val="000000" w:themeColor="text1"/>
        </w:rPr>
        <w:t xml:space="preserve">ther reforms </w:t>
      </w:r>
      <w:r>
        <w:rPr>
          <w:color w:val="000000" w:themeColor="text1"/>
        </w:rPr>
        <w:t xml:space="preserve">were passed </w:t>
      </w:r>
      <w:r w:rsidRPr="00DE7BC8">
        <w:rPr>
          <w:color w:val="000000" w:themeColor="text1"/>
        </w:rPr>
        <w:t>that refer to “</w:t>
      </w:r>
      <w:r w:rsidRPr="00DE7BC8">
        <w:t>variations of sex characteristics”</w:t>
      </w:r>
      <w:r>
        <w:t>,</w:t>
      </w:r>
      <w:r w:rsidRPr="00DE7BC8">
        <w:t xml:space="preserve"> without defining this term</w:t>
      </w:r>
      <w:r>
        <w:t>.</w:t>
      </w:r>
      <w:r w:rsidRPr="00DE7BC8">
        <w:rPr>
          <w:rStyle w:val="FootnoteReference"/>
          <w:color w:val="000000" w:themeColor="text1"/>
        </w:rPr>
        <w:footnoteReference w:id="370"/>
      </w:r>
    </w:p>
    <w:p w14:paraId="6C88D1CC" w14:textId="77777777" w:rsidR="000B3E50" w:rsidRPr="00DE7BC8" w:rsidRDefault="000B3E50" w:rsidP="000B3E50">
      <w:pPr>
        <w:pStyle w:val="Heading2"/>
      </w:pPr>
      <w:bookmarkStart w:id="209" w:name="_Toc180492708"/>
      <w:bookmarkStart w:id="210" w:name="_Toc196808038"/>
      <w:bookmarkStart w:id="211" w:name="_Toc196826867"/>
      <w:r w:rsidRPr="00DE7BC8">
        <w:t>Sex work, lawful sexual activity</w:t>
      </w:r>
      <w:bookmarkEnd w:id="209"/>
      <w:r w:rsidRPr="00DE7BC8">
        <w:t xml:space="preserve"> and occupation</w:t>
      </w:r>
      <w:bookmarkEnd w:id="210"/>
      <w:bookmarkEnd w:id="211"/>
    </w:p>
    <w:p w14:paraId="57E57665" w14:textId="77777777" w:rsidR="000B3E50" w:rsidRPr="00DE7BC8" w:rsidRDefault="000B3E50" w:rsidP="000B3E50">
      <w:pPr>
        <w:pStyle w:val="NormalAutoChapter"/>
      </w:pPr>
      <w:r w:rsidRPr="00DE7BC8">
        <w:t>Sex work has be</w:t>
      </w:r>
      <w:r w:rsidRPr="00DE7BC8">
        <w:rPr>
          <w:color w:val="auto"/>
        </w:rPr>
        <w:t xml:space="preserve">en mostly decriminalised </w:t>
      </w:r>
      <w:r w:rsidRPr="00DE7BC8">
        <w:t>in NSW for almost 30 years. However, we heard that sex workers regularly experience discrimination in many areas of life, including accommodation, employment, and accessing financial services.</w:t>
      </w:r>
      <w:r w:rsidRPr="00DE7BC8">
        <w:rPr>
          <w:rStyle w:val="FootnoteReference"/>
          <w:color w:val="auto"/>
        </w:rPr>
        <w:footnoteReference w:id="371"/>
      </w:r>
      <w:r w:rsidRPr="00DE7BC8">
        <w:t xml:space="preserve"> </w:t>
      </w:r>
    </w:p>
    <w:p w14:paraId="18FBE120" w14:textId="77777777" w:rsidR="000B3E50" w:rsidRPr="00DE7BC8" w:rsidRDefault="000B3E50" w:rsidP="000B3E50">
      <w:pPr>
        <w:pStyle w:val="NormalAutoChapter"/>
        <w:tabs>
          <w:tab w:val="num" w:pos="2564"/>
        </w:tabs>
        <w:spacing w:after="120"/>
      </w:pPr>
      <w:r w:rsidRPr="00DE7BC8">
        <w:lastRenderedPageBreak/>
        <w:t>Discrimination laws in other states and territories could provide models for reform. Options include prohibiting discrimination based on sex work, lawful sexual activity or, more broadly, based on profession, trade, occupation or calling.</w:t>
      </w:r>
      <w:r w:rsidRPr="00DE7BC8">
        <w:rPr>
          <w:rStyle w:val="FootnoteReference"/>
        </w:rPr>
        <w:t xml:space="preserve"> </w:t>
      </w:r>
    </w:p>
    <w:p w14:paraId="11F859B3" w14:textId="77777777" w:rsidR="000B3E50" w:rsidRPr="00DE7BC8" w:rsidRDefault="000B3E50" w:rsidP="000B3E50">
      <w:pPr>
        <w:pStyle w:val="Heading3"/>
      </w:pPr>
      <w:r w:rsidRPr="00DE7BC8">
        <w:t>Protections specifically for sex workers</w:t>
      </w:r>
    </w:p>
    <w:p w14:paraId="7F95F008" w14:textId="77777777" w:rsidR="000B3E50" w:rsidRPr="00DE7BC8" w:rsidRDefault="000B3E50" w:rsidP="000B3E50">
      <w:pPr>
        <w:pStyle w:val="NormalAutoChapter"/>
        <w:tabs>
          <w:tab w:val="clear" w:pos="720"/>
          <w:tab w:val="num" w:pos="2564"/>
        </w:tabs>
      </w:pPr>
      <w:r w:rsidRPr="00DE7BC8">
        <w:t>The first option could be to specifically prohibit discrimination against sex workers. Queensland defines “sex work activity” to cover adults who provide, for payment or reward, services that involve:</w:t>
      </w:r>
    </w:p>
    <w:p w14:paraId="3626521A" w14:textId="77777777" w:rsidR="000B3E50" w:rsidRPr="00DE7BC8" w:rsidRDefault="000B3E50" w:rsidP="000B3E50">
      <w:pPr>
        <w:pStyle w:val="Normalbullet"/>
      </w:pPr>
      <w:r w:rsidRPr="00DE7BC8">
        <w:rPr>
          <w:shd w:val="clear" w:color="auto" w:fill="FFFFFF"/>
        </w:rPr>
        <w:t>participating in a sexual activity with another person, or</w:t>
      </w:r>
    </w:p>
    <w:p w14:paraId="77287833" w14:textId="77777777" w:rsidR="000B3E50" w:rsidRPr="00DE7BC8" w:rsidRDefault="000B3E50" w:rsidP="000B3E50">
      <w:pPr>
        <w:pStyle w:val="Normalbullet"/>
      </w:pPr>
      <w:r w:rsidRPr="00DE7BC8">
        <w:t>the use or display of their body for the sexual arousal or gratification of another person.</w:t>
      </w:r>
    </w:p>
    <w:p w14:paraId="669824AD" w14:textId="77777777" w:rsidR="000B3E50" w:rsidRPr="00DE7BC8" w:rsidRDefault="000B3E50" w:rsidP="000B3E50">
      <w:pPr>
        <w:pStyle w:val="Normalbullet"/>
        <w:numPr>
          <w:ilvl w:val="0"/>
          <w:numId w:val="0"/>
        </w:numPr>
        <w:ind w:left="720"/>
      </w:pPr>
      <w:r w:rsidRPr="00DE7BC8">
        <w:t xml:space="preserve">This includes people who currently provide such services or who have done </w:t>
      </w:r>
      <w:r>
        <w:t xml:space="preserve">so </w:t>
      </w:r>
      <w:r w:rsidRPr="00DE7BC8">
        <w:t>in the past.</w:t>
      </w:r>
      <w:r w:rsidRPr="00DE7BC8">
        <w:rPr>
          <w:rStyle w:val="FootnoteReference"/>
        </w:rPr>
        <w:footnoteReference w:id="372"/>
      </w:r>
    </w:p>
    <w:p w14:paraId="75C3ED44" w14:textId="77777777" w:rsidR="000B3E50" w:rsidRPr="00DE7BC8" w:rsidRDefault="000B3E50" w:rsidP="000B3E50">
      <w:pPr>
        <w:pStyle w:val="NormalAutoChapter"/>
        <w:tabs>
          <w:tab w:val="clear" w:pos="720"/>
          <w:tab w:val="num" w:pos="2564"/>
        </w:tabs>
      </w:pPr>
      <w:r w:rsidRPr="00DE7BC8">
        <w:t>This is not confined to “lawful” sex work activity. This word was avoided to include people who work outside the licenced sector.</w:t>
      </w:r>
      <w:r w:rsidRPr="00DE7BC8">
        <w:rPr>
          <w:rStyle w:val="FootnoteReference"/>
          <w:color w:val="auto"/>
          <w:szCs w:val="22"/>
        </w:rPr>
        <w:footnoteReference w:id="373"/>
      </w:r>
      <w:r w:rsidRPr="00DE7BC8">
        <w:rPr>
          <w:color w:val="auto"/>
        </w:rPr>
        <w:t xml:space="preserve"> </w:t>
      </w:r>
    </w:p>
    <w:p w14:paraId="78724389" w14:textId="77777777" w:rsidR="000B3E50" w:rsidRPr="00DE7BC8" w:rsidRDefault="000B3E50" w:rsidP="000B3E50">
      <w:pPr>
        <w:pStyle w:val="NormalAutoChapter"/>
        <w:tabs>
          <w:tab w:val="clear" w:pos="720"/>
          <w:tab w:val="num" w:pos="2564"/>
        </w:tabs>
      </w:pPr>
      <w:r w:rsidRPr="00DE7BC8">
        <w:t>In NSW, the Equality Bill originally proposed to prohibit discrimination based on being, or previously being, a sex worker (that is, a “person who provides sexual services on a commercial basis”).</w:t>
      </w:r>
      <w:r w:rsidRPr="00DE7BC8">
        <w:rPr>
          <w:rStyle w:val="FootnoteReference"/>
        </w:rPr>
        <w:footnoteReference w:id="374"/>
      </w:r>
      <w:r w:rsidRPr="00DE7BC8">
        <w:t xml:space="preserve"> </w:t>
      </w:r>
    </w:p>
    <w:p w14:paraId="5295C618" w14:textId="77777777" w:rsidR="000B3E50" w:rsidRPr="00DE7BC8" w:rsidRDefault="000B3E50" w:rsidP="000B3E50">
      <w:pPr>
        <w:pStyle w:val="Heading3"/>
      </w:pPr>
      <w:r w:rsidRPr="00DE7BC8">
        <w:t xml:space="preserve">Protections for lawful sexual activity </w:t>
      </w:r>
    </w:p>
    <w:p w14:paraId="56DD7324" w14:textId="77777777" w:rsidR="000B3E50" w:rsidRPr="00DE7BC8" w:rsidRDefault="000B3E50" w:rsidP="000B3E50">
      <w:pPr>
        <w:pStyle w:val="NormalAutoChapter"/>
        <w:tabs>
          <w:tab w:val="clear" w:pos="720"/>
          <w:tab w:val="num" w:pos="2564"/>
        </w:tabs>
        <w:spacing w:after="120"/>
      </w:pPr>
      <w:r w:rsidRPr="00DE7BC8">
        <w:t xml:space="preserve">Another approach, from Tasmania and Victoria, could be to prohibit discrimination based on lawful sexual activity. This includes engaging, not engaging or refusing to engage in </w:t>
      </w:r>
      <w:r>
        <w:t>lawful sexual</w:t>
      </w:r>
      <w:r w:rsidRPr="00DE7BC8">
        <w:t xml:space="preserve"> activity.</w:t>
      </w:r>
      <w:r w:rsidRPr="00DE7BC8">
        <w:rPr>
          <w:rStyle w:val="FootnoteReference"/>
        </w:rPr>
        <w:footnoteReference w:id="375"/>
      </w:r>
      <w:r w:rsidRPr="00DE7BC8">
        <w:t xml:space="preserve"> This would also protect against discrimination based on any other forms of lawful sexual activity, in addition to sex work.</w:t>
      </w:r>
    </w:p>
    <w:p w14:paraId="0896FF8D" w14:textId="77777777" w:rsidR="000B3E50" w:rsidRPr="00DE7BC8" w:rsidRDefault="000B3E50" w:rsidP="000B3E50">
      <w:pPr>
        <w:pStyle w:val="NormalAutoChapter"/>
        <w:tabs>
          <w:tab w:val="clear" w:pos="720"/>
          <w:tab w:val="num" w:pos="2564"/>
        </w:tabs>
        <w:rPr>
          <w:color w:val="auto"/>
        </w:rPr>
      </w:pPr>
      <w:r w:rsidRPr="00DE7BC8">
        <w:t>An issue is whether there should be any exceptions to this prohibition. As part of sex worker decriminalisation processes, Victoria and Queensland recently repealed exceptions that allowed a person to refuse accommodation to someone who intended to use it for lawful commercial sexual activity.</w:t>
      </w:r>
      <w:r w:rsidRPr="00DE7BC8">
        <w:rPr>
          <w:rStyle w:val="FootnoteReference"/>
        </w:rPr>
        <w:footnoteReference w:id="376"/>
      </w:r>
      <w:r w:rsidRPr="00DE7BC8">
        <w:t xml:space="preserve"> Victoria did this to </w:t>
      </w:r>
      <w:r w:rsidRPr="00DE7BC8">
        <w:lastRenderedPageBreak/>
        <w:t>address discrimination against sex workers in accommodation settings.</w:t>
      </w:r>
      <w:r w:rsidRPr="00DE7BC8">
        <w:rPr>
          <w:rStyle w:val="FootnoteReference"/>
        </w:rPr>
        <w:footnoteReference w:id="377"/>
      </w:r>
      <w:r w:rsidRPr="00DE7BC8">
        <w:t xml:space="preserve"> Queensland made the change because it is consistent with decriminalisation, and it sought to reduce the stigma and discrimination experienced by sex workers.</w:t>
      </w:r>
      <w:r w:rsidRPr="00DE7BC8">
        <w:rPr>
          <w:rStyle w:val="FootnoteReference"/>
        </w:rPr>
        <w:footnoteReference w:id="378"/>
      </w:r>
      <w:r w:rsidRPr="00DE7BC8">
        <w:t xml:space="preserve"> </w:t>
      </w:r>
    </w:p>
    <w:p w14:paraId="23D6850A" w14:textId="77777777" w:rsidR="000B3E50" w:rsidRPr="00DE7BC8" w:rsidRDefault="000B3E50" w:rsidP="000B3E50">
      <w:pPr>
        <w:pStyle w:val="NormalAutoChapter"/>
        <w:tabs>
          <w:tab w:val="clear" w:pos="720"/>
          <w:tab w:val="num" w:pos="2564"/>
        </w:tabs>
        <w:rPr>
          <w:color w:val="auto"/>
        </w:rPr>
      </w:pPr>
      <w:r w:rsidRPr="00DE7BC8">
        <w:t>In 2022 the LRCWA considered that such an exception remained necessary in WA, where sex work is generally unlawful.</w:t>
      </w:r>
      <w:r w:rsidRPr="00DE7BC8">
        <w:rPr>
          <w:rStyle w:val="FootnoteReference"/>
        </w:rPr>
        <w:footnoteReference w:id="379"/>
      </w:r>
    </w:p>
    <w:p w14:paraId="77BA88AD" w14:textId="77777777" w:rsidR="000B3E50" w:rsidRPr="00DE7BC8" w:rsidRDefault="000B3E50" w:rsidP="000B3E50">
      <w:pPr>
        <w:pStyle w:val="Heading3"/>
      </w:pPr>
      <w:r w:rsidRPr="00DE7BC8">
        <w:t xml:space="preserve">A wider protection: profession, trade, occupation or calling </w:t>
      </w:r>
    </w:p>
    <w:p w14:paraId="4A1A4FF4" w14:textId="77777777" w:rsidR="000B3E50" w:rsidRPr="00DE7BC8" w:rsidRDefault="000B3E50" w:rsidP="000B3E50">
      <w:pPr>
        <w:pStyle w:val="NormalAutoChapter"/>
        <w:tabs>
          <w:tab w:val="clear" w:pos="720"/>
          <w:tab w:val="num" w:pos="2564"/>
        </w:tabs>
      </w:pPr>
      <w:r w:rsidRPr="00DE7BC8">
        <w:t>Prohibiting discrimination based on profession, trade, occupation or calling would be an even wider option. The ACT and Victoria have this model.</w:t>
      </w:r>
      <w:r w:rsidRPr="00DE7BC8">
        <w:rPr>
          <w:rStyle w:val="FootnoteReference"/>
        </w:rPr>
        <w:footnoteReference w:id="380"/>
      </w:r>
      <w:r w:rsidRPr="00DE7BC8">
        <w:t xml:space="preserve"> This attribute could apply generally, protecting a wide range of people against discrimination based on the work they do.</w:t>
      </w:r>
    </w:p>
    <w:p w14:paraId="6E7A2E43" w14:textId="77777777" w:rsidR="000B3E50" w:rsidRPr="00DE7BC8" w:rsidRDefault="000B3E50" w:rsidP="000B3E50">
      <w:pPr>
        <w:pStyle w:val="NormalAutoChapter"/>
        <w:tabs>
          <w:tab w:val="clear" w:pos="720"/>
          <w:tab w:val="num" w:pos="2564"/>
        </w:tabs>
      </w:pPr>
      <w:r w:rsidRPr="00DE7BC8">
        <w:t>Although it has a wide application, Victoria added this specifically to protect sex workers.</w:t>
      </w:r>
      <w:r w:rsidRPr="00DE7BC8">
        <w:rPr>
          <w:rStyle w:val="FootnoteReference"/>
          <w:color w:val="auto"/>
        </w:rPr>
        <w:footnoteReference w:id="381"/>
      </w:r>
      <w:r w:rsidRPr="00DE7BC8">
        <w:rPr>
          <w:color w:val="auto"/>
        </w:rPr>
        <w:t xml:space="preserve"> </w:t>
      </w:r>
      <w:r w:rsidRPr="00DE7BC8">
        <w:t>As we note above, it also has a “lawful sexual activity” attribute that protects other forms of sexual activity in addition to lawful sex work.</w:t>
      </w:r>
      <w:r w:rsidRPr="00DE7BC8">
        <w:rPr>
          <w:color w:val="auto"/>
        </w:rPr>
        <w:t xml:space="preserve"> If NSW introduced an attribute to protect </w:t>
      </w:r>
      <w:r w:rsidRPr="00DE7BC8">
        <w:t>profession, trade, occupation or calling</w:t>
      </w:r>
      <w:r w:rsidRPr="00DE7BC8">
        <w:rPr>
          <w:color w:val="auto"/>
        </w:rPr>
        <w:t>, it could clarify in a definition that sex work is an occupation.</w:t>
      </w:r>
    </w:p>
    <w:p w14:paraId="604DAC63" w14:textId="77777777" w:rsidR="000B3E50" w:rsidRPr="00DE7BC8" w:rsidRDefault="000B3E50" w:rsidP="000B3E50">
      <w:pPr>
        <w:pStyle w:val="NormalAutoChapter"/>
        <w:tabs>
          <w:tab w:val="clear" w:pos="720"/>
          <w:tab w:val="num" w:pos="2564"/>
        </w:tabs>
        <w:rPr>
          <w:color w:val="auto"/>
        </w:rPr>
      </w:pPr>
      <w:r w:rsidRPr="00DE7BC8">
        <w:rPr>
          <w:color w:val="auto"/>
        </w:rPr>
        <w:t>While this is a broad protection, some exceptions may be necessary. For instance, Victoria permits discrimination in employment based on this attribute if:</w:t>
      </w:r>
    </w:p>
    <w:p w14:paraId="1EDB291C" w14:textId="77777777" w:rsidR="000B3E50" w:rsidRPr="00DE7BC8" w:rsidRDefault="000B3E50" w:rsidP="000B3E50">
      <w:pPr>
        <w:pStyle w:val="Normalbullet"/>
      </w:pPr>
      <w:r w:rsidRPr="00DE7BC8">
        <w:t xml:space="preserve">experience in a particular profession is a genuine occupational requirement, and </w:t>
      </w:r>
    </w:p>
    <w:p w14:paraId="58C4D42A" w14:textId="77777777" w:rsidR="000B3E50" w:rsidRPr="00DE7BC8" w:rsidRDefault="000B3E50" w:rsidP="000B3E50">
      <w:pPr>
        <w:pStyle w:val="Normalbullet"/>
      </w:pPr>
      <w:r w:rsidRPr="00DE7BC8">
        <w:t>it is reasonable to discriminate, on that basis, in the circumstances.</w:t>
      </w:r>
      <w:r w:rsidRPr="00DE7BC8">
        <w:rPr>
          <w:rStyle w:val="FootnoteReference"/>
        </w:rPr>
        <w:footnoteReference w:id="382"/>
      </w:r>
      <w:r w:rsidRPr="00DE7BC8">
        <w:t xml:space="preserve"> </w:t>
      </w:r>
    </w:p>
    <w:p w14:paraId="120C238E" w14:textId="77777777" w:rsidR="000B3E50" w:rsidRPr="00DE7BC8" w:rsidRDefault="000B3E50" w:rsidP="000B3E50">
      <w:pPr>
        <w:pStyle w:val="NormalAutoChapter"/>
        <w:tabs>
          <w:tab w:val="clear" w:pos="720"/>
          <w:tab w:val="num" w:pos="2564"/>
        </w:tabs>
        <w:rPr>
          <w:color w:val="auto"/>
        </w:rPr>
      </w:pPr>
      <w:r w:rsidRPr="00DE7BC8">
        <w:rPr>
          <w:color w:val="auto"/>
        </w:rPr>
        <w:t>The ACT permits discrimination based on profession, trade, occupation or calling if:</w:t>
      </w:r>
    </w:p>
    <w:p w14:paraId="76BCBF52" w14:textId="77777777" w:rsidR="000B3E50" w:rsidRPr="00DE7BC8" w:rsidRDefault="000B3E50" w:rsidP="000B3E50">
      <w:pPr>
        <w:pStyle w:val="Normalbullet"/>
      </w:pPr>
      <w:r w:rsidRPr="00DE7BC8">
        <w:t xml:space="preserve">the profession is relevant to the “transaction”, and </w:t>
      </w:r>
    </w:p>
    <w:p w14:paraId="4204AA98" w14:textId="77777777" w:rsidR="000B3E50" w:rsidRPr="00DE7BC8" w:rsidRDefault="000B3E50" w:rsidP="000B3E50">
      <w:pPr>
        <w:pStyle w:val="Normalbullet"/>
      </w:pPr>
      <w:r w:rsidRPr="00DE7BC8">
        <w:t>the discrimination is reasonable in the circumstances.</w:t>
      </w:r>
      <w:r w:rsidRPr="00DE7BC8">
        <w:rPr>
          <w:rStyle w:val="FootnoteReference"/>
        </w:rPr>
        <w:footnoteReference w:id="383"/>
      </w:r>
      <w:r w:rsidRPr="00DE7BC8">
        <w:t xml:space="preserve"> </w:t>
      </w:r>
    </w:p>
    <w:p w14:paraId="48116229" w14:textId="77777777" w:rsidR="000B3E50" w:rsidRPr="00DE7BC8" w:rsidRDefault="000B3E50" w:rsidP="000B3E50">
      <w:pPr>
        <w:pStyle w:val="Heading2"/>
      </w:pPr>
      <w:bookmarkStart w:id="212" w:name="_Toc196808039"/>
      <w:bookmarkStart w:id="213" w:name="_Toc196826868"/>
      <w:r w:rsidRPr="00DE7BC8">
        <w:lastRenderedPageBreak/>
        <w:t>Socio-economic status</w:t>
      </w:r>
      <w:bookmarkEnd w:id="212"/>
      <w:bookmarkEnd w:id="213"/>
      <w:r w:rsidRPr="00DE7BC8">
        <w:t xml:space="preserve"> </w:t>
      </w:r>
    </w:p>
    <w:p w14:paraId="5DEF89AC" w14:textId="77777777" w:rsidR="000B3E50" w:rsidRPr="00DE7BC8" w:rsidRDefault="000B3E50" w:rsidP="000B3E50">
      <w:pPr>
        <w:pStyle w:val="NormalAutoChapter"/>
        <w:tabs>
          <w:tab w:val="clear" w:pos="720"/>
          <w:tab w:val="num" w:pos="2564"/>
        </w:tabs>
        <w:rPr>
          <w:lang w:eastAsia="en-US"/>
        </w:rPr>
      </w:pPr>
      <w:r w:rsidRPr="00DE7BC8">
        <w:rPr>
          <w:lang w:eastAsia="en-US"/>
        </w:rPr>
        <w:t>Some other Australian states and territories prohibit discrimination based on certain features relating to socio-economic status. Adding this to the ADA could help protect the rights of some of the most vulnerable members of the community.</w:t>
      </w:r>
    </w:p>
    <w:p w14:paraId="49816FF7" w14:textId="77777777" w:rsidR="000B3E50" w:rsidRPr="00DE7BC8" w:rsidRDefault="000B3E50" w:rsidP="000B3E50">
      <w:pPr>
        <w:pStyle w:val="Heading3"/>
      </w:pPr>
      <w:bookmarkStart w:id="214" w:name="_Toc180492699"/>
      <w:r w:rsidRPr="00DE7BC8">
        <w:t>Homelessness or accommodation status</w:t>
      </w:r>
      <w:bookmarkEnd w:id="214"/>
      <w:r w:rsidRPr="00DE7BC8">
        <w:t xml:space="preserve"> </w:t>
      </w:r>
    </w:p>
    <w:p w14:paraId="05B12077" w14:textId="77777777" w:rsidR="000B3E50" w:rsidRPr="00DE7BC8" w:rsidRDefault="000B3E50" w:rsidP="000B3E50">
      <w:pPr>
        <w:pStyle w:val="NormalAutoChapter"/>
        <w:tabs>
          <w:tab w:val="clear" w:pos="720"/>
          <w:tab w:val="num" w:pos="2564"/>
        </w:tabs>
        <w:spacing w:after="120"/>
        <w:rPr>
          <w:lang w:eastAsia="en-US"/>
        </w:rPr>
      </w:pPr>
      <w:r w:rsidRPr="00DE7BC8">
        <w:rPr>
          <w:lang w:eastAsia="en-US"/>
        </w:rPr>
        <w:t>Discrimination based on “accommodation status” is unlawful in the ACT and the NT. Broadly speaking, this covers:</w:t>
      </w:r>
    </w:p>
    <w:p w14:paraId="77371E83" w14:textId="77777777" w:rsidR="000B3E50" w:rsidRPr="00DE7BC8" w:rsidRDefault="000B3E50" w:rsidP="000B3E50">
      <w:pPr>
        <w:pStyle w:val="Normalbullet"/>
      </w:pPr>
      <w:r w:rsidRPr="00DE7BC8">
        <w:t>tenants, boarders, lodgers or licensees</w:t>
      </w:r>
    </w:p>
    <w:p w14:paraId="189A8B04" w14:textId="77777777" w:rsidR="000B3E50" w:rsidRPr="00DE7BC8" w:rsidRDefault="000B3E50" w:rsidP="000B3E50">
      <w:pPr>
        <w:pStyle w:val="Normalbullet"/>
      </w:pPr>
      <w:r w:rsidRPr="00DE7BC8">
        <w:t xml:space="preserve">people experiencing homelessness or transient forms of accommodation, and </w:t>
      </w:r>
    </w:p>
    <w:p w14:paraId="7BD3E301" w14:textId="77777777" w:rsidR="000B3E50" w:rsidRPr="00DE7BC8" w:rsidRDefault="000B3E50" w:rsidP="000B3E50">
      <w:pPr>
        <w:pStyle w:val="Normalbullet"/>
      </w:pPr>
      <w:r w:rsidRPr="00DE7BC8">
        <w:t>residents in aged care facilities, or in disability or supported care accommodation.</w:t>
      </w:r>
      <w:r w:rsidRPr="00DE7BC8">
        <w:rPr>
          <w:rStyle w:val="FootnoteReference"/>
        </w:rPr>
        <w:footnoteReference w:id="384"/>
      </w:r>
      <w:r w:rsidRPr="00DE7BC8">
        <w:t xml:space="preserve">  </w:t>
      </w:r>
    </w:p>
    <w:p w14:paraId="0AB8934E" w14:textId="77777777" w:rsidR="000B3E50" w:rsidRPr="00DE7BC8" w:rsidRDefault="000B3E50" w:rsidP="000B3E50">
      <w:pPr>
        <w:pStyle w:val="NormalAutoChapter"/>
        <w:tabs>
          <w:tab w:val="clear" w:pos="720"/>
          <w:tab w:val="num" w:pos="2564"/>
        </w:tabs>
      </w:pPr>
      <w:r w:rsidRPr="00DE7BC8">
        <w:t>In recommending this protection, the ACT Law Reform Advisory Council acknowledged the experiences of people with no fixed address or secure accommodation. For example, the Council reported that some people have been told that they cannot make a doctor’s appointment until they have a permanent address.</w:t>
      </w:r>
      <w:r w:rsidRPr="00DE7BC8">
        <w:rPr>
          <w:rStyle w:val="FootnoteReference"/>
          <w:lang w:eastAsia="en-US"/>
        </w:rPr>
        <w:footnoteReference w:id="385"/>
      </w:r>
      <w:r w:rsidRPr="00DE7BC8">
        <w:t xml:space="preserve"> </w:t>
      </w:r>
    </w:p>
    <w:p w14:paraId="65F7C737" w14:textId="77777777" w:rsidR="000B3E50" w:rsidRPr="00DE7BC8" w:rsidRDefault="000B3E50" w:rsidP="000B3E50">
      <w:pPr>
        <w:pStyle w:val="NormalAutoChapter"/>
        <w:tabs>
          <w:tab w:val="clear" w:pos="720"/>
          <w:tab w:val="num" w:pos="2564"/>
        </w:tabs>
      </w:pPr>
      <w:r w:rsidRPr="00DE7BC8">
        <w:t xml:space="preserve">However, there may be scope for some exceptions to this protection. In the ACT, it is it not unlawful to discriminate based on accommodation status where this is reasonable, </w:t>
      </w:r>
      <w:r w:rsidRPr="00DE7BC8">
        <w:rPr>
          <w:color w:val="auto"/>
        </w:rPr>
        <w:t>having regard to any relevant factors.</w:t>
      </w:r>
      <w:r w:rsidRPr="00DE7BC8">
        <w:rPr>
          <w:rStyle w:val="FootnoteReference"/>
          <w:color w:val="auto"/>
        </w:rPr>
        <w:footnoteReference w:id="386"/>
      </w:r>
      <w:r w:rsidRPr="00DE7BC8">
        <w:rPr>
          <w:color w:val="auto"/>
        </w:rPr>
        <w:t xml:space="preserve"> This was added to allow certain conduct, like looking at someone’s rental history when deciding whether to rent accommodation to them.</w:t>
      </w:r>
      <w:r w:rsidRPr="00DE7BC8">
        <w:rPr>
          <w:rStyle w:val="FootnoteReference"/>
          <w:color w:val="auto"/>
        </w:rPr>
        <w:footnoteReference w:id="387"/>
      </w:r>
      <w:r w:rsidRPr="00DE7BC8">
        <w:rPr>
          <w:color w:val="auto"/>
        </w:rPr>
        <w:t xml:space="preserve"> </w:t>
      </w:r>
    </w:p>
    <w:p w14:paraId="6DA26571" w14:textId="77777777" w:rsidR="000B3E50" w:rsidRPr="00DE7BC8" w:rsidRDefault="000B3E50" w:rsidP="000B3E50">
      <w:pPr>
        <w:pStyle w:val="NormalAutoChapter"/>
        <w:tabs>
          <w:tab w:val="clear" w:pos="720"/>
          <w:tab w:val="num" w:pos="2564"/>
        </w:tabs>
        <w:rPr>
          <w:color w:val="auto"/>
        </w:rPr>
      </w:pPr>
      <w:r w:rsidRPr="00FF55AA">
        <w:t>The Queensland amendments will, upon commencement, prohibit discrimination based on “homelessness”.</w:t>
      </w:r>
      <w:r w:rsidRPr="007A0CFD">
        <w:rPr>
          <w:rStyle w:val="FootnoteReference"/>
        </w:rPr>
        <w:footnoteReference w:id="388"/>
      </w:r>
      <w:r w:rsidRPr="00DE7BC8">
        <w:t xml:space="preserve"> The narrower approach was taken to clearly protect this disadvantaged group</w:t>
      </w:r>
      <w:r w:rsidRPr="00DE7BC8">
        <w:rPr>
          <w:color w:val="auto"/>
        </w:rPr>
        <w:t>.</w:t>
      </w:r>
      <w:r w:rsidRPr="00DE7BC8">
        <w:rPr>
          <w:rStyle w:val="FootnoteReference"/>
          <w:color w:val="auto"/>
          <w:szCs w:val="22"/>
        </w:rPr>
        <w:footnoteReference w:id="389"/>
      </w:r>
    </w:p>
    <w:p w14:paraId="0A1A7F70" w14:textId="77777777" w:rsidR="000B3E50" w:rsidRPr="00DE7BC8" w:rsidRDefault="000B3E50" w:rsidP="000B3E50">
      <w:pPr>
        <w:pStyle w:val="Heading3"/>
      </w:pPr>
      <w:bookmarkStart w:id="215" w:name="_Toc180492700"/>
      <w:r w:rsidRPr="00DE7BC8">
        <w:lastRenderedPageBreak/>
        <w:t>Employment status</w:t>
      </w:r>
      <w:bookmarkEnd w:id="215"/>
      <w:r w:rsidRPr="00DE7BC8">
        <w:t xml:space="preserve"> </w:t>
      </w:r>
    </w:p>
    <w:p w14:paraId="3597A801" w14:textId="77777777" w:rsidR="000B3E50" w:rsidRPr="00DE7BC8" w:rsidRDefault="000B3E50" w:rsidP="000B3E50">
      <w:pPr>
        <w:pStyle w:val="NormalAutoChapter"/>
        <w:tabs>
          <w:tab w:val="clear" w:pos="720"/>
          <w:tab w:val="num" w:pos="2564"/>
        </w:tabs>
      </w:pPr>
      <w:r w:rsidRPr="00DE7BC8">
        <w:t xml:space="preserve">The ACT and </w:t>
      </w:r>
      <w:r>
        <w:t xml:space="preserve">the </w:t>
      </w:r>
      <w:r w:rsidRPr="00DE7BC8">
        <w:t xml:space="preserve">NT also prohibit discrimination based on employment status. This includes: </w:t>
      </w:r>
    </w:p>
    <w:p w14:paraId="161510AC" w14:textId="77777777" w:rsidR="000B3E50" w:rsidRPr="00DE7BC8" w:rsidRDefault="000B3E50" w:rsidP="000B3E50">
      <w:pPr>
        <w:pStyle w:val="Normalbullet"/>
      </w:pPr>
      <w:r w:rsidRPr="00DE7BC8">
        <w:t>being unemployed</w:t>
      </w:r>
    </w:p>
    <w:p w14:paraId="412D55F3" w14:textId="77777777" w:rsidR="000B3E50" w:rsidRPr="00DE7BC8" w:rsidRDefault="000B3E50" w:rsidP="000B3E50">
      <w:pPr>
        <w:pStyle w:val="Normalbullet"/>
        <w:rPr>
          <w:lang w:eastAsia="en-AU"/>
        </w:rPr>
      </w:pPr>
      <w:r w:rsidRPr="00DE7BC8">
        <w:rPr>
          <w:lang w:eastAsia="en-AU"/>
        </w:rPr>
        <w:t>receiving a pension or another social security benefit</w:t>
      </w:r>
    </w:p>
    <w:p w14:paraId="03471F5A" w14:textId="77777777" w:rsidR="000B3E50" w:rsidRPr="00DE7BC8" w:rsidRDefault="000B3E50" w:rsidP="000B3E50">
      <w:pPr>
        <w:pStyle w:val="Normalbullet"/>
        <w:rPr>
          <w:lang w:eastAsia="en-AU"/>
        </w:rPr>
      </w:pPr>
      <w:r w:rsidRPr="00DE7BC8">
        <w:rPr>
          <w:lang w:eastAsia="en-AU"/>
        </w:rPr>
        <w:t>receiving compensation</w:t>
      </w:r>
    </w:p>
    <w:p w14:paraId="5A8A6B87" w14:textId="77777777" w:rsidR="000B3E50" w:rsidRPr="00DE7BC8" w:rsidRDefault="000B3E50" w:rsidP="000B3E50">
      <w:pPr>
        <w:pStyle w:val="Normalbullet"/>
        <w:rPr>
          <w:lang w:eastAsia="en-AU"/>
        </w:rPr>
      </w:pPr>
      <w:r w:rsidRPr="00DE7BC8">
        <w:rPr>
          <w:lang w:eastAsia="en-AU"/>
        </w:rPr>
        <w:t>being employed on a part-time, casual or temporary basis, and</w:t>
      </w:r>
    </w:p>
    <w:p w14:paraId="0B4BFDDA" w14:textId="77777777" w:rsidR="000B3E50" w:rsidRPr="00DE7BC8" w:rsidRDefault="000B3E50" w:rsidP="000B3E50">
      <w:pPr>
        <w:pStyle w:val="Normalbullet"/>
      </w:pPr>
      <w:r w:rsidRPr="00DE7BC8">
        <w:t>undertaking shift or contract work.</w:t>
      </w:r>
      <w:r w:rsidRPr="00DE7BC8">
        <w:rPr>
          <w:rStyle w:val="FootnoteReference"/>
        </w:rPr>
        <w:footnoteReference w:id="390"/>
      </w:r>
    </w:p>
    <w:p w14:paraId="7D565C93" w14:textId="77777777" w:rsidR="000B3E50" w:rsidRPr="00DE7BC8" w:rsidRDefault="000B3E50" w:rsidP="000B3E50">
      <w:pPr>
        <w:pStyle w:val="NormalAutoChapter"/>
        <w:tabs>
          <w:tab w:val="clear" w:pos="720"/>
          <w:tab w:val="num" w:pos="2564"/>
        </w:tabs>
      </w:pPr>
      <w:r w:rsidRPr="00DE7BC8">
        <w:t>The LRCWA also recommended introducing this protection. Among other reasons, it recognised that the growing reliance on non-standard work arrangements, such as gig economy work, could increase opportunities for discrimination.</w:t>
      </w:r>
      <w:r w:rsidRPr="00DE7BC8">
        <w:rPr>
          <w:rStyle w:val="FootnoteReference"/>
        </w:rPr>
        <w:footnoteReference w:id="391"/>
      </w:r>
    </w:p>
    <w:p w14:paraId="752A5F12" w14:textId="77777777" w:rsidR="000B3E50" w:rsidRPr="00DE7BC8" w:rsidRDefault="000B3E50" w:rsidP="000B3E50">
      <w:pPr>
        <w:pStyle w:val="NormalAutoChapter"/>
        <w:tabs>
          <w:tab w:val="clear" w:pos="720"/>
          <w:tab w:val="num" w:pos="2564"/>
        </w:tabs>
      </w:pPr>
      <w:r w:rsidRPr="00DE7BC8">
        <w:t>However, exceptions may also be required to balance different interests. The ACT permits discrimination against applicants and employees based on employment status where reasonable, having regard to any relevant factors.</w:t>
      </w:r>
      <w:r w:rsidRPr="00DE7BC8">
        <w:rPr>
          <w:rStyle w:val="FootnoteReference"/>
          <w:color w:val="auto"/>
        </w:rPr>
        <w:footnoteReference w:id="392"/>
      </w:r>
      <w:r w:rsidRPr="00DE7BC8">
        <w:t xml:space="preserve"> For example, if an agent looked at an applicant’s work history when assessing their suitability for employment.</w:t>
      </w:r>
      <w:r w:rsidRPr="00DE7BC8">
        <w:rPr>
          <w:rStyle w:val="FootnoteReference"/>
          <w:color w:val="auto"/>
        </w:rPr>
        <w:footnoteReference w:id="393"/>
      </w:r>
      <w:r w:rsidRPr="00DE7BC8">
        <w:t xml:space="preserve"> </w:t>
      </w:r>
    </w:p>
    <w:p w14:paraId="758E367D" w14:textId="77777777" w:rsidR="000B3E50" w:rsidRPr="00DE7BC8" w:rsidRDefault="000B3E50" w:rsidP="000B3E50">
      <w:pPr>
        <w:pStyle w:val="Heading3"/>
      </w:pPr>
      <w:bookmarkStart w:id="216" w:name="_Toc180492702"/>
      <w:r w:rsidRPr="00DE7BC8">
        <w:t>Social origin or status</w:t>
      </w:r>
      <w:bookmarkEnd w:id="216"/>
    </w:p>
    <w:p w14:paraId="6BCD4A79" w14:textId="77777777" w:rsidR="000B3E50" w:rsidRPr="00DE7BC8" w:rsidRDefault="000B3E50" w:rsidP="000B3E50">
      <w:pPr>
        <w:pStyle w:val="NormalAutoChapter"/>
        <w:tabs>
          <w:tab w:val="clear" w:pos="720"/>
          <w:tab w:val="num" w:pos="2564"/>
        </w:tabs>
      </w:pPr>
      <w:r>
        <w:t>I</w:t>
      </w:r>
      <w:r w:rsidRPr="00DE7BC8">
        <w:t>nternational human rights law also contains a right to non-discrimination based on social origin.</w:t>
      </w:r>
      <w:r w:rsidRPr="00DE7BC8">
        <w:rPr>
          <w:rStyle w:val="FootnoteReference"/>
          <w:lang w:eastAsia="en-US"/>
        </w:rPr>
        <w:footnoteReference w:id="394"/>
      </w:r>
      <w:r>
        <w:t xml:space="preserve"> </w:t>
      </w:r>
      <w:r w:rsidRPr="00DE7BC8">
        <w:t>We received some suggestions that the ADA should prohibit discrimination based on social origin or status.</w:t>
      </w:r>
      <w:r w:rsidRPr="00DE7BC8">
        <w:rPr>
          <w:rStyle w:val="FootnoteReference"/>
        </w:rPr>
        <w:footnoteReference w:id="395"/>
      </w:r>
      <w:r w:rsidRPr="00DE7BC8">
        <w:t xml:space="preserve"> This could apply, for instance, where former students </w:t>
      </w:r>
      <w:proofErr w:type="gramStart"/>
      <w:r w:rsidRPr="00DE7BC8">
        <w:t>of</w:t>
      </w:r>
      <w:proofErr w:type="gramEnd"/>
      <w:r w:rsidRPr="00DE7BC8">
        <w:t xml:space="preserve"> exclusive schools receive preferential treatment in hiring decisions.</w:t>
      </w:r>
      <w:r w:rsidRPr="00DE7BC8">
        <w:rPr>
          <w:rStyle w:val="FootnoteReference"/>
        </w:rPr>
        <w:footnoteReference w:id="396"/>
      </w:r>
    </w:p>
    <w:p w14:paraId="3DAF07E8" w14:textId="77777777" w:rsidR="000B3E50" w:rsidRPr="00DE7BC8" w:rsidRDefault="000B3E50" w:rsidP="000B3E50">
      <w:pPr>
        <w:pStyle w:val="NormalAutoChapter"/>
        <w:tabs>
          <w:tab w:val="clear" w:pos="720"/>
          <w:tab w:val="num" w:pos="2564"/>
        </w:tabs>
      </w:pPr>
      <w:r w:rsidRPr="00DE7BC8">
        <w:t xml:space="preserve">Discrimination based on social origin is addressed in a limited way under federal laws. The </w:t>
      </w:r>
      <w:r w:rsidRPr="00DE7BC8">
        <w:rPr>
          <w:i/>
          <w:iCs/>
        </w:rPr>
        <w:t>Fair Work Act</w:t>
      </w:r>
      <w:r w:rsidRPr="00DE7BC8">
        <w:t xml:space="preserve"> prohibits adverse action because of “social origin” but, as </w:t>
      </w:r>
      <w:r w:rsidRPr="00DE7BC8">
        <w:lastRenderedPageBreak/>
        <w:t>we explain above, this does not apply in NSW</w:t>
      </w:r>
      <w:r>
        <w:t xml:space="preserve"> currently</w:t>
      </w:r>
      <w:r w:rsidRPr="00DE7BC8">
        <w:t>.</w:t>
      </w:r>
      <w:r w:rsidRPr="00DE7BC8">
        <w:rPr>
          <w:rStyle w:val="FootnoteReference"/>
          <w:lang w:eastAsia="en-US"/>
        </w:rPr>
        <w:footnoteReference w:id="397"/>
      </w:r>
      <w:r w:rsidRPr="00DE7BC8">
        <w:t xml:space="preserve"> While complaints can be made to the AHRC about discrimination in employment based on social origin, this does not include access to judicial remedies.</w:t>
      </w:r>
      <w:r w:rsidRPr="00DE7BC8">
        <w:rPr>
          <w:rStyle w:val="FootnoteReference"/>
        </w:rPr>
        <w:footnoteReference w:id="398"/>
      </w:r>
    </w:p>
    <w:p w14:paraId="7ECF242C" w14:textId="77777777" w:rsidR="000B3E50" w:rsidRPr="00DE7BC8" w:rsidRDefault="000B3E50" w:rsidP="000B3E50">
      <w:pPr>
        <w:pStyle w:val="NormalAutoChapter"/>
        <w:tabs>
          <w:tab w:val="clear" w:pos="720"/>
          <w:tab w:val="num" w:pos="2564"/>
        </w:tabs>
      </w:pPr>
      <w:r w:rsidRPr="00DE7BC8">
        <w:rPr>
          <w:lang w:eastAsia="en-US"/>
        </w:rPr>
        <w:t xml:space="preserve">However, discrimination based on social origin is not prohibited by other states and territories. </w:t>
      </w:r>
      <w:r w:rsidRPr="00DE7BC8">
        <w:t>Reviews in other states have not supported adding it as a protected attribute. Their reasons include that the attribute is too broad and uncertain, there is not enough evidence about what it is designed to address, and it lacks community support.</w:t>
      </w:r>
      <w:r w:rsidRPr="00DE7BC8">
        <w:rPr>
          <w:rStyle w:val="FootnoteReference"/>
          <w:szCs w:val="22"/>
        </w:rPr>
        <w:footnoteReference w:id="399"/>
      </w:r>
      <w:r w:rsidRPr="00DE7BC8">
        <w:t xml:space="preserve"> </w:t>
      </w:r>
    </w:p>
    <w:p w14:paraId="6BABA477" w14:textId="77777777" w:rsidR="000B3E50" w:rsidRPr="00DE7BC8" w:rsidRDefault="000B3E50" w:rsidP="000B3E50">
      <w:pPr>
        <w:pStyle w:val="NormalAutoChapter"/>
        <w:tabs>
          <w:tab w:val="clear" w:pos="720"/>
          <w:tab w:val="num" w:pos="2564"/>
        </w:tabs>
      </w:pPr>
      <w:r w:rsidRPr="00DE7BC8">
        <w:t>In 1999, the NSWLRC considered that social status should not be added as an attribute on the basis that there was no evidence that discrimination based on social origin was occurring.</w:t>
      </w:r>
      <w:r w:rsidRPr="00DE7BC8">
        <w:rPr>
          <w:rStyle w:val="FootnoteReference"/>
        </w:rPr>
        <w:footnoteReference w:id="400"/>
      </w:r>
    </w:p>
    <w:p w14:paraId="32D16C6E" w14:textId="77777777" w:rsidR="000B3E50" w:rsidRPr="00DE7BC8" w:rsidRDefault="000B3E50" w:rsidP="000B3E50">
      <w:pPr>
        <w:pStyle w:val="Recommendationheading"/>
        <w:rPr>
          <w:rFonts w:ascii="Public Sans" w:hAnsi="Public Sans"/>
        </w:rPr>
      </w:pPr>
      <w:r w:rsidRPr="00DE7BC8">
        <w:rPr>
          <w:rFonts w:ascii="Public Sans" w:hAnsi="Public Sans"/>
        </w:rPr>
        <w:t xml:space="preserve">Question 5.2: Potential new attributes  </w:t>
      </w:r>
    </w:p>
    <w:p w14:paraId="273993E6" w14:textId="77777777" w:rsidR="000B3E50" w:rsidRPr="00DE7BC8" w:rsidRDefault="000B3E50" w:rsidP="000B3E50">
      <w:pPr>
        <w:pStyle w:val="Recommendationhanging1"/>
      </w:pPr>
      <w:r w:rsidRPr="00DE7BC8">
        <w:t>(1)</w:t>
      </w:r>
      <w:r w:rsidRPr="00DE7BC8">
        <w:tab/>
        <w:t xml:space="preserve">Should any protected attributes be added to the prohibition on discrimination in the ADA? If so, </w:t>
      </w:r>
      <w:r>
        <w:t>what</w:t>
      </w:r>
      <w:r w:rsidRPr="00DE7BC8">
        <w:t xml:space="preserve"> should be added and why? </w:t>
      </w:r>
    </w:p>
    <w:p w14:paraId="66EBB385" w14:textId="77777777" w:rsidR="000B3E50" w:rsidRPr="00DE7BC8" w:rsidRDefault="000B3E50" w:rsidP="000B3E50">
      <w:pPr>
        <w:pStyle w:val="Recommendationhanging1"/>
      </w:pPr>
      <w:r w:rsidRPr="00DE7BC8">
        <w:t>(2)</w:t>
      </w:r>
      <w:r w:rsidRPr="00DE7BC8">
        <w:tab/>
        <w:t xml:space="preserve">How should each of the new attributes that you have identified above be defined and expressed? </w:t>
      </w:r>
    </w:p>
    <w:p w14:paraId="7B52F4C4" w14:textId="77777777" w:rsidR="000B3E50" w:rsidRPr="00DE7BC8" w:rsidRDefault="000B3E50" w:rsidP="000B3E50">
      <w:pPr>
        <w:pStyle w:val="Recommendationhanging1"/>
      </w:pPr>
      <w:r w:rsidRPr="00DE7BC8">
        <w:t xml:space="preserve">(3) </w:t>
      </w:r>
      <w:r>
        <w:tab/>
      </w:r>
      <w:r w:rsidRPr="00DE7BC8">
        <w:t>If any of new attributes were to be added to the ADA, would any new attribute-specific exceptions be required?</w:t>
      </w:r>
    </w:p>
    <w:p w14:paraId="38850248" w14:textId="77777777" w:rsidR="000B3E50" w:rsidRPr="00DE7BC8" w:rsidRDefault="000B3E50" w:rsidP="000B3E50">
      <w:pPr>
        <w:pStyle w:val="Heading1"/>
      </w:pPr>
      <w:bookmarkStart w:id="218" w:name="_Toc196808040"/>
      <w:bookmarkStart w:id="219" w:name="_Toc196826869"/>
      <w:r w:rsidRPr="00DE7BC8">
        <w:t>An alternative approach: an open-ended list</w:t>
      </w:r>
      <w:bookmarkEnd w:id="218"/>
      <w:bookmarkEnd w:id="219"/>
      <w:r w:rsidRPr="00DE7BC8">
        <w:t xml:space="preserve"> </w:t>
      </w:r>
    </w:p>
    <w:p w14:paraId="61B56064" w14:textId="77777777" w:rsidR="000B3E50" w:rsidRPr="00DE7BC8" w:rsidRDefault="000B3E50" w:rsidP="000B3E50">
      <w:pPr>
        <w:pStyle w:val="NormalAutoChapter"/>
        <w:tabs>
          <w:tab w:val="clear" w:pos="720"/>
          <w:tab w:val="num" w:pos="2564"/>
        </w:tabs>
      </w:pPr>
      <w:r w:rsidRPr="00DE7BC8">
        <w:t xml:space="preserve">Currently, discrimination is only unlawful under the ADA if it is based on a recognised attribute. The only way to protect against other forms of discrimination is if NSW Parliament enacts legislation to change the ADA. This can take </w:t>
      </w:r>
      <w:proofErr w:type="gramStart"/>
      <w:r w:rsidRPr="00DE7BC8">
        <w:t>time, and</w:t>
      </w:r>
      <w:proofErr w:type="gramEnd"/>
      <w:r w:rsidRPr="00DE7BC8">
        <w:t xml:space="preserve"> may mean that the law does not keep up with changing community attitudes. </w:t>
      </w:r>
    </w:p>
    <w:p w14:paraId="063FCD2D" w14:textId="77777777" w:rsidR="000B3E50" w:rsidRPr="00DE7BC8" w:rsidRDefault="000B3E50" w:rsidP="000B3E50">
      <w:pPr>
        <w:pStyle w:val="NormalAutoChapter"/>
        <w:tabs>
          <w:tab w:val="clear" w:pos="720"/>
          <w:tab w:val="num" w:pos="2564"/>
        </w:tabs>
      </w:pPr>
      <w:r w:rsidRPr="00DE7BC8">
        <w:t xml:space="preserve">A more flexible alternative could be to enact a non-exhaustive list of attributes. This might prohibit discrimination based on: </w:t>
      </w:r>
    </w:p>
    <w:p w14:paraId="58AED997" w14:textId="77777777" w:rsidR="000B3E50" w:rsidRPr="00DE7BC8" w:rsidRDefault="000B3E50" w:rsidP="000B3E50">
      <w:pPr>
        <w:pStyle w:val="Normalbullet"/>
      </w:pPr>
      <w:r w:rsidRPr="00DE7BC8">
        <w:t>the protected attributes specifically recognised in the legislation, and</w:t>
      </w:r>
    </w:p>
    <w:p w14:paraId="46DE5012" w14:textId="77777777" w:rsidR="000B3E50" w:rsidRPr="00DE7BC8" w:rsidRDefault="000B3E50" w:rsidP="000B3E50">
      <w:pPr>
        <w:pStyle w:val="Normalbullet"/>
      </w:pPr>
      <w:r w:rsidRPr="00DE7BC8">
        <w:t>any other attributes that meet certain criteria.</w:t>
      </w:r>
    </w:p>
    <w:p w14:paraId="59B290B0" w14:textId="77777777" w:rsidR="000B3E50" w:rsidRPr="00DE7BC8" w:rsidRDefault="000B3E50" w:rsidP="000B3E50">
      <w:pPr>
        <w:pStyle w:val="NormalAutoChapter"/>
        <w:tabs>
          <w:tab w:val="clear" w:pos="720"/>
          <w:tab w:val="num" w:pos="2564"/>
        </w:tabs>
      </w:pPr>
      <w:r w:rsidRPr="00DE7BC8">
        <w:lastRenderedPageBreak/>
        <w:t>In South Africa, for instance, discrimination is prohibited based on race, gender, sex, pregnancy, marital status, ethnic or social origin, colour, sexual orientation, age, disability, religion, conscience, belief, culture, language, birth or HIV/AIDS status. The legislation also prohibits discrimination based on any other attribute, where discrimination based on that attribute:</w:t>
      </w:r>
    </w:p>
    <w:p w14:paraId="32659B16" w14:textId="77777777" w:rsidR="000B3E50" w:rsidRPr="00DE7BC8" w:rsidRDefault="000B3E50" w:rsidP="000B3E50">
      <w:pPr>
        <w:pStyle w:val="Normalbullet"/>
      </w:pPr>
      <w:r w:rsidRPr="00DE7BC8">
        <w:t>causes or perpetuates systemic disadvantage</w:t>
      </w:r>
    </w:p>
    <w:p w14:paraId="7EFB6B16" w14:textId="77777777" w:rsidR="000B3E50" w:rsidRPr="00DE7BC8" w:rsidRDefault="000B3E50" w:rsidP="000B3E50">
      <w:pPr>
        <w:pStyle w:val="Normalbullet"/>
      </w:pPr>
      <w:r w:rsidRPr="00DE7BC8">
        <w:t>undermines human dignity, or</w:t>
      </w:r>
    </w:p>
    <w:p w14:paraId="0E4831DE" w14:textId="77777777" w:rsidR="000B3E50" w:rsidRPr="00DE7BC8" w:rsidRDefault="000B3E50" w:rsidP="000B3E50">
      <w:pPr>
        <w:pStyle w:val="Normalbullet"/>
      </w:pPr>
      <w:r w:rsidRPr="00DE7BC8">
        <w:t>adversely affects the equal enjoyment of rights and freedoms in a serious manner that is comparable to discrimination based on the attributes set out above.</w:t>
      </w:r>
      <w:r w:rsidRPr="00DE7BC8">
        <w:rPr>
          <w:rStyle w:val="FootnoteReference"/>
        </w:rPr>
        <w:footnoteReference w:id="401"/>
      </w:r>
    </w:p>
    <w:p w14:paraId="02ADC354" w14:textId="77777777" w:rsidR="000B3E50" w:rsidRPr="00DE7BC8" w:rsidRDefault="000B3E50" w:rsidP="000B3E50">
      <w:pPr>
        <w:pStyle w:val="NormalAutoChapter"/>
        <w:tabs>
          <w:tab w:val="clear" w:pos="720"/>
          <w:tab w:val="num" w:pos="2564"/>
        </w:tabs>
      </w:pPr>
      <w:r w:rsidRPr="00DE7BC8">
        <w:t>Similarly, international human rights law prohibits discrimination based on an undefined category of “other status”.</w:t>
      </w:r>
      <w:r w:rsidRPr="00DE7BC8">
        <w:rPr>
          <w:rStyle w:val="FootnoteReference"/>
        </w:rPr>
        <w:footnoteReference w:id="402"/>
      </w:r>
    </w:p>
    <w:p w14:paraId="5F2B3166" w14:textId="77777777" w:rsidR="000B3E50" w:rsidRPr="00DE7BC8" w:rsidRDefault="000B3E50" w:rsidP="000B3E50">
      <w:pPr>
        <w:pStyle w:val="NormalAutoChapter"/>
        <w:tabs>
          <w:tab w:val="clear" w:pos="720"/>
          <w:tab w:val="num" w:pos="2564"/>
        </w:tabs>
      </w:pPr>
      <w:r w:rsidRPr="00DE7BC8">
        <w:t>On the other hand, recent reviews of other discrimination laws have not supported the concept of an open-ended list. Their concerns included that this approach could be uncertain and complex, particularly for duty</w:t>
      </w:r>
      <w:r>
        <w:t xml:space="preserve"> </w:t>
      </w:r>
      <w:r w:rsidRPr="00DE7BC8">
        <w:t>holders.</w:t>
      </w:r>
      <w:r w:rsidRPr="00DE7BC8">
        <w:rPr>
          <w:rStyle w:val="FootnoteReference"/>
        </w:rPr>
        <w:footnoteReference w:id="403"/>
      </w:r>
    </w:p>
    <w:p w14:paraId="171305A1" w14:textId="77777777" w:rsidR="000B3E50" w:rsidRPr="00DE7BC8" w:rsidRDefault="000B3E50" w:rsidP="000B3E50">
      <w:pPr>
        <w:pStyle w:val="Recommendationheading"/>
        <w:rPr>
          <w:rFonts w:ascii="Public Sans" w:hAnsi="Public Sans"/>
        </w:rPr>
      </w:pPr>
      <w:r w:rsidRPr="00DE7BC8">
        <w:rPr>
          <w:rFonts w:ascii="Public Sans" w:hAnsi="Public Sans"/>
        </w:rPr>
        <w:t>Question 5.</w:t>
      </w:r>
      <w:r>
        <w:rPr>
          <w:rFonts w:ascii="Public Sans" w:hAnsi="Public Sans"/>
        </w:rPr>
        <w:t>3</w:t>
      </w:r>
      <w:r w:rsidRPr="00DE7BC8">
        <w:rPr>
          <w:rFonts w:ascii="Public Sans" w:hAnsi="Public Sans"/>
        </w:rPr>
        <w:t>: An open</w:t>
      </w:r>
      <w:r>
        <w:rPr>
          <w:rFonts w:ascii="Public Sans" w:hAnsi="Public Sans"/>
        </w:rPr>
        <w:t>-</w:t>
      </w:r>
      <w:r w:rsidRPr="00DE7BC8">
        <w:rPr>
          <w:rFonts w:ascii="Public Sans" w:hAnsi="Public Sans"/>
        </w:rPr>
        <w:t xml:space="preserve">ended list  </w:t>
      </w:r>
    </w:p>
    <w:p w14:paraId="4FCBA75C" w14:textId="4FEF434C" w:rsidR="00C72168" w:rsidRDefault="000B3E50" w:rsidP="000B3E50">
      <w:pPr>
        <w:pStyle w:val="Recommendationnormal"/>
      </w:pPr>
      <w:r w:rsidRPr="00DE7BC8">
        <w:t>Should the list of attributes in the ADA be open-ended to allow other attributes to be protected? Why or why not?</w:t>
      </w:r>
      <w:r w:rsidR="00C72168">
        <w:br w:type="page"/>
      </w:r>
    </w:p>
    <w:p w14:paraId="28F595CD" w14:textId="77777777" w:rsidR="000B3E50" w:rsidRPr="00DE7BC8" w:rsidRDefault="000B3E50" w:rsidP="00C72168">
      <w:pPr>
        <w:pStyle w:val="NormalText"/>
      </w:pPr>
    </w:p>
    <w:p w14:paraId="2D1CE3E2" w14:textId="77777777" w:rsidR="0090127F" w:rsidRDefault="0090127F" w:rsidP="00F41119">
      <w:pPr>
        <w:sectPr w:rsidR="0090127F" w:rsidSect="00744F61">
          <w:headerReference w:type="even" r:id="rId35"/>
          <w:footnotePr>
            <w:numRestart w:val="eachSect"/>
          </w:footnotePr>
          <w:pgSz w:w="11906" w:h="16838" w:code="9"/>
          <w:pgMar w:top="1701" w:right="1304" w:bottom="1021" w:left="1304" w:header="567" w:footer="567" w:gutter="0"/>
          <w:cols w:space="708"/>
          <w:docGrid w:linePitch="360"/>
        </w:sectPr>
      </w:pPr>
    </w:p>
    <w:p w14:paraId="26D9EA46" w14:textId="77777777" w:rsidR="000835D9" w:rsidRPr="001D38E6" w:rsidRDefault="000835D9" w:rsidP="000835D9">
      <w:pPr>
        <w:pStyle w:val="ChapterHeading"/>
      </w:pPr>
      <w:bookmarkStart w:id="220" w:name="_Toc196826870"/>
      <w:bookmarkStart w:id="221" w:name="_Hlk191310053"/>
      <w:r>
        <w:lastRenderedPageBreak/>
        <w:t xml:space="preserve">Discrimination: </w:t>
      </w:r>
      <w:r w:rsidRPr="001D38E6">
        <w:t>Areas of public life</w:t>
      </w:r>
      <w:bookmarkEnd w:id="220"/>
      <w:r>
        <w:t xml:space="preserve"> </w:t>
      </w:r>
    </w:p>
    <w:p w14:paraId="10FD4C29" w14:textId="77777777" w:rsidR="000835D9" w:rsidRPr="001D38E6" w:rsidRDefault="000835D9" w:rsidP="000835D9">
      <w:pPr>
        <w:pStyle w:val="InBriefHeading"/>
        <w:spacing w:after="0"/>
      </w:pPr>
      <w:r>
        <w:t xml:space="preserve">In brief </w:t>
      </w:r>
    </w:p>
    <w:p w14:paraId="605F745E" w14:textId="77777777" w:rsidR="000835D9" w:rsidRPr="001D38E6" w:rsidRDefault="000835D9" w:rsidP="000835D9">
      <w:pPr>
        <w:pStyle w:val="InBriefText"/>
        <w:spacing w:before="0"/>
      </w:pPr>
      <w:r w:rsidRPr="001D38E6">
        <w:t xml:space="preserve">The </w:t>
      </w:r>
      <w:r w:rsidRPr="001D38E6">
        <w:rPr>
          <w:i/>
          <w:iCs/>
        </w:rPr>
        <w:t>Anti-Discrimination Act 1977</w:t>
      </w:r>
      <w:r w:rsidRPr="001D38E6">
        <w:t xml:space="preserve"> (NSW) </w:t>
      </w:r>
      <w:r>
        <w:t>defines the areas of public life in which discrimination is unlawful</w:t>
      </w:r>
      <w:r w:rsidRPr="001D38E6">
        <w:t xml:space="preserve">. </w:t>
      </w:r>
      <w:r>
        <w:t xml:space="preserve">It also includes exceptions that apply to specific protected areas. </w:t>
      </w:r>
      <w:r w:rsidRPr="001D38E6">
        <w:t>We ask if the scope of any of the</w:t>
      </w:r>
      <w:r>
        <w:t xml:space="preserve">se existing </w:t>
      </w:r>
      <w:r w:rsidRPr="001D38E6">
        <w:t>areas should change</w:t>
      </w:r>
      <w:r>
        <w:t xml:space="preserve"> and if any new areas should be recognised.</w:t>
      </w:r>
    </w:p>
    <w:p w14:paraId="4900322F" w14:textId="48FD4C9D" w:rsidR="000835D9" w:rsidRPr="00B55200" w:rsidRDefault="000835D9" w:rsidP="000835D9">
      <w:pPr>
        <w:pStyle w:val="TOC2"/>
        <w:rPr>
          <w:rFonts w:eastAsiaTheme="minorEastAsia" w:cstheme="minorBidi"/>
          <w:b w:val="0"/>
          <w:color w:val="auto"/>
          <w:kern w:val="2"/>
          <w:sz w:val="24"/>
          <w:u w:val="none"/>
          <w:lang w:eastAsia="en-AU"/>
          <w14:ligatures w14:val="standardContextual"/>
        </w:rPr>
      </w:pPr>
      <w:r w:rsidRPr="007A7257">
        <w:rPr>
          <w:noProof w:val="0"/>
        </w:rPr>
        <w:fldChar w:fldCharType="begin"/>
      </w:r>
      <w:r w:rsidRPr="007A7257">
        <w:rPr>
          <w:noProof w:val="0"/>
        </w:rPr>
        <w:instrText xml:space="preserve"> TOC \h \z \t "Heading 1,2,Heading 2,3,Heading - Major,1,Heading default,1,Title page 1,1" </w:instrText>
      </w:r>
      <w:r w:rsidRPr="007A7257">
        <w:rPr>
          <w:noProof w:val="0"/>
        </w:rPr>
        <w:fldChar w:fldCharType="separate"/>
      </w:r>
      <w:hyperlink w:anchor="_Toc196748338" w:history="1">
        <w:r w:rsidRPr="00B55200">
          <w:rPr>
            <w:rStyle w:val="Hyperlink"/>
            <w:rFonts w:ascii="Public Sans" w:hAnsi="Public Sans"/>
          </w:rPr>
          <w:t>Discrimination in work</w:t>
        </w:r>
        <w:r w:rsidRPr="00B55200">
          <w:rPr>
            <w:webHidden/>
          </w:rPr>
          <w:tab/>
        </w:r>
        <w:r w:rsidRPr="00B55200">
          <w:rPr>
            <w:webHidden/>
          </w:rPr>
          <w:fldChar w:fldCharType="begin"/>
        </w:r>
        <w:r w:rsidRPr="00B55200">
          <w:rPr>
            <w:webHidden/>
          </w:rPr>
          <w:instrText xml:space="preserve"> PAGEREF _Toc196748338 \h </w:instrText>
        </w:r>
        <w:r w:rsidRPr="00B55200">
          <w:rPr>
            <w:webHidden/>
          </w:rPr>
        </w:r>
        <w:r w:rsidRPr="00B55200">
          <w:rPr>
            <w:webHidden/>
          </w:rPr>
          <w:fldChar w:fldCharType="separate"/>
        </w:r>
        <w:r w:rsidR="00F44BFC">
          <w:rPr>
            <w:webHidden/>
          </w:rPr>
          <w:t>93</w:t>
        </w:r>
        <w:r w:rsidRPr="00B55200">
          <w:rPr>
            <w:webHidden/>
          </w:rPr>
          <w:fldChar w:fldCharType="end"/>
        </w:r>
      </w:hyperlink>
    </w:p>
    <w:p w14:paraId="27920E77" w14:textId="6220695B" w:rsidR="000835D9" w:rsidRPr="00B55200" w:rsidRDefault="000835D9" w:rsidP="000835D9">
      <w:pPr>
        <w:pStyle w:val="TOC3"/>
        <w:rPr>
          <w:rFonts w:eastAsiaTheme="minorEastAsia" w:cstheme="minorBidi"/>
          <w:color w:val="auto"/>
          <w:kern w:val="2"/>
          <w:sz w:val="24"/>
          <w:u w:val="none"/>
          <w:lang w:eastAsia="en-AU"/>
          <w14:ligatures w14:val="standardContextual"/>
        </w:rPr>
      </w:pPr>
      <w:hyperlink w:anchor="_Toc196748339" w:history="1">
        <w:r w:rsidRPr="00B55200">
          <w:rPr>
            <w:rStyle w:val="Hyperlink"/>
            <w:rFonts w:ascii="Public Sans" w:hAnsi="Public Sans"/>
          </w:rPr>
          <w:t>Issues relating to coverage</w:t>
        </w:r>
        <w:r w:rsidRPr="00B55200">
          <w:rPr>
            <w:webHidden/>
          </w:rPr>
          <w:tab/>
        </w:r>
        <w:r w:rsidRPr="00B55200">
          <w:rPr>
            <w:webHidden/>
          </w:rPr>
          <w:fldChar w:fldCharType="begin"/>
        </w:r>
        <w:r w:rsidRPr="00B55200">
          <w:rPr>
            <w:webHidden/>
          </w:rPr>
          <w:instrText xml:space="preserve"> PAGEREF _Toc196748339 \h </w:instrText>
        </w:r>
        <w:r w:rsidRPr="00B55200">
          <w:rPr>
            <w:webHidden/>
          </w:rPr>
        </w:r>
        <w:r w:rsidRPr="00B55200">
          <w:rPr>
            <w:webHidden/>
          </w:rPr>
          <w:fldChar w:fldCharType="separate"/>
        </w:r>
        <w:r w:rsidR="00F44BFC">
          <w:rPr>
            <w:webHidden/>
          </w:rPr>
          <w:t>94</w:t>
        </w:r>
        <w:r w:rsidRPr="00B55200">
          <w:rPr>
            <w:webHidden/>
          </w:rPr>
          <w:fldChar w:fldCharType="end"/>
        </w:r>
      </w:hyperlink>
    </w:p>
    <w:p w14:paraId="2941B975" w14:textId="33AEF4E6" w:rsidR="000835D9" w:rsidRPr="00B55200" w:rsidRDefault="000835D9" w:rsidP="000835D9">
      <w:pPr>
        <w:pStyle w:val="TOC3"/>
        <w:rPr>
          <w:rFonts w:eastAsiaTheme="minorEastAsia" w:cstheme="minorBidi"/>
          <w:color w:val="auto"/>
          <w:kern w:val="2"/>
          <w:sz w:val="24"/>
          <w:u w:val="none"/>
          <w:lang w:eastAsia="en-AU"/>
          <w14:ligatures w14:val="standardContextual"/>
        </w:rPr>
      </w:pPr>
      <w:hyperlink w:anchor="_Toc196748340" w:history="1">
        <w:r w:rsidRPr="00B55200">
          <w:rPr>
            <w:rStyle w:val="Hyperlink"/>
            <w:rFonts w:ascii="Public Sans" w:hAnsi="Public Sans"/>
          </w:rPr>
          <w:t>Exceptions to discrimination in work</w:t>
        </w:r>
        <w:r w:rsidRPr="00B55200">
          <w:rPr>
            <w:webHidden/>
          </w:rPr>
          <w:tab/>
        </w:r>
        <w:r w:rsidRPr="00B55200">
          <w:rPr>
            <w:webHidden/>
          </w:rPr>
          <w:fldChar w:fldCharType="begin"/>
        </w:r>
        <w:r w:rsidRPr="00B55200">
          <w:rPr>
            <w:webHidden/>
          </w:rPr>
          <w:instrText xml:space="preserve"> PAGEREF _Toc196748340 \h </w:instrText>
        </w:r>
        <w:r w:rsidRPr="00B55200">
          <w:rPr>
            <w:webHidden/>
          </w:rPr>
        </w:r>
        <w:r w:rsidRPr="00B55200">
          <w:rPr>
            <w:webHidden/>
          </w:rPr>
          <w:fldChar w:fldCharType="separate"/>
        </w:r>
        <w:r w:rsidR="00F44BFC">
          <w:rPr>
            <w:webHidden/>
          </w:rPr>
          <w:t>96</w:t>
        </w:r>
        <w:r w:rsidRPr="00B55200">
          <w:rPr>
            <w:webHidden/>
          </w:rPr>
          <w:fldChar w:fldCharType="end"/>
        </w:r>
      </w:hyperlink>
    </w:p>
    <w:p w14:paraId="59748941" w14:textId="497E1043" w:rsidR="000835D9" w:rsidRPr="00B55200" w:rsidRDefault="000835D9" w:rsidP="000835D9">
      <w:pPr>
        <w:pStyle w:val="TOC2"/>
        <w:rPr>
          <w:rFonts w:eastAsiaTheme="minorEastAsia" w:cstheme="minorBidi"/>
          <w:b w:val="0"/>
          <w:color w:val="auto"/>
          <w:kern w:val="2"/>
          <w:sz w:val="24"/>
          <w:u w:val="none"/>
          <w:lang w:eastAsia="en-AU"/>
          <w14:ligatures w14:val="standardContextual"/>
        </w:rPr>
      </w:pPr>
      <w:hyperlink w:anchor="_Toc196748341" w:history="1">
        <w:r w:rsidRPr="00B55200">
          <w:rPr>
            <w:rStyle w:val="Hyperlink"/>
            <w:rFonts w:ascii="Public Sans" w:hAnsi="Public Sans"/>
          </w:rPr>
          <w:t>Education</w:t>
        </w:r>
        <w:r w:rsidRPr="00B55200">
          <w:rPr>
            <w:webHidden/>
          </w:rPr>
          <w:tab/>
        </w:r>
        <w:r w:rsidRPr="00B55200">
          <w:rPr>
            <w:webHidden/>
          </w:rPr>
          <w:fldChar w:fldCharType="begin"/>
        </w:r>
        <w:r w:rsidRPr="00B55200">
          <w:rPr>
            <w:webHidden/>
          </w:rPr>
          <w:instrText xml:space="preserve"> PAGEREF _Toc196748341 \h </w:instrText>
        </w:r>
        <w:r w:rsidRPr="00B55200">
          <w:rPr>
            <w:webHidden/>
          </w:rPr>
        </w:r>
        <w:r w:rsidRPr="00B55200">
          <w:rPr>
            <w:webHidden/>
          </w:rPr>
          <w:fldChar w:fldCharType="separate"/>
        </w:r>
        <w:r w:rsidR="00F44BFC">
          <w:rPr>
            <w:webHidden/>
          </w:rPr>
          <w:t>103</w:t>
        </w:r>
        <w:r w:rsidRPr="00B55200">
          <w:rPr>
            <w:webHidden/>
          </w:rPr>
          <w:fldChar w:fldCharType="end"/>
        </w:r>
      </w:hyperlink>
    </w:p>
    <w:p w14:paraId="66C274F4" w14:textId="0FEFC467" w:rsidR="000835D9" w:rsidRPr="00B55200" w:rsidRDefault="000835D9" w:rsidP="000835D9">
      <w:pPr>
        <w:pStyle w:val="TOC3"/>
        <w:rPr>
          <w:rFonts w:eastAsiaTheme="minorEastAsia" w:cstheme="minorBidi"/>
          <w:color w:val="auto"/>
          <w:kern w:val="2"/>
          <w:sz w:val="24"/>
          <w:u w:val="none"/>
          <w:lang w:eastAsia="en-AU"/>
          <w14:ligatures w14:val="standardContextual"/>
        </w:rPr>
      </w:pPr>
      <w:hyperlink w:anchor="_Toc196748342" w:history="1">
        <w:r w:rsidRPr="00B55200">
          <w:rPr>
            <w:rStyle w:val="Hyperlink"/>
            <w:rFonts w:ascii="Public Sans" w:hAnsi="Public Sans"/>
          </w:rPr>
          <w:t>Issues relating to coverage</w:t>
        </w:r>
        <w:r w:rsidRPr="00B55200">
          <w:rPr>
            <w:webHidden/>
          </w:rPr>
          <w:tab/>
        </w:r>
        <w:r w:rsidRPr="00B55200">
          <w:rPr>
            <w:webHidden/>
          </w:rPr>
          <w:fldChar w:fldCharType="begin"/>
        </w:r>
        <w:r w:rsidRPr="00B55200">
          <w:rPr>
            <w:webHidden/>
          </w:rPr>
          <w:instrText xml:space="preserve"> PAGEREF _Toc196748342 \h </w:instrText>
        </w:r>
        <w:r w:rsidRPr="00B55200">
          <w:rPr>
            <w:webHidden/>
          </w:rPr>
        </w:r>
        <w:r w:rsidRPr="00B55200">
          <w:rPr>
            <w:webHidden/>
          </w:rPr>
          <w:fldChar w:fldCharType="separate"/>
        </w:r>
        <w:r w:rsidR="00F44BFC">
          <w:rPr>
            <w:webHidden/>
          </w:rPr>
          <w:t>103</w:t>
        </w:r>
        <w:r w:rsidRPr="00B55200">
          <w:rPr>
            <w:webHidden/>
          </w:rPr>
          <w:fldChar w:fldCharType="end"/>
        </w:r>
      </w:hyperlink>
    </w:p>
    <w:p w14:paraId="4D0D9586" w14:textId="62D5F2F8" w:rsidR="000835D9" w:rsidRPr="00B55200" w:rsidRDefault="000835D9" w:rsidP="000835D9">
      <w:pPr>
        <w:pStyle w:val="TOC3"/>
        <w:rPr>
          <w:rFonts w:eastAsiaTheme="minorEastAsia" w:cstheme="minorBidi"/>
          <w:color w:val="auto"/>
          <w:kern w:val="2"/>
          <w:sz w:val="24"/>
          <w:u w:val="none"/>
          <w:lang w:eastAsia="en-AU"/>
          <w14:ligatures w14:val="standardContextual"/>
        </w:rPr>
      </w:pPr>
      <w:hyperlink w:anchor="_Toc196748343" w:history="1">
        <w:r w:rsidRPr="00B55200">
          <w:rPr>
            <w:rStyle w:val="Hyperlink"/>
            <w:rFonts w:ascii="Public Sans" w:hAnsi="Public Sans"/>
          </w:rPr>
          <w:t>Exceptions to discrimination in education</w:t>
        </w:r>
        <w:r w:rsidRPr="00B55200">
          <w:rPr>
            <w:webHidden/>
          </w:rPr>
          <w:tab/>
        </w:r>
        <w:r w:rsidRPr="00B55200">
          <w:rPr>
            <w:webHidden/>
          </w:rPr>
          <w:fldChar w:fldCharType="begin"/>
        </w:r>
        <w:r w:rsidRPr="00B55200">
          <w:rPr>
            <w:webHidden/>
          </w:rPr>
          <w:instrText xml:space="preserve"> PAGEREF _Toc196748343 \h </w:instrText>
        </w:r>
        <w:r w:rsidRPr="00B55200">
          <w:rPr>
            <w:webHidden/>
          </w:rPr>
        </w:r>
        <w:r w:rsidRPr="00B55200">
          <w:rPr>
            <w:webHidden/>
          </w:rPr>
          <w:fldChar w:fldCharType="separate"/>
        </w:r>
        <w:r w:rsidR="00F44BFC">
          <w:rPr>
            <w:webHidden/>
          </w:rPr>
          <w:t>104</w:t>
        </w:r>
        <w:r w:rsidRPr="00B55200">
          <w:rPr>
            <w:webHidden/>
          </w:rPr>
          <w:fldChar w:fldCharType="end"/>
        </w:r>
      </w:hyperlink>
    </w:p>
    <w:p w14:paraId="1D2E0A34" w14:textId="04A0B96E" w:rsidR="000835D9" w:rsidRPr="00B55200" w:rsidRDefault="000835D9" w:rsidP="000835D9">
      <w:pPr>
        <w:pStyle w:val="TOC2"/>
        <w:rPr>
          <w:rFonts w:eastAsiaTheme="minorEastAsia" w:cstheme="minorBidi"/>
          <w:b w:val="0"/>
          <w:color w:val="auto"/>
          <w:kern w:val="2"/>
          <w:sz w:val="24"/>
          <w:u w:val="none"/>
          <w:lang w:eastAsia="en-AU"/>
          <w14:ligatures w14:val="standardContextual"/>
        </w:rPr>
      </w:pPr>
      <w:hyperlink w:anchor="_Toc196748344" w:history="1">
        <w:r w:rsidRPr="00B55200">
          <w:rPr>
            <w:rStyle w:val="Hyperlink"/>
            <w:rFonts w:ascii="Public Sans" w:hAnsi="Public Sans"/>
          </w:rPr>
          <w:t>The provision of goods and services</w:t>
        </w:r>
        <w:r w:rsidRPr="00B55200">
          <w:rPr>
            <w:webHidden/>
          </w:rPr>
          <w:tab/>
        </w:r>
        <w:r w:rsidRPr="00B55200">
          <w:rPr>
            <w:webHidden/>
          </w:rPr>
          <w:fldChar w:fldCharType="begin"/>
        </w:r>
        <w:r w:rsidRPr="00B55200">
          <w:rPr>
            <w:webHidden/>
          </w:rPr>
          <w:instrText xml:space="preserve"> PAGEREF _Toc196748344 \h </w:instrText>
        </w:r>
        <w:r w:rsidRPr="00B55200">
          <w:rPr>
            <w:webHidden/>
          </w:rPr>
        </w:r>
        <w:r w:rsidRPr="00B55200">
          <w:rPr>
            <w:webHidden/>
          </w:rPr>
          <w:fldChar w:fldCharType="separate"/>
        </w:r>
        <w:r w:rsidR="00F44BFC">
          <w:rPr>
            <w:webHidden/>
          </w:rPr>
          <w:t>106</w:t>
        </w:r>
        <w:r w:rsidRPr="00B55200">
          <w:rPr>
            <w:webHidden/>
          </w:rPr>
          <w:fldChar w:fldCharType="end"/>
        </w:r>
      </w:hyperlink>
    </w:p>
    <w:p w14:paraId="0A4A1C2D" w14:textId="1D049C84" w:rsidR="000835D9" w:rsidRPr="00B55200" w:rsidRDefault="000835D9" w:rsidP="000835D9">
      <w:pPr>
        <w:pStyle w:val="TOC3"/>
        <w:rPr>
          <w:rFonts w:eastAsiaTheme="minorEastAsia" w:cstheme="minorBidi"/>
          <w:color w:val="auto"/>
          <w:kern w:val="2"/>
          <w:sz w:val="24"/>
          <w:u w:val="none"/>
          <w:lang w:eastAsia="en-AU"/>
          <w14:ligatures w14:val="standardContextual"/>
        </w:rPr>
      </w:pPr>
      <w:hyperlink w:anchor="_Toc196748345" w:history="1">
        <w:r w:rsidRPr="00B55200">
          <w:rPr>
            <w:rStyle w:val="Hyperlink"/>
            <w:rFonts w:ascii="Public Sans" w:hAnsi="Public Sans"/>
          </w:rPr>
          <w:t>Issues relating to coverage</w:t>
        </w:r>
        <w:r w:rsidRPr="00B55200">
          <w:rPr>
            <w:webHidden/>
          </w:rPr>
          <w:tab/>
        </w:r>
        <w:r w:rsidRPr="00B55200">
          <w:rPr>
            <w:webHidden/>
          </w:rPr>
          <w:fldChar w:fldCharType="begin"/>
        </w:r>
        <w:r w:rsidRPr="00B55200">
          <w:rPr>
            <w:webHidden/>
          </w:rPr>
          <w:instrText xml:space="preserve"> PAGEREF _Toc196748345 \h </w:instrText>
        </w:r>
        <w:r w:rsidRPr="00B55200">
          <w:rPr>
            <w:webHidden/>
          </w:rPr>
        </w:r>
        <w:r w:rsidRPr="00B55200">
          <w:rPr>
            <w:webHidden/>
          </w:rPr>
          <w:fldChar w:fldCharType="separate"/>
        </w:r>
        <w:r w:rsidR="00F44BFC">
          <w:rPr>
            <w:webHidden/>
          </w:rPr>
          <w:t>106</w:t>
        </w:r>
        <w:r w:rsidRPr="00B55200">
          <w:rPr>
            <w:webHidden/>
          </w:rPr>
          <w:fldChar w:fldCharType="end"/>
        </w:r>
      </w:hyperlink>
    </w:p>
    <w:p w14:paraId="58278F10" w14:textId="5CE7EDC5" w:rsidR="000835D9" w:rsidRPr="00B55200" w:rsidRDefault="000835D9" w:rsidP="000835D9">
      <w:pPr>
        <w:pStyle w:val="TOC3"/>
        <w:rPr>
          <w:rFonts w:eastAsiaTheme="minorEastAsia" w:cstheme="minorBidi"/>
          <w:color w:val="auto"/>
          <w:kern w:val="2"/>
          <w:sz w:val="24"/>
          <w:u w:val="none"/>
          <w:lang w:eastAsia="en-AU"/>
          <w14:ligatures w14:val="standardContextual"/>
        </w:rPr>
      </w:pPr>
      <w:hyperlink w:anchor="_Toc196748346" w:history="1">
        <w:r w:rsidRPr="00B55200">
          <w:rPr>
            <w:rStyle w:val="Hyperlink"/>
            <w:rFonts w:ascii="Public Sans" w:hAnsi="Public Sans"/>
          </w:rPr>
          <w:t>Exceptions for superannuation services and insurance</w:t>
        </w:r>
        <w:r w:rsidRPr="00B55200">
          <w:rPr>
            <w:webHidden/>
          </w:rPr>
          <w:tab/>
        </w:r>
        <w:r w:rsidRPr="00B55200">
          <w:rPr>
            <w:webHidden/>
          </w:rPr>
          <w:fldChar w:fldCharType="begin"/>
        </w:r>
        <w:r w:rsidRPr="00B55200">
          <w:rPr>
            <w:webHidden/>
          </w:rPr>
          <w:instrText xml:space="preserve"> PAGEREF _Toc196748346 \h </w:instrText>
        </w:r>
        <w:r w:rsidRPr="00B55200">
          <w:rPr>
            <w:webHidden/>
          </w:rPr>
        </w:r>
        <w:r w:rsidRPr="00B55200">
          <w:rPr>
            <w:webHidden/>
          </w:rPr>
          <w:fldChar w:fldCharType="separate"/>
        </w:r>
        <w:r w:rsidR="00F44BFC">
          <w:rPr>
            <w:webHidden/>
          </w:rPr>
          <w:t>109</w:t>
        </w:r>
        <w:r w:rsidRPr="00B55200">
          <w:rPr>
            <w:webHidden/>
          </w:rPr>
          <w:fldChar w:fldCharType="end"/>
        </w:r>
      </w:hyperlink>
    </w:p>
    <w:p w14:paraId="00A832CE" w14:textId="427941C8" w:rsidR="000835D9" w:rsidRPr="00B55200" w:rsidRDefault="000835D9" w:rsidP="000835D9">
      <w:pPr>
        <w:pStyle w:val="TOC3"/>
        <w:rPr>
          <w:rFonts w:eastAsiaTheme="minorEastAsia" w:cstheme="minorBidi"/>
          <w:color w:val="auto"/>
          <w:kern w:val="2"/>
          <w:sz w:val="24"/>
          <w:u w:val="none"/>
          <w:lang w:eastAsia="en-AU"/>
          <w14:ligatures w14:val="standardContextual"/>
        </w:rPr>
      </w:pPr>
      <w:hyperlink w:anchor="_Toc196748347" w:history="1">
        <w:r w:rsidRPr="00B55200">
          <w:rPr>
            <w:rStyle w:val="Hyperlink"/>
            <w:rFonts w:ascii="Public Sans" w:hAnsi="Public Sans"/>
          </w:rPr>
          <w:t>Other exceptions to discrimination in goods and services</w:t>
        </w:r>
        <w:r w:rsidRPr="00B55200">
          <w:rPr>
            <w:webHidden/>
          </w:rPr>
          <w:tab/>
        </w:r>
        <w:r w:rsidRPr="00B55200">
          <w:rPr>
            <w:webHidden/>
          </w:rPr>
          <w:fldChar w:fldCharType="begin"/>
        </w:r>
        <w:r w:rsidRPr="00B55200">
          <w:rPr>
            <w:webHidden/>
          </w:rPr>
          <w:instrText xml:space="preserve"> PAGEREF _Toc196748347 \h </w:instrText>
        </w:r>
        <w:r w:rsidRPr="00B55200">
          <w:rPr>
            <w:webHidden/>
          </w:rPr>
        </w:r>
        <w:r w:rsidRPr="00B55200">
          <w:rPr>
            <w:webHidden/>
          </w:rPr>
          <w:fldChar w:fldCharType="separate"/>
        </w:r>
        <w:r w:rsidR="00F44BFC">
          <w:rPr>
            <w:webHidden/>
          </w:rPr>
          <w:t>113</w:t>
        </w:r>
        <w:r w:rsidRPr="00B55200">
          <w:rPr>
            <w:webHidden/>
          </w:rPr>
          <w:fldChar w:fldCharType="end"/>
        </w:r>
      </w:hyperlink>
    </w:p>
    <w:p w14:paraId="4FB1C215" w14:textId="099831FC" w:rsidR="000835D9" w:rsidRPr="00B55200" w:rsidRDefault="000835D9" w:rsidP="000835D9">
      <w:pPr>
        <w:pStyle w:val="TOC2"/>
        <w:rPr>
          <w:rFonts w:eastAsiaTheme="minorEastAsia" w:cstheme="minorBidi"/>
          <w:b w:val="0"/>
          <w:color w:val="auto"/>
          <w:kern w:val="2"/>
          <w:sz w:val="24"/>
          <w:u w:val="none"/>
          <w:lang w:eastAsia="en-AU"/>
          <w14:ligatures w14:val="standardContextual"/>
        </w:rPr>
      </w:pPr>
      <w:hyperlink w:anchor="_Toc196748348" w:history="1">
        <w:r w:rsidRPr="00B55200">
          <w:rPr>
            <w:rStyle w:val="Hyperlink"/>
            <w:rFonts w:ascii="Public Sans" w:hAnsi="Public Sans"/>
          </w:rPr>
          <w:t>Accommodation</w:t>
        </w:r>
        <w:r w:rsidRPr="00B55200">
          <w:rPr>
            <w:webHidden/>
          </w:rPr>
          <w:tab/>
        </w:r>
        <w:r w:rsidRPr="00B55200">
          <w:rPr>
            <w:webHidden/>
          </w:rPr>
          <w:fldChar w:fldCharType="begin"/>
        </w:r>
        <w:r w:rsidRPr="00B55200">
          <w:rPr>
            <w:webHidden/>
          </w:rPr>
          <w:instrText xml:space="preserve"> PAGEREF _Toc196748348 \h </w:instrText>
        </w:r>
        <w:r w:rsidRPr="00B55200">
          <w:rPr>
            <w:webHidden/>
          </w:rPr>
        </w:r>
        <w:r w:rsidRPr="00B55200">
          <w:rPr>
            <w:webHidden/>
          </w:rPr>
          <w:fldChar w:fldCharType="separate"/>
        </w:r>
        <w:r w:rsidR="00F44BFC">
          <w:rPr>
            <w:webHidden/>
          </w:rPr>
          <w:t>114</w:t>
        </w:r>
        <w:r w:rsidRPr="00B55200">
          <w:rPr>
            <w:webHidden/>
          </w:rPr>
          <w:fldChar w:fldCharType="end"/>
        </w:r>
      </w:hyperlink>
    </w:p>
    <w:p w14:paraId="716F70C6" w14:textId="6F5C18F8" w:rsidR="000835D9" w:rsidRPr="00B55200" w:rsidRDefault="000835D9" w:rsidP="000835D9">
      <w:pPr>
        <w:pStyle w:val="TOC3"/>
        <w:rPr>
          <w:rFonts w:eastAsiaTheme="minorEastAsia" w:cstheme="minorBidi"/>
          <w:color w:val="auto"/>
          <w:kern w:val="2"/>
          <w:sz w:val="24"/>
          <w:u w:val="none"/>
          <w:lang w:eastAsia="en-AU"/>
          <w14:ligatures w14:val="standardContextual"/>
        </w:rPr>
      </w:pPr>
      <w:hyperlink w:anchor="_Toc196748349" w:history="1">
        <w:r w:rsidRPr="00B55200">
          <w:rPr>
            <w:rStyle w:val="Hyperlink"/>
            <w:rFonts w:ascii="Public Sans" w:hAnsi="Public Sans"/>
          </w:rPr>
          <w:t>Issues relating to coverage</w:t>
        </w:r>
        <w:r w:rsidRPr="00B55200">
          <w:rPr>
            <w:webHidden/>
          </w:rPr>
          <w:tab/>
        </w:r>
        <w:r w:rsidRPr="00B55200">
          <w:rPr>
            <w:webHidden/>
          </w:rPr>
          <w:fldChar w:fldCharType="begin"/>
        </w:r>
        <w:r w:rsidRPr="00B55200">
          <w:rPr>
            <w:webHidden/>
          </w:rPr>
          <w:instrText xml:space="preserve"> PAGEREF _Toc196748349 \h </w:instrText>
        </w:r>
        <w:r w:rsidRPr="00B55200">
          <w:rPr>
            <w:webHidden/>
          </w:rPr>
        </w:r>
        <w:r w:rsidRPr="00B55200">
          <w:rPr>
            <w:webHidden/>
          </w:rPr>
          <w:fldChar w:fldCharType="separate"/>
        </w:r>
        <w:r w:rsidR="00F44BFC">
          <w:rPr>
            <w:webHidden/>
          </w:rPr>
          <w:t>114</w:t>
        </w:r>
        <w:r w:rsidRPr="00B55200">
          <w:rPr>
            <w:webHidden/>
          </w:rPr>
          <w:fldChar w:fldCharType="end"/>
        </w:r>
      </w:hyperlink>
    </w:p>
    <w:p w14:paraId="5B465CBB" w14:textId="3F94FD66" w:rsidR="000835D9" w:rsidRPr="00B55200" w:rsidRDefault="000835D9" w:rsidP="000835D9">
      <w:pPr>
        <w:pStyle w:val="TOC3"/>
        <w:rPr>
          <w:rFonts w:eastAsiaTheme="minorEastAsia" w:cstheme="minorBidi"/>
          <w:color w:val="auto"/>
          <w:kern w:val="2"/>
          <w:sz w:val="24"/>
          <w:u w:val="none"/>
          <w:lang w:eastAsia="en-AU"/>
          <w14:ligatures w14:val="standardContextual"/>
        </w:rPr>
      </w:pPr>
      <w:hyperlink w:anchor="_Toc196748350" w:history="1">
        <w:r w:rsidRPr="00B55200">
          <w:rPr>
            <w:rStyle w:val="Hyperlink"/>
            <w:rFonts w:ascii="Public Sans" w:hAnsi="Public Sans"/>
          </w:rPr>
          <w:t>Exceptions to discrimination in accommodation</w:t>
        </w:r>
        <w:r w:rsidRPr="00B55200">
          <w:rPr>
            <w:webHidden/>
          </w:rPr>
          <w:tab/>
        </w:r>
        <w:r w:rsidRPr="00B55200">
          <w:rPr>
            <w:webHidden/>
          </w:rPr>
          <w:fldChar w:fldCharType="begin"/>
        </w:r>
        <w:r w:rsidRPr="00B55200">
          <w:rPr>
            <w:webHidden/>
          </w:rPr>
          <w:instrText xml:space="preserve"> PAGEREF _Toc196748350 \h </w:instrText>
        </w:r>
        <w:r w:rsidRPr="00B55200">
          <w:rPr>
            <w:webHidden/>
          </w:rPr>
        </w:r>
        <w:r w:rsidRPr="00B55200">
          <w:rPr>
            <w:webHidden/>
          </w:rPr>
          <w:fldChar w:fldCharType="separate"/>
        </w:r>
        <w:r w:rsidR="00F44BFC">
          <w:rPr>
            <w:webHidden/>
          </w:rPr>
          <w:t>115</w:t>
        </w:r>
        <w:r w:rsidRPr="00B55200">
          <w:rPr>
            <w:webHidden/>
          </w:rPr>
          <w:fldChar w:fldCharType="end"/>
        </w:r>
      </w:hyperlink>
    </w:p>
    <w:p w14:paraId="35605511" w14:textId="4BD5E8CA" w:rsidR="000835D9" w:rsidRPr="00B55200" w:rsidRDefault="000835D9" w:rsidP="000835D9">
      <w:pPr>
        <w:pStyle w:val="TOC2"/>
        <w:rPr>
          <w:rFonts w:eastAsiaTheme="minorEastAsia" w:cstheme="minorBidi"/>
          <w:b w:val="0"/>
          <w:color w:val="auto"/>
          <w:kern w:val="2"/>
          <w:sz w:val="24"/>
          <w:u w:val="none"/>
          <w:lang w:eastAsia="en-AU"/>
          <w14:ligatures w14:val="standardContextual"/>
        </w:rPr>
      </w:pPr>
      <w:hyperlink w:anchor="_Toc196748351" w:history="1">
        <w:r w:rsidRPr="00B55200">
          <w:rPr>
            <w:rStyle w:val="Hyperlink"/>
            <w:rFonts w:ascii="Public Sans" w:hAnsi="Public Sans"/>
          </w:rPr>
          <w:t>Registered clubs</w:t>
        </w:r>
        <w:r w:rsidRPr="00B55200">
          <w:rPr>
            <w:webHidden/>
          </w:rPr>
          <w:tab/>
        </w:r>
        <w:r w:rsidRPr="00B55200">
          <w:rPr>
            <w:webHidden/>
          </w:rPr>
          <w:fldChar w:fldCharType="begin"/>
        </w:r>
        <w:r w:rsidRPr="00B55200">
          <w:rPr>
            <w:webHidden/>
          </w:rPr>
          <w:instrText xml:space="preserve"> PAGEREF _Toc196748351 \h </w:instrText>
        </w:r>
        <w:r w:rsidRPr="00B55200">
          <w:rPr>
            <w:webHidden/>
          </w:rPr>
        </w:r>
        <w:r w:rsidRPr="00B55200">
          <w:rPr>
            <w:webHidden/>
          </w:rPr>
          <w:fldChar w:fldCharType="separate"/>
        </w:r>
        <w:r w:rsidR="00F44BFC">
          <w:rPr>
            <w:webHidden/>
          </w:rPr>
          <w:t>117</w:t>
        </w:r>
        <w:r w:rsidRPr="00B55200">
          <w:rPr>
            <w:webHidden/>
          </w:rPr>
          <w:fldChar w:fldCharType="end"/>
        </w:r>
      </w:hyperlink>
    </w:p>
    <w:p w14:paraId="4BAC2C91" w14:textId="716F120A" w:rsidR="000835D9" w:rsidRPr="00B55200" w:rsidRDefault="000835D9" w:rsidP="000835D9">
      <w:pPr>
        <w:pStyle w:val="TOC3"/>
        <w:rPr>
          <w:rFonts w:eastAsiaTheme="minorEastAsia" w:cstheme="minorBidi"/>
          <w:color w:val="auto"/>
          <w:kern w:val="2"/>
          <w:sz w:val="24"/>
          <w:u w:val="none"/>
          <w:lang w:eastAsia="en-AU"/>
          <w14:ligatures w14:val="standardContextual"/>
        </w:rPr>
      </w:pPr>
      <w:hyperlink w:anchor="_Toc196748352" w:history="1">
        <w:r w:rsidRPr="00B55200">
          <w:rPr>
            <w:rStyle w:val="Hyperlink"/>
            <w:rFonts w:ascii="Public Sans" w:hAnsi="Public Sans"/>
          </w:rPr>
          <w:t>Issues relating to coverage</w:t>
        </w:r>
        <w:r w:rsidRPr="00B55200">
          <w:rPr>
            <w:webHidden/>
          </w:rPr>
          <w:tab/>
        </w:r>
        <w:r w:rsidRPr="00B55200">
          <w:rPr>
            <w:webHidden/>
          </w:rPr>
          <w:fldChar w:fldCharType="begin"/>
        </w:r>
        <w:r w:rsidRPr="00B55200">
          <w:rPr>
            <w:webHidden/>
          </w:rPr>
          <w:instrText xml:space="preserve"> PAGEREF _Toc196748352 \h </w:instrText>
        </w:r>
        <w:r w:rsidRPr="00B55200">
          <w:rPr>
            <w:webHidden/>
          </w:rPr>
        </w:r>
        <w:r w:rsidRPr="00B55200">
          <w:rPr>
            <w:webHidden/>
          </w:rPr>
          <w:fldChar w:fldCharType="separate"/>
        </w:r>
        <w:r w:rsidR="00F44BFC">
          <w:rPr>
            <w:webHidden/>
          </w:rPr>
          <w:t>117</w:t>
        </w:r>
        <w:r w:rsidRPr="00B55200">
          <w:rPr>
            <w:webHidden/>
          </w:rPr>
          <w:fldChar w:fldCharType="end"/>
        </w:r>
      </w:hyperlink>
    </w:p>
    <w:p w14:paraId="273683C7" w14:textId="108E7953" w:rsidR="000835D9" w:rsidRPr="00B55200" w:rsidRDefault="000835D9" w:rsidP="000835D9">
      <w:pPr>
        <w:pStyle w:val="TOC3"/>
        <w:rPr>
          <w:rFonts w:eastAsiaTheme="minorEastAsia" w:cstheme="minorBidi"/>
          <w:color w:val="auto"/>
          <w:kern w:val="2"/>
          <w:sz w:val="24"/>
          <w:u w:val="none"/>
          <w:lang w:eastAsia="en-AU"/>
          <w14:ligatures w14:val="standardContextual"/>
        </w:rPr>
      </w:pPr>
      <w:hyperlink w:anchor="_Toc196748353" w:history="1">
        <w:r w:rsidRPr="00B55200">
          <w:rPr>
            <w:rStyle w:val="Hyperlink"/>
            <w:rFonts w:ascii="Public Sans" w:hAnsi="Public Sans"/>
          </w:rPr>
          <w:t>Exceptions to discrimination by registered clubs</w:t>
        </w:r>
        <w:r w:rsidRPr="00B55200">
          <w:rPr>
            <w:webHidden/>
          </w:rPr>
          <w:tab/>
        </w:r>
        <w:r w:rsidRPr="00B55200">
          <w:rPr>
            <w:webHidden/>
          </w:rPr>
          <w:fldChar w:fldCharType="begin"/>
        </w:r>
        <w:r w:rsidRPr="00B55200">
          <w:rPr>
            <w:webHidden/>
          </w:rPr>
          <w:instrText xml:space="preserve"> PAGEREF _Toc196748353 \h </w:instrText>
        </w:r>
        <w:r w:rsidRPr="00B55200">
          <w:rPr>
            <w:webHidden/>
          </w:rPr>
        </w:r>
        <w:r w:rsidRPr="00B55200">
          <w:rPr>
            <w:webHidden/>
          </w:rPr>
          <w:fldChar w:fldCharType="separate"/>
        </w:r>
        <w:r w:rsidR="00F44BFC">
          <w:rPr>
            <w:webHidden/>
          </w:rPr>
          <w:t>118</w:t>
        </w:r>
        <w:r w:rsidRPr="00B55200">
          <w:rPr>
            <w:webHidden/>
          </w:rPr>
          <w:fldChar w:fldCharType="end"/>
        </w:r>
      </w:hyperlink>
    </w:p>
    <w:p w14:paraId="716A3F9C" w14:textId="23CD541F" w:rsidR="000835D9" w:rsidRPr="00B55200" w:rsidRDefault="000835D9" w:rsidP="000835D9">
      <w:pPr>
        <w:pStyle w:val="TOC2"/>
        <w:rPr>
          <w:rFonts w:eastAsiaTheme="minorEastAsia" w:cstheme="minorBidi"/>
          <w:b w:val="0"/>
          <w:color w:val="auto"/>
          <w:kern w:val="2"/>
          <w:sz w:val="24"/>
          <w:u w:val="none"/>
          <w:lang w:eastAsia="en-AU"/>
          <w14:ligatures w14:val="standardContextual"/>
        </w:rPr>
      </w:pPr>
      <w:hyperlink w:anchor="_Toc196748354" w:history="1">
        <w:r w:rsidRPr="00B55200">
          <w:rPr>
            <w:rStyle w:val="Hyperlink"/>
            <w:rFonts w:ascii="Public Sans" w:hAnsi="Public Sans"/>
          </w:rPr>
          <w:t>Protecting all attributes in all areas</w:t>
        </w:r>
        <w:r w:rsidRPr="00B55200">
          <w:rPr>
            <w:webHidden/>
          </w:rPr>
          <w:tab/>
        </w:r>
        <w:r w:rsidRPr="00B55200">
          <w:rPr>
            <w:webHidden/>
          </w:rPr>
          <w:fldChar w:fldCharType="begin"/>
        </w:r>
        <w:r w:rsidRPr="00B55200">
          <w:rPr>
            <w:webHidden/>
          </w:rPr>
          <w:instrText xml:space="preserve"> PAGEREF _Toc196748354 \h </w:instrText>
        </w:r>
        <w:r w:rsidRPr="00B55200">
          <w:rPr>
            <w:webHidden/>
          </w:rPr>
        </w:r>
        <w:r w:rsidRPr="00B55200">
          <w:rPr>
            <w:webHidden/>
          </w:rPr>
          <w:fldChar w:fldCharType="separate"/>
        </w:r>
        <w:r w:rsidR="00F44BFC">
          <w:rPr>
            <w:webHidden/>
          </w:rPr>
          <w:t>120</w:t>
        </w:r>
        <w:r w:rsidRPr="00B55200">
          <w:rPr>
            <w:webHidden/>
          </w:rPr>
          <w:fldChar w:fldCharType="end"/>
        </w:r>
      </w:hyperlink>
    </w:p>
    <w:p w14:paraId="1417271B" w14:textId="643F5F21" w:rsidR="000835D9" w:rsidRPr="00B55200" w:rsidRDefault="000835D9" w:rsidP="000835D9">
      <w:pPr>
        <w:pStyle w:val="TOC2"/>
        <w:rPr>
          <w:rFonts w:eastAsiaTheme="minorEastAsia" w:cstheme="minorBidi"/>
          <w:b w:val="0"/>
          <w:color w:val="auto"/>
          <w:kern w:val="2"/>
          <w:sz w:val="24"/>
          <w:u w:val="none"/>
          <w:lang w:eastAsia="en-AU"/>
          <w14:ligatures w14:val="standardContextual"/>
        </w:rPr>
      </w:pPr>
      <w:hyperlink w:anchor="_Toc196748355" w:history="1">
        <w:r w:rsidRPr="00B55200">
          <w:rPr>
            <w:rStyle w:val="Hyperlink"/>
            <w:rFonts w:ascii="Public Sans" w:hAnsi="Public Sans"/>
          </w:rPr>
          <w:t>Other potential protected areas</w:t>
        </w:r>
        <w:r w:rsidRPr="00B55200">
          <w:rPr>
            <w:webHidden/>
          </w:rPr>
          <w:tab/>
        </w:r>
        <w:r w:rsidRPr="00B55200">
          <w:rPr>
            <w:webHidden/>
          </w:rPr>
          <w:fldChar w:fldCharType="begin"/>
        </w:r>
        <w:r w:rsidRPr="00B55200">
          <w:rPr>
            <w:webHidden/>
          </w:rPr>
          <w:instrText xml:space="preserve"> PAGEREF _Toc196748355 \h </w:instrText>
        </w:r>
        <w:r w:rsidRPr="00B55200">
          <w:rPr>
            <w:webHidden/>
          </w:rPr>
        </w:r>
        <w:r w:rsidRPr="00B55200">
          <w:rPr>
            <w:webHidden/>
          </w:rPr>
          <w:fldChar w:fldCharType="separate"/>
        </w:r>
        <w:r w:rsidR="00F44BFC">
          <w:rPr>
            <w:webHidden/>
          </w:rPr>
          <w:t>121</w:t>
        </w:r>
        <w:r w:rsidRPr="00B55200">
          <w:rPr>
            <w:webHidden/>
          </w:rPr>
          <w:fldChar w:fldCharType="end"/>
        </w:r>
      </w:hyperlink>
    </w:p>
    <w:p w14:paraId="5743EBC8" w14:textId="78B1DE42" w:rsidR="000835D9" w:rsidRPr="00B55200" w:rsidRDefault="000835D9" w:rsidP="000835D9">
      <w:pPr>
        <w:pStyle w:val="TOC3"/>
        <w:rPr>
          <w:rFonts w:eastAsiaTheme="minorEastAsia" w:cstheme="minorBidi"/>
          <w:color w:val="auto"/>
          <w:kern w:val="2"/>
          <w:sz w:val="24"/>
          <w:u w:val="none"/>
          <w:lang w:eastAsia="en-AU"/>
          <w14:ligatures w14:val="standardContextual"/>
        </w:rPr>
      </w:pPr>
      <w:hyperlink w:anchor="_Toc196748356" w:history="1">
        <w:r w:rsidRPr="00B55200">
          <w:rPr>
            <w:rStyle w:val="Hyperlink"/>
            <w:rFonts w:ascii="Public Sans" w:hAnsi="Public Sans"/>
          </w:rPr>
          <w:t>A broader application to all areas of public life</w:t>
        </w:r>
        <w:r w:rsidRPr="00B55200">
          <w:rPr>
            <w:webHidden/>
          </w:rPr>
          <w:tab/>
        </w:r>
        <w:r w:rsidRPr="00B55200">
          <w:rPr>
            <w:webHidden/>
          </w:rPr>
          <w:fldChar w:fldCharType="begin"/>
        </w:r>
        <w:r w:rsidRPr="00B55200">
          <w:rPr>
            <w:webHidden/>
          </w:rPr>
          <w:instrText xml:space="preserve"> PAGEREF _Toc196748356 \h </w:instrText>
        </w:r>
        <w:r w:rsidRPr="00B55200">
          <w:rPr>
            <w:webHidden/>
          </w:rPr>
        </w:r>
        <w:r w:rsidRPr="00B55200">
          <w:rPr>
            <w:webHidden/>
          </w:rPr>
          <w:fldChar w:fldCharType="separate"/>
        </w:r>
        <w:r w:rsidR="00F44BFC">
          <w:rPr>
            <w:webHidden/>
          </w:rPr>
          <w:t>121</w:t>
        </w:r>
        <w:r w:rsidRPr="00B55200">
          <w:rPr>
            <w:webHidden/>
          </w:rPr>
          <w:fldChar w:fldCharType="end"/>
        </w:r>
      </w:hyperlink>
    </w:p>
    <w:p w14:paraId="63B9419A" w14:textId="0B7CBE7C" w:rsidR="000835D9" w:rsidRPr="00B55200" w:rsidRDefault="000835D9" w:rsidP="000835D9">
      <w:pPr>
        <w:pStyle w:val="TOC3"/>
        <w:rPr>
          <w:rFonts w:eastAsiaTheme="minorEastAsia" w:cstheme="minorBidi"/>
          <w:color w:val="auto"/>
          <w:kern w:val="2"/>
          <w:sz w:val="24"/>
          <w:u w:val="none"/>
          <w:lang w:eastAsia="en-AU"/>
          <w14:ligatures w14:val="standardContextual"/>
        </w:rPr>
      </w:pPr>
      <w:hyperlink w:anchor="_Toc196748357" w:history="1">
        <w:r w:rsidRPr="00B55200">
          <w:rPr>
            <w:rStyle w:val="Hyperlink"/>
            <w:rFonts w:ascii="Public Sans" w:hAnsi="Public Sans"/>
          </w:rPr>
          <w:t>Disposal of interests in land</w:t>
        </w:r>
        <w:r w:rsidRPr="00B55200">
          <w:rPr>
            <w:webHidden/>
          </w:rPr>
          <w:tab/>
        </w:r>
        <w:r w:rsidRPr="00B55200">
          <w:rPr>
            <w:webHidden/>
          </w:rPr>
          <w:fldChar w:fldCharType="begin"/>
        </w:r>
        <w:r w:rsidRPr="00B55200">
          <w:rPr>
            <w:webHidden/>
          </w:rPr>
          <w:instrText xml:space="preserve"> PAGEREF _Toc196748357 \h </w:instrText>
        </w:r>
        <w:r w:rsidRPr="00B55200">
          <w:rPr>
            <w:webHidden/>
          </w:rPr>
        </w:r>
        <w:r w:rsidRPr="00B55200">
          <w:rPr>
            <w:webHidden/>
          </w:rPr>
          <w:fldChar w:fldCharType="separate"/>
        </w:r>
        <w:r w:rsidR="00F44BFC">
          <w:rPr>
            <w:webHidden/>
          </w:rPr>
          <w:t>122</w:t>
        </w:r>
        <w:r w:rsidRPr="00B55200">
          <w:rPr>
            <w:webHidden/>
          </w:rPr>
          <w:fldChar w:fldCharType="end"/>
        </w:r>
      </w:hyperlink>
    </w:p>
    <w:p w14:paraId="5516AB01" w14:textId="77F82CC6" w:rsidR="000835D9" w:rsidRPr="00B55200" w:rsidRDefault="000835D9" w:rsidP="000835D9">
      <w:pPr>
        <w:pStyle w:val="TOC3"/>
        <w:rPr>
          <w:rFonts w:eastAsiaTheme="minorEastAsia" w:cstheme="minorBidi"/>
          <w:color w:val="auto"/>
          <w:kern w:val="2"/>
          <w:sz w:val="24"/>
          <w:u w:val="none"/>
          <w:lang w:eastAsia="en-AU"/>
          <w14:ligatures w14:val="standardContextual"/>
        </w:rPr>
      </w:pPr>
      <w:hyperlink w:anchor="_Toc196748358" w:history="1">
        <w:r w:rsidRPr="00B55200">
          <w:rPr>
            <w:rStyle w:val="Hyperlink"/>
            <w:rFonts w:ascii="Public Sans" w:hAnsi="Public Sans"/>
          </w:rPr>
          <w:t>Government functions and the administration of laws</w:t>
        </w:r>
        <w:r w:rsidRPr="00B55200">
          <w:rPr>
            <w:webHidden/>
          </w:rPr>
          <w:tab/>
        </w:r>
        <w:r w:rsidRPr="00B55200">
          <w:rPr>
            <w:webHidden/>
          </w:rPr>
          <w:fldChar w:fldCharType="begin"/>
        </w:r>
        <w:r w:rsidRPr="00B55200">
          <w:rPr>
            <w:webHidden/>
          </w:rPr>
          <w:instrText xml:space="preserve"> PAGEREF _Toc196748358 \h </w:instrText>
        </w:r>
        <w:r w:rsidRPr="00B55200">
          <w:rPr>
            <w:webHidden/>
          </w:rPr>
        </w:r>
        <w:r w:rsidRPr="00B55200">
          <w:rPr>
            <w:webHidden/>
          </w:rPr>
          <w:fldChar w:fldCharType="separate"/>
        </w:r>
        <w:r w:rsidR="00F44BFC">
          <w:rPr>
            <w:webHidden/>
          </w:rPr>
          <w:t>123</w:t>
        </w:r>
        <w:r w:rsidRPr="00B55200">
          <w:rPr>
            <w:webHidden/>
          </w:rPr>
          <w:fldChar w:fldCharType="end"/>
        </w:r>
      </w:hyperlink>
    </w:p>
    <w:p w14:paraId="61AB1B14" w14:textId="0B51AA9F" w:rsidR="000835D9" w:rsidRPr="00B55200" w:rsidRDefault="000835D9" w:rsidP="000835D9">
      <w:pPr>
        <w:pStyle w:val="TOC3"/>
        <w:rPr>
          <w:rFonts w:eastAsiaTheme="minorEastAsia" w:cstheme="minorBidi"/>
          <w:color w:val="auto"/>
          <w:kern w:val="2"/>
          <w:sz w:val="24"/>
          <w:u w:val="none"/>
          <w:lang w:eastAsia="en-AU"/>
          <w14:ligatures w14:val="standardContextual"/>
        </w:rPr>
      </w:pPr>
      <w:hyperlink w:anchor="_Toc196748359" w:history="1">
        <w:r w:rsidRPr="00B55200">
          <w:rPr>
            <w:rStyle w:val="Hyperlink"/>
            <w:rFonts w:ascii="Public Sans" w:hAnsi="Public Sans"/>
          </w:rPr>
          <w:t>Requests for information</w:t>
        </w:r>
        <w:r w:rsidRPr="00B55200">
          <w:rPr>
            <w:webHidden/>
          </w:rPr>
          <w:tab/>
        </w:r>
        <w:r w:rsidRPr="00B55200">
          <w:rPr>
            <w:webHidden/>
          </w:rPr>
          <w:fldChar w:fldCharType="begin"/>
        </w:r>
        <w:r w:rsidRPr="00B55200">
          <w:rPr>
            <w:webHidden/>
          </w:rPr>
          <w:instrText xml:space="preserve"> PAGEREF _Toc196748359 \h </w:instrText>
        </w:r>
        <w:r w:rsidRPr="00B55200">
          <w:rPr>
            <w:webHidden/>
          </w:rPr>
        </w:r>
        <w:r w:rsidRPr="00B55200">
          <w:rPr>
            <w:webHidden/>
          </w:rPr>
          <w:fldChar w:fldCharType="separate"/>
        </w:r>
        <w:r w:rsidR="00F44BFC">
          <w:rPr>
            <w:webHidden/>
          </w:rPr>
          <w:t>123</w:t>
        </w:r>
        <w:r w:rsidRPr="00B55200">
          <w:rPr>
            <w:webHidden/>
          </w:rPr>
          <w:fldChar w:fldCharType="end"/>
        </w:r>
      </w:hyperlink>
    </w:p>
    <w:p w14:paraId="7C3AC6AC" w14:textId="6508B1B9" w:rsidR="000835D9" w:rsidRPr="00B55200" w:rsidRDefault="000835D9" w:rsidP="000835D9">
      <w:pPr>
        <w:pStyle w:val="TOC3"/>
        <w:rPr>
          <w:rFonts w:eastAsiaTheme="minorEastAsia" w:cstheme="minorBidi"/>
          <w:color w:val="auto"/>
          <w:kern w:val="2"/>
          <w:sz w:val="24"/>
          <w:u w:val="none"/>
          <w:lang w:eastAsia="en-AU"/>
          <w14:ligatures w14:val="standardContextual"/>
        </w:rPr>
      </w:pPr>
      <w:hyperlink w:anchor="_Toc196748360" w:history="1">
        <w:r w:rsidRPr="00B55200">
          <w:rPr>
            <w:rStyle w:val="Hyperlink"/>
            <w:rFonts w:ascii="Public Sans" w:hAnsi="Public Sans"/>
          </w:rPr>
          <w:t>Sport and other competitions</w:t>
        </w:r>
        <w:r w:rsidRPr="00B55200">
          <w:rPr>
            <w:webHidden/>
          </w:rPr>
          <w:tab/>
        </w:r>
        <w:r w:rsidRPr="00B55200">
          <w:rPr>
            <w:webHidden/>
          </w:rPr>
          <w:fldChar w:fldCharType="begin"/>
        </w:r>
        <w:r w:rsidRPr="00B55200">
          <w:rPr>
            <w:webHidden/>
          </w:rPr>
          <w:instrText xml:space="preserve"> PAGEREF _Toc196748360 \h </w:instrText>
        </w:r>
        <w:r w:rsidRPr="00B55200">
          <w:rPr>
            <w:webHidden/>
          </w:rPr>
        </w:r>
        <w:r w:rsidRPr="00B55200">
          <w:rPr>
            <w:webHidden/>
          </w:rPr>
          <w:fldChar w:fldCharType="separate"/>
        </w:r>
        <w:r w:rsidR="00F44BFC">
          <w:rPr>
            <w:webHidden/>
          </w:rPr>
          <w:t>124</w:t>
        </w:r>
        <w:r w:rsidRPr="00B55200">
          <w:rPr>
            <w:webHidden/>
          </w:rPr>
          <w:fldChar w:fldCharType="end"/>
        </w:r>
      </w:hyperlink>
    </w:p>
    <w:p w14:paraId="75E4B0B6" w14:textId="4C20DDE7" w:rsidR="000835D9" w:rsidRPr="00B55200" w:rsidRDefault="000835D9" w:rsidP="000835D9">
      <w:pPr>
        <w:pStyle w:val="TOC3"/>
        <w:rPr>
          <w:rFonts w:eastAsiaTheme="minorEastAsia" w:cstheme="minorBidi"/>
          <w:color w:val="auto"/>
          <w:kern w:val="2"/>
          <w:sz w:val="24"/>
          <w:u w:val="none"/>
          <w:lang w:eastAsia="en-AU"/>
          <w14:ligatures w14:val="standardContextual"/>
        </w:rPr>
      </w:pPr>
      <w:hyperlink w:anchor="_Toc196748361" w:history="1">
        <w:r w:rsidRPr="00B55200">
          <w:rPr>
            <w:rStyle w:val="Hyperlink"/>
            <w:rFonts w:ascii="Public Sans" w:hAnsi="Public Sans"/>
          </w:rPr>
          <w:t>Strata committees and owners’ corporations</w:t>
        </w:r>
        <w:r w:rsidRPr="00B55200">
          <w:rPr>
            <w:webHidden/>
          </w:rPr>
          <w:tab/>
        </w:r>
        <w:r w:rsidRPr="00B55200">
          <w:rPr>
            <w:webHidden/>
          </w:rPr>
          <w:fldChar w:fldCharType="begin"/>
        </w:r>
        <w:r w:rsidRPr="00B55200">
          <w:rPr>
            <w:webHidden/>
          </w:rPr>
          <w:instrText xml:space="preserve"> PAGEREF _Toc196748361 \h </w:instrText>
        </w:r>
        <w:r w:rsidRPr="00B55200">
          <w:rPr>
            <w:webHidden/>
          </w:rPr>
        </w:r>
        <w:r w:rsidRPr="00B55200">
          <w:rPr>
            <w:webHidden/>
          </w:rPr>
          <w:fldChar w:fldCharType="separate"/>
        </w:r>
        <w:r w:rsidR="00F44BFC">
          <w:rPr>
            <w:webHidden/>
          </w:rPr>
          <w:t>126</w:t>
        </w:r>
        <w:r w:rsidRPr="00B55200">
          <w:rPr>
            <w:webHidden/>
          </w:rPr>
          <w:fldChar w:fldCharType="end"/>
        </w:r>
      </w:hyperlink>
    </w:p>
    <w:p w14:paraId="615C3C9D" w14:textId="77777777" w:rsidR="000835D9" w:rsidRPr="001D38E6" w:rsidRDefault="000835D9" w:rsidP="000835D9">
      <w:pPr>
        <w:pStyle w:val="TOC4"/>
        <w:ind w:left="0" w:firstLine="0"/>
        <w:rPr>
          <w:noProof w:val="0"/>
        </w:rPr>
      </w:pPr>
      <w:r w:rsidRPr="007A7257">
        <w:rPr>
          <w:noProof w:val="0"/>
        </w:rPr>
        <w:fldChar w:fldCharType="end"/>
      </w:r>
    </w:p>
    <w:p w14:paraId="2A8E2EAD" w14:textId="77777777" w:rsidR="000835D9" w:rsidRDefault="000835D9" w:rsidP="000835D9">
      <w:pPr>
        <w:pStyle w:val="NormalAutoChapter"/>
      </w:pPr>
      <w:r>
        <w:lastRenderedPageBreak/>
        <w:t xml:space="preserve">Discrimination can happen anywhere — it is not limited to specific relationships, places or events. However, it can be hard to define who should have a duty to not discriminate, and where and when that duty should apply to make discrimination unlawful. </w:t>
      </w:r>
    </w:p>
    <w:p w14:paraId="2BA15BF2" w14:textId="77777777" w:rsidR="000835D9" w:rsidRDefault="000835D9" w:rsidP="000835D9">
      <w:pPr>
        <w:pStyle w:val="NormalAutoChapter"/>
      </w:pPr>
      <w:r>
        <w:t xml:space="preserve">The </w:t>
      </w:r>
      <w:r w:rsidRPr="00704BE5">
        <w:rPr>
          <w:i/>
          <w:iCs/>
        </w:rPr>
        <w:t>Anti-Discrimination Act 1977</w:t>
      </w:r>
      <w:r>
        <w:t xml:space="preserve"> (NSW) (ADA) only prohibits discrimination that happens in specific areas of activity, relationships and places. Broadly, these areas are:</w:t>
      </w:r>
    </w:p>
    <w:p w14:paraId="6851161F" w14:textId="77777777" w:rsidR="000835D9" w:rsidRPr="001D38E6" w:rsidRDefault="000835D9" w:rsidP="000835D9">
      <w:pPr>
        <w:pStyle w:val="Normalbullet"/>
        <w:rPr>
          <w:lang w:eastAsia="en-AU"/>
        </w:rPr>
      </w:pPr>
      <w:r w:rsidRPr="001D38E6">
        <w:t>work</w:t>
      </w:r>
    </w:p>
    <w:p w14:paraId="09CAA0D8" w14:textId="77777777" w:rsidR="000835D9" w:rsidRPr="001D38E6" w:rsidRDefault="000835D9" w:rsidP="000835D9">
      <w:pPr>
        <w:pStyle w:val="Normalbullet"/>
        <w:rPr>
          <w:lang w:eastAsia="en-AU"/>
        </w:rPr>
      </w:pPr>
      <w:r w:rsidRPr="001D38E6">
        <w:t>education</w:t>
      </w:r>
    </w:p>
    <w:p w14:paraId="3D89426E" w14:textId="77777777" w:rsidR="000835D9" w:rsidRDefault="000835D9" w:rsidP="000835D9">
      <w:pPr>
        <w:pStyle w:val="Normalbullet"/>
        <w:rPr>
          <w:lang w:eastAsia="en-AU"/>
        </w:rPr>
      </w:pPr>
      <w:r>
        <w:rPr>
          <w:lang w:eastAsia="en-AU"/>
        </w:rPr>
        <w:t>the provision of goods and services</w:t>
      </w:r>
    </w:p>
    <w:p w14:paraId="55C64622" w14:textId="77777777" w:rsidR="000835D9" w:rsidRDefault="000835D9" w:rsidP="000835D9">
      <w:pPr>
        <w:pStyle w:val="Normalbullet"/>
        <w:rPr>
          <w:lang w:eastAsia="en-AU"/>
        </w:rPr>
      </w:pPr>
      <w:r>
        <w:t xml:space="preserve">the provision of </w:t>
      </w:r>
      <w:r w:rsidRPr="001D38E6">
        <w:t xml:space="preserve">accommodation, and </w:t>
      </w:r>
    </w:p>
    <w:p w14:paraId="327D6DD4" w14:textId="77777777" w:rsidR="000835D9" w:rsidRPr="001D38E6" w:rsidRDefault="000835D9" w:rsidP="000835D9">
      <w:pPr>
        <w:pStyle w:val="Normalbullet"/>
        <w:rPr>
          <w:lang w:eastAsia="en-AU"/>
        </w:rPr>
      </w:pPr>
      <w:r>
        <w:t xml:space="preserve">certain </w:t>
      </w:r>
      <w:r w:rsidRPr="00874397">
        <w:t>activities of r</w:t>
      </w:r>
      <w:r>
        <w:t>egistered clubs.</w:t>
      </w:r>
    </w:p>
    <w:p w14:paraId="10EB31F0" w14:textId="77777777" w:rsidR="000835D9" w:rsidRDefault="000835D9" w:rsidP="000835D9">
      <w:pPr>
        <w:pStyle w:val="NormalAutoChapter"/>
      </w:pPr>
      <w:r>
        <w:t xml:space="preserve">These protected areas operate in what can be loosely termed as “public life”. The ADA does not apply to personal or family relationships or private interactions that occur, for example, at home. In its 1999 review of the ADA, the NSW Law Reform Commission (NSWLRC) said this distinction was important to </w:t>
      </w:r>
      <w:r w:rsidRPr="0024613A">
        <w:rPr>
          <w:color w:val="auto"/>
        </w:rPr>
        <w:t>protect personal and private choice, thought and expression.</w:t>
      </w:r>
      <w:r w:rsidRPr="00F30771">
        <w:rPr>
          <w:rStyle w:val="FootnoteReference"/>
          <w:color w:val="auto"/>
        </w:rPr>
        <w:footnoteReference w:id="404"/>
      </w:r>
      <w:r>
        <w:t xml:space="preserve"> </w:t>
      </w:r>
    </w:p>
    <w:p w14:paraId="29E78873" w14:textId="77777777" w:rsidR="000835D9" w:rsidRDefault="000835D9" w:rsidP="000835D9">
      <w:pPr>
        <w:pStyle w:val="NormalAutoChapter"/>
      </w:pPr>
      <w:r>
        <w:t xml:space="preserve">However, the ADA does not cover all areas of public life. Also, many exceptions limit </w:t>
      </w:r>
      <w:r>
        <w:rPr>
          <w:lang w:eastAsia="en-US"/>
        </w:rPr>
        <w:t>the scope of each protected area. These exceptions do not apply consistently. Some apply across multiple areas, while others are limited to specific areas or attributes. Some exceptions are limited to discrimination and/or vilification, while others apply to all conduct prohibited by the ADA.</w:t>
      </w:r>
    </w:p>
    <w:p w14:paraId="326A6976" w14:textId="77777777" w:rsidR="000835D9" w:rsidRDefault="000835D9" w:rsidP="000835D9">
      <w:pPr>
        <w:pStyle w:val="NormalAutoChapter"/>
      </w:pPr>
      <w:r>
        <w:t>There is a view that the ADA has not kept pac</w:t>
      </w:r>
      <w:r w:rsidRPr="00742D8C">
        <w:t xml:space="preserve">e with </w:t>
      </w:r>
      <w:r>
        <w:t xml:space="preserve">societal </w:t>
      </w:r>
      <w:r w:rsidRPr="00742D8C">
        <w:t xml:space="preserve">changes. </w:t>
      </w:r>
      <w:r>
        <w:t xml:space="preserve">These changes include </w:t>
      </w:r>
      <w:r w:rsidRPr="00742D8C">
        <w:t>the rise of the gig economy</w:t>
      </w:r>
      <w:r>
        <w:t xml:space="preserve">, such as ridesharing, which </w:t>
      </w:r>
      <w:r w:rsidRPr="00742D8C">
        <w:t>challenges</w:t>
      </w:r>
      <w:r>
        <w:t xml:space="preserve"> traditional employment relationships. The ADA’s coverage should be relevant and effective today, and flexible enough to respond to future challenges.</w:t>
      </w:r>
    </w:p>
    <w:p w14:paraId="375CAADC" w14:textId="77777777" w:rsidR="000835D9" w:rsidRDefault="000835D9" w:rsidP="000835D9">
      <w:pPr>
        <w:pStyle w:val="NormalAutoChapter"/>
        <w:rPr>
          <w:lang w:eastAsia="en-US"/>
        </w:rPr>
      </w:pPr>
      <w:r>
        <w:rPr>
          <w:lang w:eastAsia="en-US"/>
        </w:rPr>
        <w:t xml:space="preserve">In this chapter, we outline the protected areas of public life and the exceptions that are specific to </w:t>
      </w:r>
      <w:proofErr w:type="gramStart"/>
      <w:r>
        <w:rPr>
          <w:lang w:eastAsia="en-US"/>
        </w:rPr>
        <w:t>particular areas</w:t>
      </w:r>
      <w:proofErr w:type="gramEnd"/>
      <w:r>
        <w:rPr>
          <w:lang w:eastAsia="en-US"/>
        </w:rPr>
        <w:t xml:space="preserve">. We discuss wider exceptions, including those applying to multiple areas, in </w:t>
      </w:r>
      <w:r w:rsidRPr="005A3EBE">
        <w:rPr>
          <w:lang w:eastAsia="en-US"/>
        </w:rPr>
        <w:t>chapter 7.</w:t>
      </w:r>
    </w:p>
    <w:p w14:paraId="79138F56" w14:textId="77777777" w:rsidR="000835D9" w:rsidRDefault="000835D9" w:rsidP="000835D9">
      <w:pPr>
        <w:pStyle w:val="NormalAutoChapter"/>
      </w:pPr>
      <w:r>
        <w:rPr>
          <w:lang w:eastAsia="en-US"/>
        </w:rPr>
        <w:t xml:space="preserve">We </w:t>
      </w:r>
      <w:r w:rsidRPr="001D38E6">
        <w:rPr>
          <w:lang w:eastAsia="en-US"/>
        </w:rPr>
        <w:t xml:space="preserve">ask </w:t>
      </w:r>
      <w:r>
        <w:rPr>
          <w:lang w:eastAsia="en-US"/>
        </w:rPr>
        <w:t xml:space="preserve">if </w:t>
      </w:r>
      <w:r>
        <w:t xml:space="preserve">the scope </w:t>
      </w:r>
      <w:r w:rsidRPr="001D38E6">
        <w:t>of the</w:t>
      </w:r>
      <w:r>
        <w:t xml:space="preserve">se areas </w:t>
      </w:r>
      <w:r w:rsidRPr="001D38E6">
        <w:t>should change</w:t>
      </w:r>
      <w:r>
        <w:t xml:space="preserve">, and if the ADA should prohibit discrimination in other areas too. We also outline possible options for reform, drawn from our research and preliminary submissions. We welcome other suggestions too. </w:t>
      </w:r>
    </w:p>
    <w:p w14:paraId="7E6ED923" w14:textId="77777777" w:rsidR="000835D9" w:rsidRPr="001D38E6" w:rsidRDefault="000835D9" w:rsidP="000835D9">
      <w:pPr>
        <w:pStyle w:val="Heading1"/>
      </w:pPr>
      <w:bookmarkStart w:id="222" w:name="_Toc188363183"/>
      <w:bookmarkStart w:id="223" w:name="_Toc196748338"/>
      <w:bookmarkStart w:id="224" w:name="_Toc196826871"/>
      <w:r>
        <w:lastRenderedPageBreak/>
        <w:t>Discrimination in w</w:t>
      </w:r>
      <w:r w:rsidRPr="001D38E6">
        <w:t>or</w:t>
      </w:r>
      <w:r>
        <w:t>k</w:t>
      </w:r>
      <w:bookmarkEnd w:id="222"/>
      <w:bookmarkEnd w:id="223"/>
      <w:bookmarkEnd w:id="224"/>
      <w:r w:rsidRPr="001D38E6">
        <w:t xml:space="preserve"> </w:t>
      </w:r>
    </w:p>
    <w:p w14:paraId="7D8D2080" w14:textId="77777777" w:rsidR="000835D9" w:rsidRDefault="000835D9" w:rsidP="000835D9">
      <w:pPr>
        <w:pStyle w:val="NormalAutoChapter"/>
        <w:spacing w:after="240"/>
      </w:pPr>
      <w:r>
        <w:t xml:space="preserve">The ADA prohibits discrimination in work. This covers all protected attributes and a wide range of work-related scenarios. The protected area includes a wide range of subcategories of work-related situations, as set out in the table below.  </w:t>
      </w:r>
    </w:p>
    <w:p w14:paraId="2A24DA65" w14:textId="77777777" w:rsidR="000835D9" w:rsidRDefault="000835D9" w:rsidP="000835D9">
      <w:pPr>
        <w:pStyle w:val="Tablecaption"/>
      </w:pPr>
      <w:r>
        <w:t>Table 6.1: Discrimination prohibited in work</w:t>
      </w:r>
    </w:p>
    <w:tbl>
      <w:tblPr>
        <w:tblStyle w:val="TableGrid"/>
        <w:tblW w:w="0" w:type="auto"/>
        <w:tblInd w:w="720" w:type="dxa"/>
        <w:tblLook w:val="04A0" w:firstRow="1" w:lastRow="0" w:firstColumn="1" w:lastColumn="0" w:noHBand="0" w:noVBand="1"/>
        <w:tblCaption w:val="Table 6.1: Discrimination prohibited in work"/>
        <w:tblDescription w:val="A summary of the types of conduct that can constitute unlawful discrimination at work, including who is prohibited from discriminating against whom. An employer is prohibited from discriminating against applicants and employees in offering employment, the terms and conditions of employment, promotion, transfer, training, other benefits, and dismissal or other detriment. A principal is prohibited from discriminating against commission agents or potential commission agents in engaging them, the terms of conditions of engagement, promotion, transfer, training and other benefits, and termination or other detriment. A principal is also prohibited from discriminating against contract workers in the terms of work, by not allowing them to work, in access to benefits, or subjecting them to any detriment. Partnerships of 6 or more partners, or people proposing to form a partnership, are prohibited from discriminating against partners and potential partners in offering a partnership role and the terms of that role, any benefits arising from firm membership, and expulsion or any other detriment. Local government councillors are prohibited from discriminating against another member of the council in official functions. Industrial organisations are prohibited from discriminating against non-members and members in admission to membership, terms of membership, access to benefits, varying terms or depriving membership, and any other detriment. Qualifying bodies (for a profession, trade or occupation) are prohibited from discriminating against persons qualified or seeking to be qualified by the body in conferring, renewing or extending authorisation or qualification, or withdrawing or varying the terms of the authorisation or qualification. And finally, employment agencies are prohibited from discriminating against people seeking its services in whether and how the services are provided."/>
      </w:tblPr>
      <w:tblGrid>
        <w:gridCol w:w="2110"/>
        <w:gridCol w:w="1985"/>
        <w:gridCol w:w="4473"/>
      </w:tblGrid>
      <w:tr w:rsidR="000835D9" w14:paraId="755B096A" w14:textId="77777777" w:rsidTr="00C749E5">
        <w:trPr>
          <w:tblHeader/>
        </w:trPr>
        <w:tc>
          <w:tcPr>
            <w:tcW w:w="2110" w:type="dxa"/>
            <w:shd w:val="clear" w:color="auto" w:fill="002664"/>
          </w:tcPr>
          <w:p w14:paraId="62DB0CF6" w14:textId="77777777" w:rsidR="000835D9" w:rsidRPr="003662DF" w:rsidRDefault="000835D9" w:rsidP="000835D9">
            <w:pPr>
              <w:pStyle w:val="TableHeading"/>
            </w:pPr>
            <w:r>
              <w:t>Discrimination by</w:t>
            </w:r>
          </w:p>
        </w:tc>
        <w:tc>
          <w:tcPr>
            <w:tcW w:w="1985" w:type="dxa"/>
            <w:shd w:val="clear" w:color="auto" w:fill="002664"/>
          </w:tcPr>
          <w:p w14:paraId="088D2305" w14:textId="77777777" w:rsidR="000835D9" w:rsidRPr="00A37B66" w:rsidRDefault="000835D9" w:rsidP="00A37B66">
            <w:pPr>
              <w:pStyle w:val="TableHeading"/>
            </w:pPr>
            <w:r w:rsidRPr="00A37B66">
              <w:t>Discrimination against</w:t>
            </w:r>
          </w:p>
        </w:tc>
        <w:tc>
          <w:tcPr>
            <w:tcW w:w="4473" w:type="dxa"/>
            <w:shd w:val="clear" w:color="auto" w:fill="002664"/>
          </w:tcPr>
          <w:p w14:paraId="29852EA4" w14:textId="77777777" w:rsidR="000835D9" w:rsidRDefault="000835D9" w:rsidP="00A45523">
            <w:pPr>
              <w:pStyle w:val="TableHeading"/>
            </w:pPr>
            <w:r>
              <w:t>Summary of coverage</w:t>
            </w:r>
          </w:p>
        </w:tc>
      </w:tr>
      <w:tr w:rsidR="000835D9" w14:paraId="0A97CF79" w14:textId="77777777" w:rsidTr="004B2BE2">
        <w:tc>
          <w:tcPr>
            <w:tcW w:w="2110" w:type="dxa"/>
          </w:tcPr>
          <w:p w14:paraId="40851E6B" w14:textId="77777777" w:rsidR="000835D9" w:rsidRDefault="000835D9" w:rsidP="004B2BE2">
            <w:pPr>
              <w:pStyle w:val="Tabletext"/>
            </w:pPr>
            <w:r>
              <w:t>An employer</w:t>
            </w:r>
          </w:p>
        </w:tc>
        <w:tc>
          <w:tcPr>
            <w:tcW w:w="1985" w:type="dxa"/>
          </w:tcPr>
          <w:p w14:paraId="4DECD2E6" w14:textId="77777777" w:rsidR="000835D9" w:rsidRDefault="000835D9" w:rsidP="004B2BE2">
            <w:pPr>
              <w:pStyle w:val="Tabletext"/>
            </w:pPr>
            <w:r>
              <w:t>Applicants and employees</w:t>
            </w:r>
          </w:p>
        </w:tc>
        <w:tc>
          <w:tcPr>
            <w:tcW w:w="4473" w:type="dxa"/>
          </w:tcPr>
          <w:p w14:paraId="1163AE34" w14:textId="77777777" w:rsidR="000835D9" w:rsidRDefault="000835D9" w:rsidP="004B2BE2">
            <w:pPr>
              <w:pStyle w:val="Tabletextbullet"/>
            </w:pPr>
            <w:r>
              <w:t>Offering employment, and the terms and conditions</w:t>
            </w:r>
          </w:p>
          <w:p w14:paraId="381EC2E7" w14:textId="77777777" w:rsidR="000835D9" w:rsidRDefault="000835D9" w:rsidP="004B2BE2">
            <w:pPr>
              <w:pStyle w:val="Tabletextbullet"/>
            </w:pPr>
            <w:r>
              <w:t>Promotion, transfer, training, other benefits</w:t>
            </w:r>
          </w:p>
          <w:p w14:paraId="0F27F2BC" w14:textId="77777777" w:rsidR="000835D9" w:rsidRDefault="000835D9" w:rsidP="004B2BE2">
            <w:pPr>
              <w:pStyle w:val="Tabletextbullet"/>
            </w:pPr>
            <w:r>
              <w:t>Dismissal or other detriment</w:t>
            </w:r>
          </w:p>
        </w:tc>
      </w:tr>
      <w:tr w:rsidR="000835D9" w14:paraId="31E9F899" w14:textId="77777777" w:rsidTr="004B2BE2">
        <w:tc>
          <w:tcPr>
            <w:tcW w:w="2110" w:type="dxa"/>
          </w:tcPr>
          <w:p w14:paraId="7CFEF8C5" w14:textId="77777777" w:rsidR="000835D9" w:rsidRDefault="000835D9" w:rsidP="004B2BE2">
            <w:pPr>
              <w:pStyle w:val="Tabletext"/>
            </w:pPr>
            <w:r>
              <w:t>A principal</w:t>
            </w:r>
          </w:p>
        </w:tc>
        <w:tc>
          <w:tcPr>
            <w:tcW w:w="1985" w:type="dxa"/>
          </w:tcPr>
          <w:p w14:paraId="5C9A9706" w14:textId="77777777" w:rsidR="000835D9" w:rsidRDefault="000835D9" w:rsidP="004B2BE2">
            <w:pPr>
              <w:pStyle w:val="Tabletext"/>
            </w:pPr>
            <w:r>
              <w:t>Commission agents, or potential commission agents</w:t>
            </w:r>
          </w:p>
        </w:tc>
        <w:tc>
          <w:tcPr>
            <w:tcW w:w="4473" w:type="dxa"/>
          </w:tcPr>
          <w:p w14:paraId="31A0ABF4" w14:textId="77777777" w:rsidR="000835D9" w:rsidRDefault="000835D9" w:rsidP="004B2BE2">
            <w:pPr>
              <w:pStyle w:val="Tabletextbullet"/>
            </w:pPr>
            <w:r>
              <w:t>Engaging a commission agent, and the terms and conditions</w:t>
            </w:r>
          </w:p>
          <w:p w14:paraId="7BF18342" w14:textId="77777777" w:rsidR="000835D9" w:rsidRDefault="000835D9" w:rsidP="004B2BE2">
            <w:pPr>
              <w:pStyle w:val="Tabletextbullet"/>
            </w:pPr>
            <w:r>
              <w:t>Promotion, transfer, training, other benefits</w:t>
            </w:r>
          </w:p>
          <w:p w14:paraId="7B457016" w14:textId="77777777" w:rsidR="000835D9" w:rsidRDefault="000835D9" w:rsidP="004B2BE2">
            <w:pPr>
              <w:pStyle w:val="Tabletextbullet"/>
            </w:pPr>
            <w:r>
              <w:t>Termination or other detriment</w:t>
            </w:r>
          </w:p>
        </w:tc>
      </w:tr>
      <w:tr w:rsidR="000835D9" w14:paraId="375B4E17" w14:textId="77777777" w:rsidTr="004B2BE2">
        <w:tc>
          <w:tcPr>
            <w:tcW w:w="2110" w:type="dxa"/>
          </w:tcPr>
          <w:p w14:paraId="77F2E21E" w14:textId="77777777" w:rsidR="000835D9" w:rsidRDefault="000835D9" w:rsidP="004B2BE2">
            <w:pPr>
              <w:pStyle w:val="Tabletext"/>
            </w:pPr>
            <w:r>
              <w:t>A principal</w:t>
            </w:r>
          </w:p>
        </w:tc>
        <w:tc>
          <w:tcPr>
            <w:tcW w:w="1985" w:type="dxa"/>
          </w:tcPr>
          <w:p w14:paraId="3BD97F40" w14:textId="77777777" w:rsidR="000835D9" w:rsidRDefault="000835D9" w:rsidP="004B2BE2">
            <w:pPr>
              <w:pStyle w:val="Tabletext"/>
            </w:pPr>
            <w:r>
              <w:t>Contract workers</w:t>
            </w:r>
          </w:p>
        </w:tc>
        <w:tc>
          <w:tcPr>
            <w:tcW w:w="4473" w:type="dxa"/>
          </w:tcPr>
          <w:p w14:paraId="21F398E3" w14:textId="77777777" w:rsidR="000835D9" w:rsidRDefault="000835D9" w:rsidP="004B2BE2">
            <w:pPr>
              <w:pStyle w:val="Tabletextbullet"/>
            </w:pPr>
            <w:r>
              <w:t>Terms of work</w:t>
            </w:r>
          </w:p>
          <w:p w14:paraId="193CFFC1" w14:textId="77777777" w:rsidR="000835D9" w:rsidRDefault="000835D9" w:rsidP="004B2BE2">
            <w:pPr>
              <w:pStyle w:val="Tabletextbullet"/>
            </w:pPr>
            <w:r>
              <w:t xml:space="preserve">Not allowing them to work </w:t>
            </w:r>
          </w:p>
          <w:p w14:paraId="542C46EF" w14:textId="77777777" w:rsidR="000835D9" w:rsidRDefault="000835D9" w:rsidP="004B2BE2">
            <w:pPr>
              <w:pStyle w:val="Tabletextbullet"/>
            </w:pPr>
            <w:r>
              <w:t>Access to benefits</w:t>
            </w:r>
          </w:p>
          <w:p w14:paraId="41AA2507" w14:textId="77777777" w:rsidR="000835D9" w:rsidRDefault="000835D9" w:rsidP="004B2BE2">
            <w:pPr>
              <w:pStyle w:val="Tabletextbullet"/>
            </w:pPr>
            <w:r>
              <w:t>Any other detriment</w:t>
            </w:r>
          </w:p>
        </w:tc>
      </w:tr>
      <w:tr w:rsidR="000835D9" w14:paraId="2A9B1DAA" w14:textId="77777777" w:rsidTr="004B2BE2">
        <w:tc>
          <w:tcPr>
            <w:tcW w:w="2110" w:type="dxa"/>
          </w:tcPr>
          <w:p w14:paraId="44CFAC4F" w14:textId="77777777" w:rsidR="000835D9" w:rsidRDefault="000835D9" w:rsidP="004B2BE2">
            <w:pPr>
              <w:pStyle w:val="Tabletext"/>
            </w:pPr>
            <w:r>
              <w:t>Partnerships (6 or more partners) or people proposing to form a partnership</w:t>
            </w:r>
          </w:p>
        </w:tc>
        <w:tc>
          <w:tcPr>
            <w:tcW w:w="1985" w:type="dxa"/>
          </w:tcPr>
          <w:p w14:paraId="6E123860" w14:textId="77777777" w:rsidR="000835D9" w:rsidRDefault="000835D9" w:rsidP="004B2BE2">
            <w:pPr>
              <w:pStyle w:val="Tabletext"/>
            </w:pPr>
            <w:r>
              <w:t>Partners and potential partners</w:t>
            </w:r>
          </w:p>
        </w:tc>
        <w:tc>
          <w:tcPr>
            <w:tcW w:w="4473" w:type="dxa"/>
          </w:tcPr>
          <w:p w14:paraId="4C09A75F" w14:textId="77777777" w:rsidR="000835D9" w:rsidRDefault="000835D9" w:rsidP="004B2BE2">
            <w:pPr>
              <w:pStyle w:val="Tabletextbullet"/>
            </w:pPr>
            <w:r>
              <w:t>Offering a partnership role and the terms</w:t>
            </w:r>
          </w:p>
          <w:p w14:paraId="2966C1F4" w14:textId="77777777" w:rsidR="000835D9" w:rsidRDefault="000835D9" w:rsidP="004B2BE2">
            <w:pPr>
              <w:pStyle w:val="Tabletextbullet"/>
            </w:pPr>
            <w:r>
              <w:t xml:space="preserve">Benefits arising from firm membership </w:t>
            </w:r>
          </w:p>
          <w:p w14:paraId="662B6A55" w14:textId="77777777" w:rsidR="000835D9" w:rsidRDefault="000835D9" w:rsidP="004B2BE2">
            <w:pPr>
              <w:pStyle w:val="Tabletextbullet"/>
            </w:pPr>
            <w:r>
              <w:t>Expulsion or any other detriment</w:t>
            </w:r>
          </w:p>
        </w:tc>
      </w:tr>
      <w:tr w:rsidR="000835D9" w14:paraId="385D0B45" w14:textId="77777777" w:rsidTr="004B2BE2">
        <w:tc>
          <w:tcPr>
            <w:tcW w:w="2110" w:type="dxa"/>
          </w:tcPr>
          <w:p w14:paraId="1BCDD3FC" w14:textId="77777777" w:rsidR="000835D9" w:rsidRDefault="000835D9" w:rsidP="004B2BE2">
            <w:pPr>
              <w:pStyle w:val="Tabletext"/>
            </w:pPr>
            <w:r>
              <w:t>Local government councillors</w:t>
            </w:r>
          </w:p>
        </w:tc>
        <w:tc>
          <w:tcPr>
            <w:tcW w:w="1985" w:type="dxa"/>
          </w:tcPr>
          <w:p w14:paraId="424A1A20" w14:textId="77777777" w:rsidR="000835D9" w:rsidRDefault="000835D9" w:rsidP="004B2BE2">
            <w:pPr>
              <w:pStyle w:val="Tabletext"/>
            </w:pPr>
            <w:r>
              <w:t>Another member of the council</w:t>
            </w:r>
          </w:p>
        </w:tc>
        <w:tc>
          <w:tcPr>
            <w:tcW w:w="4473" w:type="dxa"/>
          </w:tcPr>
          <w:p w14:paraId="2FD92494" w14:textId="77777777" w:rsidR="000835D9" w:rsidRDefault="000835D9" w:rsidP="004B2BE2">
            <w:pPr>
              <w:pStyle w:val="Tabletextbullet"/>
            </w:pPr>
            <w:r>
              <w:t>While performing official functions</w:t>
            </w:r>
          </w:p>
        </w:tc>
      </w:tr>
      <w:tr w:rsidR="000835D9" w14:paraId="6A3F04E2" w14:textId="77777777" w:rsidTr="004B2BE2">
        <w:tc>
          <w:tcPr>
            <w:tcW w:w="2110" w:type="dxa"/>
          </w:tcPr>
          <w:p w14:paraId="6486372C" w14:textId="77777777" w:rsidR="000835D9" w:rsidRDefault="000835D9" w:rsidP="004B2BE2">
            <w:pPr>
              <w:pStyle w:val="Tabletext"/>
            </w:pPr>
            <w:r>
              <w:t>Industrial organisations</w:t>
            </w:r>
          </w:p>
        </w:tc>
        <w:tc>
          <w:tcPr>
            <w:tcW w:w="1985" w:type="dxa"/>
          </w:tcPr>
          <w:p w14:paraId="0BFF7C69" w14:textId="77777777" w:rsidR="000835D9" w:rsidRDefault="000835D9" w:rsidP="004B2BE2">
            <w:pPr>
              <w:pStyle w:val="Tabletext"/>
            </w:pPr>
            <w:r>
              <w:t>Non-members and members</w:t>
            </w:r>
          </w:p>
        </w:tc>
        <w:tc>
          <w:tcPr>
            <w:tcW w:w="4473" w:type="dxa"/>
          </w:tcPr>
          <w:p w14:paraId="6354916C" w14:textId="77777777" w:rsidR="000835D9" w:rsidRDefault="000835D9" w:rsidP="004B2BE2">
            <w:pPr>
              <w:pStyle w:val="Tabletextbullet"/>
            </w:pPr>
            <w:r>
              <w:t>Admission to membership and terms</w:t>
            </w:r>
          </w:p>
          <w:p w14:paraId="3E5BCECD" w14:textId="77777777" w:rsidR="000835D9" w:rsidRDefault="000835D9" w:rsidP="004B2BE2">
            <w:pPr>
              <w:pStyle w:val="Tabletextbullet"/>
            </w:pPr>
            <w:r>
              <w:t xml:space="preserve">Access to benefits </w:t>
            </w:r>
          </w:p>
          <w:p w14:paraId="63195DE5" w14:textId="77777777" w:rsidR="000835D9" w:rsidRDefault="000835D9" w:rsidP="004B2BE2">
            <w:pPr>
              <w:pStyle w:val="Tabletextbullet"/>
            </w:pPr>
            <w:r>
              <w:t xml:space="preserve">Varying terms or depriving membership </w:t>
            </w:r>
          </w:p>
          <w:p w14:paraId="5F3408B6" w14:textId="77777777" w:rsidR="000835D9" w:rsidRDefault="000835D9" w:rsidP="004B2BE2">
            <w:pPr>
              <w:pStyle w:val="Tabletextbullet"/>
            </w:pPr>
            <w:r>
              <w:t>Any other detriment</w:t>
            </w:r>
          </w:p>
        </w:tc>
      </w:tr>
      <w:tr w:rsidR="000835D9" w14:paraId="08B387A9" w14:textId="77777777" w:rsidTr="004B2BE2">
        <w:tc>
          <w:tcPr>
            <w:tcW w:w="2110" w:type="dxa"/>
          </w:tcPr>
          <w:p w14:paraId="0EAB38FB" w14:textId="77777777" w:rsidR="000835D9" w:rsidRDefault="000835D9" w:rsidP="004B2BE2">
            <w:pPr>
              <w:pStyle w:val="Tabletext"/>
            </w:pPr>
            <w:r>
              <w:t>Qualifying bodies (for a profession, trade or occupation)</w:t>
            </w:r>
          </w:p>
        </w:tc>
        <w:tc>
          <w:tcPr>
            <w:tcW w:w="1985" w:type="dxa"/>
          </w:tcPr>
          <w:p w14:paraId="59B5B7B8" w14:textId="77777777" w:rsidR="000835D9" w:rsidRDefault="000835D9" w:rsidP="004B2BE2">
            <w:pPr>
              <w:pStyle w:val="Tabletext"/>
            </w:pPr>
            <w:r>
              <w:t xml:space="preserve">Persons qualified or seeking to be qualified </w:t>
            </w:r>
          </w:p>
        </w:tc>
        <w:tc>
          <w:tcPr>
            <w:tcW w:w="4473" w:type="dxa"/>
          </w:tcPr>
          <w:p w14:paraId="2B55F313" w14:textId="77777777" w:rsidR="000835D9" w:rsidRDefault="000835D9" w:rsidP="004B2BE2">
            <w:pPr>
              <w:pStyle w:val="Tabletextbullet"/>
            </w:pPr>
            <w:r>
              <w:t>Conferring, renewing or extending authorisation or qualification</w:t>
            </w:r>
          </w:p>
          <w:p w14:paraId="1B5AE297" w14:textId="77777777" w:rsidR="000835D9" w:rsidRDefault="000835D9" w:rsidP="004B2BE2">
            <w:pPr>
              <w:pStyle w:val="Tabletextbullet"/>
            </w:pPr>
            <w:r>
              <w:t>Withdrawing, or varying the terms, of the authorisation or qualification</w:t>
            </w:r>
          </w:p>
        </w:tc>
      </w:tr>
      <w:tr w:rsidR="000835D9" w14:paraId="5A49DC26" w14:textId="77777777" w:rsidTr="004B2BE2">
        <w:tc>
          <w:tcPr>
            <w:tcW w:w="2110" w:type="dxa"/>
          </w:tcPr>
          <w:p w14:paraId="6A6818D6" w14:textId="77777777" w:rsidR="000835D9" w:rsidRDefault="000835D9" w:rsidP="004B2BE2">
            <w:pPr>
              <w:pStyle w:val="Tabletext"/>
            </w:pPr>
            <w:r>
              <w:t>Employment agencies</w:t>
            </w:r>
          </w:p>
        </w:tc>
        <w:tc>
          <w:tcPr>
            <w:tcW w:w="1985" w:type="dxa"/>
          </w:tcPr>
          <w:p w14:paraId="368DBDA8" w14:textId="77777777" w:rsidR="000835D9" w:rsidRDefault="000835D9" w:rsidP="004B2BE2">
            <w:pPr>
              <w:pStyle w:val="Tabletext"/>
            </w:pPr>
            <w:r>
              <w:t>People seeking its services</w:t>
            </w:r>
          </w:p>
        </w:tc>
        <w:tc>
          <w:tcPr>
            <w:tcW w:w="4473" w:type="dxa"/>
          </w:tcPr>
          <w:p w14:paraId="76B1AFCB" w14:textId="77777777" w:rsidR="000835D9" w:rsidRDefault="000835D9" w:rsidP="004B2BE2">
            <w:pPr>
              <w:pStyle w:val="Tabletextbullet"/>
            </w:pPr>
            <w:r>
              <w:t>Whether it provides its services</w:t>
            </w:r>
          </w:p>
          <w:p w14:paraId="19B1EFD1" w14:textId="77777777" w:rsidR="000835D9" w:rsidRDefault="000835D9" w:rsidP="004B2BE2">
            <w:pPr>
              <w:pStyle w:val="Tabletextbullet"/>
            </w:pPr>
            <w:r>
              <w:t>How it provides its services</w:t>
            </w:r>
          </w:p>
        </w:tc>
      </w:tr>
    </w:tbl>
    <w:p w14:paraId="5E8F729F" w14:textId="77777777" w:rsidR="000835D9" w:rsidRDefault="000835D9" w:rsidP="000835D9">
      <w:pPr>
        <w:pStyle w:val="NormalAutoChapter"/>
      </w:pPr>
      <w:r>
        <w:lastRenderedPageBreak/>
        <w:t xml:space="preserve">As we note in </w:t>
      </w:r>
      <w:r w:rsidRPr="005A3EBE">
        <w:t>chapter 4,</w:t>
      </w:r>
      <w:r>
        <w:t xml:space="preserve"> the ADA also protects against compulsory retirement due to age</w:t>
      </w:r>
      <w:r w:rsidRPr="000D6D83">
        <w:rPr>
          <w:color w:val="000000" w:themeColor="text1"/>
        </w:rPr>
        <w:t>.</w:t>
      </w:r>
      <w:r w:rsidRPr="000D6D83">
        <w:rPr>
          <w:rStyle w:val="FootnoteReference"/>
          <w:color w:val="000000" w:themeColor="text1"/>
        </w:rPr>
        <w:footnoteReference w:id="405"/>
      </w:r>
      <w:r w:rsidRPr="000D6D83">
        <w:rPr>
          <w:color w:val="000000" w:themeColor="text1"/>
        </w:rPr>
        <w:t xml:space="preserve"> </w:t>
      </w:r>
      <w:r>
        <w:t>This does not apply to judges or certain other office holders.</w:t>
      </w:r>
      <w:r>
        <w:rPr>
          <w:rStyle w:val="FootnoteReference"/>
        </w:rPr>
        <w:footnoteReference w:id="406"/>
      </w:r>
    </w:p>
    <w:p w14:paraId="402D2F47" w14:textId="77777777" w:rsidR="000835D9" w:rsidRDefault="000835D9" w:rsidP="000835D9">
      <w:pPr>
        <w:pStyle w:val="Heading2"/>
      </w:pPr>
      <w:bookmarkStart w:id="225" w:name="_Toc188363184"/>
      <w:bookmarkStart w:id="226" w:name="_Toc196748339"/>
      <w:bookmarkStart w:id="227" w:name="_Toc196826872"/>
      <w:r>
        <w:t>Issues relating to coverage</w:t>
      </w:r>
      <w:bookmarkEnd w:id="225"/>
      <w:bookmarkEnd w:id="226"/>
      <w:bookmarkEnd w:id="227"/>
    </w:p>
    <w:p w14:paraId="207B97C1" w14:textId="77777777" w:rsidR="000835D9" w:rsidRDefault="000835D9" w:rsidP="000835D9">
      <w:pPr>
        <w:pStyle w:val="NormalAutoChapter"/>
      </w:pPr>
      <w:r>
        <w:t xml:space="preserve">The ADA prohibits discrimination in many work situations, but there may be gaps in its coverage.  </w:t>
      </w:r>
    </w:p>
    <w:p w14:paraId="40797C3D" w14:textId="16F1C611" w:rsidR="000835D9" w:rsidRPr="001D38E6" w:rsidRDefault="000835D9" w:rsidP="000835D9">
      <w:pPr>
        <w:pStyle w:val="Heading3"/>
      </w:pPr>
      <w:r>
        <w:t>Unpaid workers and volunteers</w:t>
      </w:r>
    </w:p>
    <w:p w14:paraId="0FA001AF" w14:textId="77777777" w:rsidR="000835D9" w:rsidRDefault="000835D9" w:rsidP="000835D9">
      <w:pPr>
        <w:pStyle w:val="NormalAutoChapter"/>
      </w:pPr>
      <w:r>
        <w:t xml:space="preserve">The ADA’s definition of “employment” includes </w:t>
      </w:r>
      <w:r w:rsidRPr="001D38E6">
        <w:t>“work under a contract for services”</w:t>
      </w:r>
      <w:r>
        <w:t xml:space="preserve">. It is unclear if this includes </w:t>
      </w:r>
      <w:r w:rsidRPr="001D38E6">
        <w:t xml:space="preserve">unpaid </w:t>
      </w:r>
      <w:r>
        <w:t xml:space="preserve">work </w:t>
      </w:r>
      <w:r w:rsidRPr="001D38E6">
        <w:t>or volunteer</w:t>
      </w:r>
      <w:r>
        <w:t xml:space="preserve">ing. In contrast, the </w:t>
      </w:r>
      <w:r w:rsidRPr="00235306">
        <w:t>ADA</w:t>
      </w:r>
      <w:r>
        <w:t xml:space="preserve"> expressly protects volunteers and unpaid trainees from sexual harassment.</w:t>
      </w:r>
      <w:r>
        <w:rPr>
          <w:rStyle w:val="FootnoteReference"/>
        </w:rPr>
        <w:footnoteReference w:id="407"/>
      </w:r>
    </w:p>
    <w:p w14:paraId="086D6208" w14:textId="77777777" w:rsidR="000835D9" w:rsidRPr="00E80966" w:rsidRDefault="000835D9" w:rsidP="000835D9">
      <w:pPr>
        <w:pStyle w:val="NormalAutoChapter"/>
      </w:pPr>
      <w:r w:rsidRPr="00B67B72">
        <w:rPr>
          <w:color w:val="auto"/>
        </w:rPr>
        <w:t xml:space="preserve">In 1999, the </w:t>
      </w:r>
      <w:r>
        <w:rPr>
          <w:color w:val="auto"/>
        </w:rPr>
        <w:t>NSWLRC</w:t>
      </w:r>
      <w:r w:rsidRPr="00B67B72">
        <w:rPr>
          <w:color w:val="auto"/>
        </w:rPr>
        <w:t xml:space="preserve"> recommended protecting volunteers, trainees and unpaid workers</w:t>
      </w:r>
      <w:r>
        <w:rPr>
          <w:color w:val="auto"/>
        </w:rPr>
        <w:t xml:space="preserve"> against discrimination</w:t>
      </w:r>
      <w:r w:rsidRPr="00B67B72">
        <w:rPr>
          <w:color w:val="auto"/>
        </w:rPr>
        <w:t>.</w:t>
      </w:r>
      <w:r w:rsidRPr="001D38E6">
        <w:rPr>
          <w:rStyle w:val="FootnoteReference"/>
          <w:color w:val="auto"/>
        </w:rPr>
        <w:footnoteReference w:id="408"/>
      </w:r>
      <w:r>
        <w:rPr>
          <w:color w:val="auto"/>
        </w:rPr>
        <w:t xml:space="preserve"> More recent</w:t>
      </w:r>
      <w:r w:rsidRPr="00B67B72">
        <w:rPr>
          <w:color w:val="auto"/>
        </w:rPr>
        <w:t xml:space="preserve"> discrimination law reviews </w:t>
      </w:r>
      <w:r>
        <w:rPr>
          <w:color w:val="auto"/>
        </w:rPr>
        <w:t xml:space="preserve">made similar </w:t>
      </w:r>
      <w:r w:rsidRPr="00B67B72">
        <w:rPr>
          <w:color w:val="auto"/>
        </w:rPr>
        <w:t>recommend</w:t>
      </w:r>
      <w:r>
        <w:rPr>
          <w:color w:val="auto"/>
        </w:rPr>
        <w:t xml:space="preserve">ations, including because excluding unpaid work may </w:t>
      </w:r>
      <w:r w:rsidRPr="00E80966">
        <w:t>discourage volunteering, and</w:t>
      </w:r>
      <w:r>
        <w:t xml:space="preserve"> these roles </w:t>
      </w:r>
      <w:r w:rsidRPr="00E80966">
        <w:t>can be important for young people.</w:t>
      </w:r>
      <w:r w:rsidRPr="00E80966">
        <w:rPr>
          <w:rStyle w:val="FootnoteReference"/>
        </w:rPr>
        <w:footnoteReference w:id="409"/>
      </w:r>
    </w:p>
    <w:p w14:paraId="67567D02" w14:textId="77777777" w:rsidR="000835D9" w:rsidRPr="001D38E6" w:rsidRDefault="000835D9" w:rsidP="000835D9">
      <w:pPr>
        <w:pStyle w:val="NormalAutoChapter"/>
      </w:pPr>
      <w:r w:rsidRPr="004E4951">
        <w:rPr>
          <w:color w:val="auto"/>
        </w:rPr>
        <w:t>Some other discrimination laws in Australia clearly protect volunteers.</w:t>
      </w:r>
      <w:r w:rsidRPr="001D38E6">
        <w:rPr>
          <w:rStyle w:val="FootnoteReference"/>
          <w:color w:val="auto"/>
        </w:rPr>
        <w:footnoteReference w:id="410"/>
      </w:r>
      <w:r w:rsidRPr="004E4951">
        <w:rPr>
          <w:color w:val="auto"/>
        </w:rPr>
        <w:t xml:space="preserve"> In Queensland, for instance, the definition of “work” includes voluntary or unpaid work, </w:t>
      </w:r>
      <w:r w:rsidRPr="001D38E6">
        <w:t>work experience</w:t>
      </w:r>
      <w:r>
        <w:t xml:space="preserve">, vocational placement, </w:t>
      </w:r>
      <w:r w:rsidRPr="001D38E6">
        <w:t>and</w:t>
      </w:r>
      <w:r>
        <w:t xml:space="preserve"> </w:t>
      </w:r>
      <w:r w:rsidRPr="001D38E6">
        <w:t>apprenticeship</w:t>
      </w:r>
      <w:r>
        <w:t>s</w:t>
      </w:r>
      <w:r w:rsidRPr="001D38E6">
        <w:t>.</w:t>
      </w:r>
      <w:r w:rsidRPr="001D38E6">
        <w:rPr>
          <w:rStyle w:val="FootnoteReference"/>
        </w:rPr>
        <w:footnoteReference w:id="411"/>
      </w:r>
    </w:p>
    <w:p w14:paraId="7C06A717" w14:textId="77777777" w:rsidR="000835D9" w:rsidRDefault="000835D9" w:rsidP="000835D9">
      <w:pPr>
        <w:pStyle w:val="Heading3"/>
      </w:pPr>
      <w:r>
        <w:t>G</w:t>
      </w:r>
      <w:r w:rsidRPr="00E80966">
        <w:t>ig economy workers</w:t>
      </w:r>
    </w:p>
    <w:p w14:paraId="264516BE" w14:textId="77777777" w:rsidR="000835D9" w:rsidRDefault="000835D9" w:rsidP="000835D9">
      <w:pPr>
        <w:pStyle w:val="NormalAutoChapter"/>
      </w:pPr>
      <w:r>
        <w:t>Another potential gap relates to gig economy workers. In this type of work, mobile apps and websites connect people providing services with consumers.</w:t>
      </w:r>
      <w:r w:rsidRPr="001D38E6">
        <w:rPr>
          <w:rStyle w:val="FootnoteReference"/>
          <w:lang w:eastAsia="en-US"/>
        </w:rPr>
        <w:footnoteReference w:id="412"/>
      </w:r>
      <w:r>
        <w:t xml:space="preserve"> </w:t>
      </w:r>
    </w:p>
    <w:p w14:paraId="43863464" w14:textId="77777777" w:rsidR="000835D9" w:rsidRDefault="000835D9" w:rsidP="000835D9">
      <w:pPr>
        <w:pStyle w:val="NormalAutoChapter"/>
      </w:pPr>
      <w:r>
        <w:t>G</w:t>
      </w:r>
      <w:r>
        <w:rPr>
          <w:lang w:eastAsia="en-US"/>
        </w:rPr>
        <w:t xml:space="preserve">ig economy workers could be covered under the ADA in some situations. For example, in some cases they may be regarded as “contract workers”. Under the ADA, contract workers perform work for an employer or, if there is no contract of </w:t>
      </w:r>
      <w:r>
        <w:rPr>
          <w:lang w:eastAsia="en-US"/>
        </w:rPr>
        <w:lastRenderedPageBreak/>
        <w:t>employment, a “principal”.</w:t>
      </w:r>
      <w:r>
        <w:rPr>
          <w:rStyle w:val="FootnoteReference"/>
          <w:lang w:eastAsia="en-US"/>
        </w:rPr>
        <w:footnoteReference w:id="413"/>
      </w:r>
      <w:r>
        <w:rPr>
          <w:lang w:eastAsia="en-US"/>
        </w:rPr>
        <w:t xml:space="preserve"> It is unlawful for an employer to discriminate against an employee, and for a principal to discriminate against a contract worker. </w:t>
      </w:r>
    </w:p>
    <w:p w14:paraId="0E94B11B" w14:textId="77777777" w:rsidR="000835D9" w:rsidRDefault="000835D9" w:rsidP="000835D9">
      <w:pPr>
        <w:pStyle w:val="NormalAutoChapter"/>
      </w:pPr>
      <w:r>
        <w:rPr>
          <w:lang w:eastAsia="en-US"/>
        </w:rPr>
        <w:t xml:space="preserve">But it is not always clear who the employer or principal is when it comes to the gig economy. For example, an online platform could argue that a gig economy worker is not performing work for them, but for the consumer using the platform. If this is the case, the worker would not be able to complain or seek a remedy from the online platform for discrimination occurring on its platform. </w:t>
      </w:r>
    </w:p>
    <w:p w14:paraId="795B04F0" w14:textId="77777777" w:rsidR="000835D9" w:rsidRDefault="000835D9" w:rsidP="000835D9">
      <w:pPr>
        <w:pStyle w:val="Heading3"/>
      </w:pPr>
      <w:r>
        <w:t>A possible broader approach to discrimination at work</w:t>
      </w:r>
    </w:p>
    <w:p w14:paraId="33D96ADE" w14:textId="77777777" w:rsidR="000835D9" w:rsidRDefault="000835D9" w:rsidP="000835D9">
      <w:pPr>
        <w:pStyle w:val="NormalAutoChapter"/>
      </w:pPr>
      <w:r>
        <w:t xml:space="preserve">Some think we need to reconsider who is held responsible for discrimination in work contexts. Currently, like other Australian discrimination laws, the ADA covers situations where a person with authority at work discriminates against someone without that authority. However, some say the focus should be on </w:t>
      </w:r>
      <w:r>
        <w:rPr>
          <w:lang w:eastAsia="en-US"/>
        </w:rPr>
        <w:t>how and whether someone has been discriminated against at work. It should not focus on whether they have a particular relationship with the person who discriminated against them.</w:t>
      </w:r>
      <w:r>
        <w:rPr>
          <w:rStyle w:val="FootnoteReference"/>
          <w:lang w:eastAsia="en-US"/>
        </w:rPr>
        <w:footnoteReference w:id="414"/>
      </w:r>
    </w:p>
    <w:p w14:paraId="36E58DE8" w14:textId="77777777" w:rsidR="000835D9" w:rsidRDefault="000835D9" w:rsidP="000835D9">
      <w:pPr>
        <w:pStyle w:val="NormalAutoChapter"/>
      </w:pPr>
      <w:r>
        <w:t xml:space="preserve">For </w:t>
      </w:r>
      <w:r w:rsidRPr="007B30B7">
        <w:rPr>
          <w:szCs w:val="22"/>
        </w:rPr>
        <w:t xml:space="preserve">example, the </w:t>
      </w:r>
      <w:r w:rsidRPr="007B30B7">
        <w:rPr>
          <w:i/>
          <w:iCs/>
          <w:szCs w:val="22"/>
        </w:rPr>
        <w:t>Sex Discrimination Act 1984</w:t>
      </w:r>
      <w:r w:rsidRPr="007B30B7">
        <w:rPr>
          <w:szCs w:val="22"/>
        </w:rPr>
        <w:t xml:space="preserve"> (Cth) (</w:t>
      </w:r>
      <w:r w:rsidRPr="007B30B7">
        <w:rPr>
          <w:i/>
          <w:iCs/>
          <w:szCs w:val="22"/>
        </w:rPr>
        <w:t>Sex Discrimination Act</w:t>
      </w:r>
      <w:r w:rsidRPr="007B30B7">
        <w:rPr>
          <w:szCs w:val="22"/>
        </w:rPr>
        <w:t>) prohibits sexual harassment by any person if it is in connection with either the complainant’s or respondent’s status at work.</w:t>
      </w:r>
      <w:r w:rsidRPr="007B30B7">
        <w:rPr>
          <w:rStyle w:val="FootnoteReference"/>
          <w:sz w:val="22"/>
          <w:szCs w:val="22"/>
        </w:rPr>
        <w:footnoteReference w:id="415"/>
      </w:r>
      <w:r>
        <w:t xml:space="preserve"> </w:t>
      </w:r>
    </w:p>
    <w:p w14:paraId="1F81CD28" w14:textId="77777777" w:rsidR="000835D9" w:rsidRDefault="000835D9" w:rsidP="000835D9">
      <w:pPr>
        <w:pStyle w:val="NormalAutoChapter"/>
      </w:pPr>
      <w:r>
        <w:rPr>
          <w:lang w:eastAsia="en-US"/>
        </w:rPr>
        <w:t xml:space="preserve">There may be benefits to applying this approach to discrimination as well, including that it could be simpler for complainants. This is because it would not require them to establish a specific work relationship with the person who discriminated against them. It </w:t>
      </w:r>
      <w:r>
        <w:t>might</w:t>
      </w:r>
      <w:r>
        <w:rPr>
          <w:lang w:eastAsia="en-US"/>
        </w:rPr>
        <w:t xml:space="preserve"> also capture more instances of discrimination, like where </w:t>
      </w:r>
      <w:r>
        <w:t>a customer, patient or visitor to a business discriminates against staff.</w:t>
      </w:r>
      <w:r>
        <w:rPr>
          <w:rStyle w:val="FootnoteReference"/>
        </w:rPr>
        <w:footnoteReference w:id="416"/>
      </w:r>
      <w:r>
        <w:rPr>
          <w:lang w:eastAsia="en-US"/>
        </w:rPr>
        <w:t xml:space="preserve"> </w:t>
      </w:r>
    </w:p>
    <w:p w14:paraId="51A84322" w14:textId="77777777" w:rsidR="000835D9" w:rsidRDefault="000835D9" w:rsidP="000835D9">
      <w:pPr>
        <w:pStyle w:val="NormalAutoChapter"/>
      </w:pPr>
      <w:r>
        <w:t>Any change to this area needs to be considered carefully, as it could make more people responsible for discrimination. For example, an employee could be found to have unlawfully discriminated against a colleague, or their employer. Other issues include whether this would overlap with other forms of unlawful conduct, including vilification and harassment.</w:t>
      </w:r>
    </w:p>
    <w:p w14:paraId="3F2453C1" w14:textId="77777777" w:rsidR="000835D9" w:rsidRDefault="000835D9" w:rsidP="000835D9">
      <w:pPr>
        <w:pStyle w:val="Heading3"/>
        <w:rPr>
          <w:lang w:eastAsia="en-AU"/>
        </w:rPr>
      </w:pPr>
      <w:r>
        <w:lastRenderedPageBreak/>
        <w:t xml:space="preserve">Local government and age discrimination </w:t>
      </w:r>
    </w:p>
    <w:p w14:paraId="6FADFC3C" w14:textId="77777777" w:rsidR="000835D9" w:rsidRDefault="000835D9" w:rsidP="000835D9">
      <w:pPr>
        <w:pStyle w:val="NormalAutoChapter"/>
      </w:pPr>
      <w:r>
        <w:rPr>
          <w:lang w:eastAsia="en-US"/>
        </w:rPr>
        <w:t>The</w:t>
      </w:r>
      <w:r w:rsidRPr="009D0F71">
        <w:rPr>
          <w:lang w:eastAsia="en-US"/>
        </w:rPr>
        <w:t xml:space="preserve"> </w:t>
      </w:r>
      <w:r w:rsidRPr="00C10721">
        <w:t>ADA</w:t>
      </w:r>
      <w:r w:rsidRPr="009D0F71">
        <w:t xml:space="preserve"> </w:t>
      </w:r>
      <w:r>
        <w:t>prohibits discrimination by local government members against fellow members while performing official functions.</w:t>
      </w:r>
      <w:r>
        <w:rPr>
          <w:rStyle w:val="FootnoteReference"/>
        </w:rPr>
        <w:footnoteReference w:id="417"/>
      </w:r>
      <w:r>
        <w:t xml:space="preserve"> This was introduced to protect local government members who perform unpaid work in their official capacity.</w:t>
      </w:r>
      <w:r>
        <w:rPr>
          <w:rStyle w:val="FootnoteReference"/>
        </w:rPr>
        <w:footnoteReference w:id="418"/>
      </w:r>
      <w:r>
        <w:t xml:space="preserve"> </w:t>
      </w:r>
    </w:p>
    <w:p w14:paraId="00B283EF" w14:textId="77777777" w:rsidR="000835D9" w:rsidRDefault="000835D9" w:rsidP="000835D9">
      <w:pPr>
        <w:pStyle w:val="NormalAutoChapter"/>
      </w:pPr>
      <w:r>
        <w:t xml:space="preserve">It applies to all attributes, except age. It is unclear why age discrimination was excluded from this protection. It could be time to revisit this exclusion.   </w:t>
      </w:r>
    </w:p>
    <w:p w14:paraId="5B7C1E4C" w14:textId="77777777" w:rsidR="000835D9" w:rsidRPr="00452827" w:rsidRDefault="000835D9" w:rsidP="000835D9">
      <w:pPr>
        <w:pStyle w:val="Recommendationheading"/>
      </w:pPr>
      <w:r w:rsidRPr="00452827">
        <w:t>Question 6.1: Discrimination at work</w:t>
      </w:r>
      <w:r>
        <w:t xml:space="preserve"> — </w:t>
      </w:r>
      <w:r w:rsidRPr="00452827">
        <w:t>coverage</w:t>
      </w:r>
    </w:p>
    <w:p w14:paraId="43A32579" w14:textId="77777777" w:rsidR="000835D9" w:rsidRPr="00785DC7" w:rsidRDefault="000835D9" w:rsidP="001B1F3A">
      <w:pPr>
        <w:pStyle w:val="Recommendationhanging1"/>
        <w:numPr>
          <w:ilvl w:val="0"/>
          <w:numId w:val="24"/>
        </w:numPr>
      </w:pPr>
      <w:r w:rsidRPr="00785DC7">
        <w:t>Should the definition of employment include voluntary workers? Why or why not?</w:t>
      </w:r>
    </w:p>
    <w:p w14:paraId="64E16C6B" w14:textId="77777777" w:rsidR="000835D9" w:rsidRDefault="000835D9" w:rsidP="001B1F3A">
      <w:pPr>
        <w:pStyle w:val="Recommendationhanging1"/>
        <w:numPr>
          <w:ilvl w:val="0"/>
          <w:numId w:val="24"/>
        </w:numPr>
      </w:pPr>
      <w:r w:rsidRPr="00785DC7">
        <w:t xml:space="preserve">Should the ADA adopt a broader approach to discrimination in work, like the way the </w:t>
      </w:r>
      <w:r w:rsidRPr="00A37071">
        <w:rPr>
          <w:i/>
          <w:iCs/>
        </w:rPr>
        <w:t>Sex Discrimination Act</w:t>
      </w:r>
      <w:r>
        <w:rPr>
          <w:i/>
          <w:iCs/>
        </w:rPr>
        <w:t xml:space="preserve"> 1984 </w:t>
      </w:r>
      <w:r w:rsidRPr="00A37071">
        <w:t xml:space="preserve">(Cth) </w:t>
      </w:r>
      <w:r w:rsidRPr="00785DC7">
        <w:t>approaches harassment? Why or why not?</w:t>
      </w:r>
    </w:p>
    <w:p w14:paraId="3709406E" w14:textId="77777777" w:rsidR="000835D9" w:rsidRPr="00452827" w:rsidRDefault="000835D9" w:rsidP="001B1F3A">
      <w:pPr>
        <w:pStyle w:val="Recommendationnormal"/>
        <w:numPr>
          <w:ilvl w:val="0"/>
          <w:numId w:val="24"/>
        </w:numPr>
      </w:pPr>
      <w:r w:rsidRPr="00452827">
        <w:t>Should local government members be protected from age discrimination while performing work in their official capacity? Why or why not?</w:t>
      </w:r>
    </w:p>
    <w:p w14:paraId="78F98397" w14:textId="77777777" w:rsidR="000835D9" w:rsidRDefault="000835D9" w:rsidP="000835D9">
      <w:pPr>
        <w:pStyle w:val="Heading2"/>
      </w:pPr>
      <w:bookmarkStart w:id="229" w:name="_Toc183355390"/>
      <w:bookmarkStart w:id="230" w:name="_Toc188363185"/>
      <w:bookmarkStart w:id="231" w:name="_Toc196748340"/>
      <w:bookmarkStart w:id="232" w:name="_Toc196826873"/>
      <w:r w:rsidRPr="006353BB">
        <w:t>Exceptions</w:t>
      </w:r>
      <w:r>
        <w:t xml:space="preserve"> to discrimination in work</w:t>
      </w:r>
      <w:bookmarkEnd w:id="229"/>
      <w:bookmarkEnd w:id="230"/>
      <w:bookmarkEnd w:id="231"/>
      <w:bookmarkEnd w:id="232"/>
    </w:p>
    <w:p w14:paraId="173A2A93" w14:textId="77777777" w:rsidR="000835D9" w:rsidRDefault="000835D9" w:rsidP="000835D9">
      <w:pPr>
        <w:pStyle w:val="NormalAutoChapter"/>
      </w:pPr>
      <w:r>
        <w:t xml:space="preserve">The ADA has many exceptions to its discrimination protections. We consider the exceptions specific to the area of work, below. Other, wider exceptions apply to this area too (as we discuss in </w:t>
      </w:r>
      <w:r w:rsidRPr="005A3EBE">
        <w:t>chapter 7).</w:t>
      </w:r>
    </w:p>
    <w:p w14:paraId="2D80007A" w14:textId="77777777" w:rsidR="000835D9" w:rsidRDefault="000835D9" w:rsidP="000835D9">
      <w:pPr>
        <w:pStyle w:val="Heading3"/>
      </w:pPr>
      <w:r>
        <w:t xml:space="preserve">Employment for private household purposes </w:t>
      </w:r>
    </w:p>
    <w:p w14:paraId="229F0F34" w14:textId="77777777" w:rsidR="000835D9" w:rsidRDefault="000835D9" w:rsidP="000835D9">
      <w:pPr>
        <w:pStyle w:val="NormalAutoChapter"/>
      </w:pPr>
      <w:r>
        <w:t>The protections against discrimination for applicants and employees do not apply to employment for a private household.</w:t>
      </w:r>
      <w:r w:rsidRPr="009C695A">
        <w:rPr>
          <w:rStyle w:val="FootnoteReference"/>
        </w:rPr>
        <w:footnoteReference w:id="419"/>
      </w:r>
      <w:r>
        <w:t xml:space="preserve"> Most other discrimination laws in Australia contain a similar exception.</w:t>
      </w:r>
      <w:r>
        <w:rPr>
          <w:rStyle w:val="FootnoteReference"/>
        </w:rPr>
        <w:footnoteReference w:id="420"/>
      </w:r>
    </w:p>
    <w:p w14:paraId="4B171149" w14:textId="77777777" w:rsidR="000835D9" w:rsidRDefault="000835D9" w:rsidP="000835D9">
      <w:pPr>
        <w:pStyle w:val="NormalAutoChapter"/>
      </w:pPr>
      <w:r>
        <w:t>The NSWLRC did not recommend significant changes to this in 1999. It said the purpose of the exception was to protect privacy, and discrimination law should not intrude into someone’s decision about who enters their home. It also thought the exception would not have a widespread impact due to the low number of people employed in private households.</w:t>
      </w:r>
      <w:r>
        <w:rPr>
          <w:rStyle w:val="FootnoteReference"/>
        </w:rPr>
        <w:footnoteReference w:id="421"/>
      </w:r>
      <w:r>
        <w:t xml:space="preserve"> </w:t>
      </w:r>
    </w:p>
    <w:p w14:paraId="4EFEFDBA" w14:textId="77777777" w:rsidR="000835D9" w:rsidRDefault="000835D9" w:rsidP="000835D9">
      <w:pPr>
        <w:pStyle w:val="NormalAutoChapter"/>
      </w:pPr>
      <w:r>
        <w:lastRenderedPageBreak/>
        <w:t>However, the NSWLRC recommended that the exception only apply to w</w:t>
      </w:r>
      <w:r w:rsidRPr="00C566FE">
        <w:t xml:space="preserve">ork in a dwelling occupied by the employer or </w:t>
      </w:r>
      <w:r>
        <w:t>their</w:t>
      </w:r>
      <w:r w:rsidRPr="00C566FE">
        <w:t xml:space="preserve"> relative</w:t>
      </w:r>
      <w:r>
        <w:t>. It said the expression “employment for the purposes of a private household” was unclear and could lead to the exception being applied widely. For instance, it could allow discrimination by employment agencies that provide private household workers.</w:t>
      </w:r>
      <w:r>
        <w:rPr>
          <w:rStyle w:val="FootnoteReference"/>
        </w:rPr>
        <w:footnoteReference w:id="422"/>
      </w:r>
    </w:p>
    <w:p w14:paraId="2758AB1A" w14:textId="77777777" w:rsidR="000835D9" w:rsidRDefault="000835D9" w:rsidP="000835D9">
      <w:pPr>
        <w:pStyle w:val="NormalAutoChapter"/>
      </w:pPr>
      <w:r>
        <w:t>The Australian Human Rights Commission (AHRC) has raised concerns about similar exceptions in federal discrimination laws. It suggested these exceptions could be limited to the selection of the worker and not to treatment that occurs during employment.</w:t>
      </w:r>
      <w:r>
        <w:rPr>
          <w:rStyle w:val="FootnoteReference"/>
        </w:rPr>
        <w:footnoteReference w:id="423"/>
      </w:r>
    </w:p>
    <w:p w14:paraId="0FA8D8D1" w14:textId="77777777" w:rsidR="000835D9" w:rsidRPr="006353BB" w:rsidRDefault="000835D9" w:rsidP="000835D9">
      <w:pPr>
        <w:pStyle w:val="Heading3"/>
      </w:pPr>
      <w:r>
        <w:t>Employment by small businesses</w:t>
      </w:r>
    </w:p>
    <w:p w14:paraId="5B9291A1" w14:textId="77777777" w:rsidR="000835D9" w:rsidRDefault="000835D9" w:rsidP="000835D9">
      <w:pPr>
        <w:pStyle w:val="NormalAutoChapter"/>
      </w:pPr>
      <w:r w:rsidRPr="00873F79">
        <w:rPr>
          <w:color w:val="auto"/>
          <w:lang w:eastAsia="en-US"/>
        </w:rPr>
        <w:t>Another exception applies to employers with five or less employees.</w:t>
      </w:r>
      <w:r>
        <w:rPr>
          <w:color w:val="auto"/>
          <w:lang w:eastAsia="en-US"/>
        </w:rPr>
        <w:t xml:space="preserve"> </w:t>
      </w:r>
      <w:r w:rsidRPr="00873F79">
        <w:rPr>
          <w:color w:val="auto"/>
          <w:lang w:eastAsia="en-US"/>
        </w:rPr>
        <w:t>This covers all protected attributes except for race and age.</w:t>
      </w:r>
      <w:r w:rsidRPr="002D083E">
        <w:rPr>
          <w:rStyle w:val="FootnoteReference"/>
        </w:rPr>
        <w:footnoteReference w:id="424"/>
      </w:r>
      <w:r w:rsidRPr="00873F79">
        <w:rPr>
          <w:color w:val="auto"/>
          <w:lang w:eastAsia="en-US"/>
        </w:rPr>
        <w:t xml:space="preserve"> </w:t>
      </w:r>
      <w:r>
        <w:t>In 1999, the NSWLRC recommended removing this exception. It said small businesses provide significant employment opportunities, which should be available to everyone. In the NSWLRC’s view removing the exception would not intrude on personal relationships significantly.</w:t>
      </w:r>
      <w:r>
        <w:rPr>
          <w:rStyle w:val="FootnoteReference"/>
        </w:rPr>
        <w:footnoteReference w:id="425"/>
      </w:r>
      <w:r>
        <w:t xml:space="preserve"> </w:t>
      </w:r>
    </w:p>
    <w:p w14:paraId="20E9C72D" w14:textId="77777777" w:rsidR="000835D9" w:rsidRDefault="000835D9" w:rsidP="000835D9">
      <w:pPr>
        <w:pStyle w:val="Heading3"/>
      </w:pPr>
      <w:r>
        <w:t xml:space="preserve">Discrimination by small partnerships </w:t>
      </w:r>
    </w:p>
    <w:p w14:paraId="438ABC39" w14:textId="77777777" w:rsidR="000835D9" w:rsidRDefault="000835D9" w:rsidP="000835D9">
      <w:pPr>
        <w:pStyle w:val="NormalAutoChapter"/>
        <w:rPr>
          <w:lang w:eastAsia="en-US"/>
        </w:rPr>
      </w:pPr>
      <w:r>
        <w:rPr>
          <w:lang w:eastAsia="en-US"/>
        </w:rPr>
        <w:t>The prohibitions against discrimination by partnerships only apply to firms of six or more partners.</w:t>
      </w:r>
      <w:r>
        <w:rPr>
          <w:rStyle w:val="FootnoteReference"/>
          <w:lang w:eastAsia="en-US"/>
        </w:rPr>
        <w:footnoteReference w:id="426"/>
      </w:r>
      <w:r>
        <w:rPr>
          <w:lang w:eastAsia="en-US"/>
        </w:rPr>
        <w:t xml:space="preserve"> </w:t>
      </w:r>
      <w:r>
        <w:t>Many other discrimination laws in Australia have a similar exception.</w:t>
      </w:r>
      <w:r>
        <w:rPr>
          <w:rStyle w:val="FootnoteReference"/>
        </w:rPr>
        <w:footnoteReference w:id="427"/>
      </w:r>
      <w:r>
        <w:t xml:space="preserve"> </w:t>
      </w:r>
    </w:p>
    <w:p w14:paraId="3C63BD5C" w14:textId="77777777" w:rsidR="000835D9" w:rsidRDefault="000835D9" w:rsidP="000835D9">
      <w:pPr>
        <w:pStyle w:val="NormalAutoChapter"/>
      </w:pPr>
      <w:r>
        <w:t>The NSWLRC recommended removing this exception. It said small partnerships were like small businesses, so the same considerations applied.</w:t>
      </w:r>
      <w:r>
        <w:rPr>
          <w:rStyle w:val="FootnoteReference"/>
        </w:rPr>
        <w:footnoteReference w:id="428"/>
      </w:r>
    </w:p>
    <w:p w14:paraId="5964466A" w14:textId="77777777" w:rsidR="000835D9" w:rsidRDefault="000835D9" w:rsidP="000835D9">
      <w:pPr>
        <w:pStyle w:val="Heading3"/>
      </w:pPr>
      <w:r>
        <w:t xml:space="preserve">Persons addicted to prohibited drugs: disability discrimination </w:t>
      </w:r>
    </w:p>
    <w:p w14:paraId="76EE4219" w14:textId="77777777" w:rsidR="000835D9" w:rsidRDefault="000835D9" w:rsidP="000835D9">
      <w:pPr>
        <w:pStyle w:val="NormalAutoChapter"/>
        <w:rPr>
          <w:lang w:eastAsia="en-US"/>
        </w:rPr>
      </w:pPr>
      <w:r>
        <w:rPr>
          <w:lang w:eastAsia="en-US"/>
        </w:rPr>
        <w:t>The protections against disability discrimination do not apply if:</w:t>
      </w:r>
    </w:p>
    <w:p w14:paraId="2D6AA102" w14:textId="77777777" w:rsidR="000835D9" w:rsidRDefault="000835D9" w:rsidP="000835D9">
      <w:pPr>
        <w:pStyle w:val="Normalbullet"/>
      </w:pPr>
      <w:r>
        <w:t>the disability relates to addiction to a prohibited drug, and</w:t>
      </w:r>
    </w:p>
    <w:p w14:paraId="6EAFA12A" w14:textId="77777777" w:rsidR="000835D9" w:rsidRDefault="000835D9" w:rsidP="000835D9">
      <w:pPr>
        <w:pStyle w:val="Normalbullet"/>
      </w:pPr>
      <w:r>
        <w:lastRenderedPageBreak/>
        <w:t xml:space="preserve">the person who is being discriminated against is addicted to a prohibited drug at that time. </w:t>
      </w:r>
    </w:p>
    <w:p w14:paraId="62C6C77C" w14:textId="77777777" w:rsidR="000835D9" w:rsidRDefault="000835D9" w:rsidP="000835D9">
      <w:pPr>
        <w:pStyle w:val="NormalAutoChapter"/>
        <w:numPr>
          <w:ilvl w:val="0"/>
          <w:numId w:val="0"/>
        </w:numPr>
        <w:ind w:left="720"/>
      </w:pPr>
      <w:r>
        <w:t>This applies to all subcategories of work except for local government councillors, industrial organisations and qualifying bodies.</w:t>
      </w:r>
      <w:r>
        <w:rPr>
          <w:rStyle w:val="FootnoteReference"/>
        </w:rPr>
        <w:footnoteReference w:id="429"/>
      </w:r>
      <w:r>
        <w:t xml:space="preserve"> </w:t>
      </w:r>
    </w:p>
    <w:p w14:paraId="7EDFCA5E" w14:textId="77777777" w:rsidR="000835D9" w:rsidRDefault="000835D9" w:rsidP="000835D9">
      <w:pPr>
        <w:pStyle w:val="NormalAutoChapter"/>
        <w:rPr>
          <w:lang w:eastAsia="en-US"/>
        </w:rPr>
      </w:pPr>
      <w:r>
        <w:t xml:space="preserve">It could be argued that this exception: </w:t>
      </w:r>
    </w:p>
    <w:p w14:paraId="6A636EAF" w14:textId="77777777" w:rsidR="000835D9" w:rsidRDefault="000835D9" w:rsidP="000835D9">
      <w:pPr>
        <w:pStyle w:val="Normalbullet"/>
      </w:pPr>
      <w:r>
        <w:t>discourages people from accessing harm reduction and treatment services, and</w:t>
      </w:r>
    </w:p>
    <w:p w14:paraId="039A1734" w14:textId="77777777" w:rsidR="000835D9" w:rsidRDefault="000835D9" w:rsidP="000835D9">
      <w:pPr>
        <w:pStyle w:val="Normalbullet"/>
      </w:pPr>
      <w:r>
        <w:t xml:space="preserve">allows discrimination based on addiction, rather than encouraging decisions to be made based on whether someone </w:t>
      </w:r>
      <w:proofErr w:type="gramStart"/>
      <w:r>
        <w:t>is able to</w:t>
      </w:r>
      <w:proofErr w:type="gramEnd"/>
      <w:r>
        <w:t xml:space="preserve"> perform the job requirements.</w:t>
      </w:r>
    </w:p>
    <w:p w14:paraId="4978E162" w14:textId="77777777" w:rsidR="000835D9" w:rsidRDefault="000835D9" w:rsidP="000835D9">
      <w:pPr>
        <w:pStyle w:val="NormalAutoChapter"/>
        <w:rPr>
          <w:lang w:eastAsia="en-US"/>
        </w:rPr>
      </w:pPr>
      <w:r>
        <w:rPr>
          <w:lang w:eastAsia="en-US"/>
        </w:rPr>
        <w:t>An option could be to address concerns about work suitability or performance through the inherent requirements exceptions, which we discuss next.</w:t>
      </w:r>
    </w:p>
    <w:p w14:paraId="3D6B4EFC" w14:textId="77777777" w:rsidR="000835D9" w:rsidRDefault="000835D9" w:rsidP="000835D9">
      <w:pPr>
        <w:pStyle w:val="Heading3"/>
      </w:pPr>
      <w:r>
        <w:t xml:space="preserve">The “inherent requirements” and “unjustifiable hardships” exceptions </w:t>
      </w:r>
    </w:p>
    <w:p w14:paraId="58C1DFFA" w14:textId="77777777" w:rsidR="000835D9" w:rsidRDefault="000835D9" w:rsidP="000835D9">
      <w:pPr>
        <w:pStyle w:val="NormalAutoChapter"/>
        <w:spacing w:after="240"/>
      </w:pPr>
      <w:r>
        <w:t xml:space="preserve">The ADA allows some duty holders to discriminate against someone who is unable to carry out the “inherent requirements” of the role. This only applies to discrimination based on disability and carer’s responsibilities. </w:t>
      </w:r>
    </w:p>
    <w:p w14:paraId="20BA7022" w14:textId="77777777" w:rsidR="000835D9" w:rsidRDefault="000835D9" w:rsidP="000835D9">
      <w:pPr>
        <w:pStyle w:val="NormalAutoChapter"/>
        <w:spacing w:after="240"/>
      </w:pPr>
      <w:r>
        <w:t>This also applies if someone:</w:t>
      </w:r>
    </w:p>
    <w:p w14:paraId="2B6C9AED" w14:textId="77777777" w:rsidR="000835D9" w:rsidRDefault="000835D9" w:rsidP="000835D9">
      <w:pPr>
        <w:pStyle w:val="Normalbullet"/>
      </w:pPr>
      <w:r>
        <w:t xml:space="preserve">requires services, facilities or arrangements to carry out those inherent requirements, which people without that attribute do not require, and </w:t>
      </w:r>
    </w:p>
    <w:p w14:paraId="00803005" w14:textId="77777777" w:rsidR="000835D9" w:rsidRDefault="000835D9" w:rsidP="000835D9">
      <w:pPr>
        <w:pStyle w:val="Normalbullet"/>
      </w:pPr>
      <w:r>
        <w:t xml:space="preserve">it would cause the duty holder “unjustifiable hardship” to provide them. </w:t>
      </w:r>
    </w:p>
    <w:p w14:paraId="50BEF2F4" w14:textId="77777777" w:rsidR="000835D9" w:rsidRDefault="000835D9" w:rsidP="000835D9">
      <w:pPr>
        <w:pStyle w:val="NormalAutoChapter"/>
      </w:pPr>
      <w:r>
        <w:t>A related exception applies to discrimination by industrial organisations in the provision of benefits. The ADA permits discrimination based on disability or carer’s responsibilities where someone:</w:t>
      </w:r>
    </w:p>
    <w:p w14:paraId="487B4AE4" w14:textId="77777777" w:rsidR="000835D9" w:rsidRDefault="000835D9" w:rsidP="000835D9">
      <w:pPr>
        <w:pStyle w:val="Normalbullet"/>
      </w:pPr>
      <w:r>
        <w:t>requires the benefit to be provided in a special manner, and</w:t>
      </w:r>
    </w:p>
    <w:p w14:paraId="3CF4E060" w14:textId="77777777" w:rsidR="000835D9" w:rsidRDefault="000835D9" w:rsidP="000835D9">
      <w:pPr>
        <w:pStyle w:val="Normalbullet"/>
      </w:pPr>
      <w:r>
        <w:t>the industrial organisation cannot provide it in this manner without “unjustifiable hardship”.</w:t>
      </w:r>
    </w:p>
    <w:p w14:paraId="19508AA9" w14:textId="77777777" w:rsidR="000835D9" w:rsidRDefault="000835D9" w:rsidP="000835D9">
      <w:pPr>
        <w:pStyle w:val="NormalAutoChapter"/>
        <w:spacing w:after="240"/>
      </w:pPr>
      <w:r>
        <w:t>One or more of these exceptions applies to the subcategories of “work” aside from discrimination of local government councillors.</w:t>
      </w:r>
      <w:r w:rsidRPr="003F5BF1">
        <w:rPr>
          <w:rStyle w:val="FootnoteReference"/>
        </w:rPr>
        <w:footnoteReference w:id="430"/>
      </w:r>
      <w:r>
        <w:t xml:space="preserve"> </w:t>
      </w:r>
    </w:p>
    <w:p w14:paraId="41E42952" w14:textId="77777777" w:rsidR="000835D9" w:rsidRDefault="000835D9" w:rsidP="000835D9">
      <w:pPr>
        <w:pStyle w:val="NormalAutoChapter"/>
      </w:pPr>
      <w:r>
        <w:t xml:space="preserve">Several factors must be considered to assess someone’s ability to carry out the inherent requirements of a role. These include: </w:t>
      </w:r>
    </w:p>
    <w:p w14:paraId="691203E8" w14:textId="77777777" w:rsidR="000835D9" w:rsidRDefault="000835D9" w:rsidP="000835D9">
      <w:pPr>
        <w:pStyle w:val="Normalbullet"/>
      </w:pPr>
      <w:r>
        <w:t>their past training, qualifications and experience relevant to the role</w:t>
      </w:r>
    </w:p>
    <w:p w14:paraId="732CC24E" w14:textId="77777777" w:rsidR="000835D9" w:rsidRDefault="000835D9" w:rsidP="000835D9">
      <w:pPr>
        <w:pStyle w:val="Normalbullet"/>
      </w:pPr>
      <w:r>
        <w:t xml:space="preserve">their performance (as relevant), and </w:t>
      </w:r>
    </w:p>
    <w:p w14:paraId="1727212D" w14:textId="77777777" w:rsidR="000835D9" w:rsidRDefault="000835D9" w:rsidP="000835D9">
      <w:pPr>
        <w:pStyle w:val="Normalbullet"/>
      </w:pPr>
      <w:r>
        <w:lastRenderedPageBreak/>
        <w:t xml:space="preserve">all other factors that are reasonable to </w:t>
      </w:r>
      <w:proofErr w:type="gramStart"/>
      <w:r>
        <w:t>take into account</w:t>
      </w:r>
      <w:proofErr w:type="gramEnd"/>
      <w:r>
        <w:t>.</w:t>
      </w:r>
      <w:r w:rsidRPr="00961226">
        <w:rPr>
          <w:rStyle w:val="FootnoteReference"/>
        </w:rPr>
        <w:footnoteReference w:id="431"/>
      </w:r>
    </w:p>
    <w:p w14:paraId="5330721F" w14:textId="77777777" w:rsidR="000835D9" w:rsidRDefault="000835D9" w:rsidP="000835D9">
      <w:pPr>
        <w:pStyle w:val="NormalAutoChapter"/>
      </w:pPr>
      <w:r>
        <w:t>All relevant circumstances are to be considered in working out if there would be unjustifiable hardship. These include:</w:t>
      </w:r>
    </w:p>
    <w:p w14:paraId="0496E0A3" w14:textId="77777777" w:rsidR="000835D9" w:rsidRDefault="000835D9" w:rsidP="000835D9">
      <w:pPr>
        <w:pStyle w:val="Normalbullet"/>
      </w:pPr>
      <w:r>
        <w:t xml:space="preserve">the nature of the likely benefit or detriment to anyone concerned </w:t>
      </w:r>
    </w:p>
    <w:p w14:paraId="2B348ABC" w14:textId="77777777" w:rsidR="000835D9" w:rsidRDefault="000835D9" w:rsidP="000835D9">
      <w:pPr>
        <w:pStyle w:val="Normalbullet"/>
      </w:pPr>
      <w:r>
        <w:t xml:space="preserve">the effect of the person’s disability or responsibilities as a </w:t>
      </w:r>
      <w:proofErr w:type="spellStart"/>
      <w:r>
        <w:t>carer</w:t>
      </w:r>
      <w:proofErr w:type="spellEnd"/>
      <w:r>
        <w:t>, and</w:t>
      </w:r>
    </w:p>
    <w:p w14:paraId="19BB06A5" w14:textId="77777777" w:rsidR="000835D9" w:rsidRPr="0059186C" w:rsidRDefault="000835D9" w:rsidP="000835D9">
      <w:pPr>
        <w:pStyle w:val="Normalbullet"/>
      </w:pPr>
      <w:r>
        <w:t>the financial circumstances of the duty holder and the amount of expenditure required.</w:t>
      </w:r>
      <w:r>
        <w:rPr>
          <w:rStyle w:val="FootnoteReference"/>
        </w:rPr>
        <w:footnoteReference w:id="432"/>
      </w:r>
    </w:p>
    <w:p w14:paraId="36FAB232" w14:textId="77777777" w:rsidR="000835D9" w:rsidRPr="00B02826" w:rsidRDefault="000835D9" w:rsidP="000835D9">
      <w:pPr>
        <w:pStyle w:val="NormalAutoChapter"/>
        <w:rPr>
          <w:lang w:eastAsia="en-US"/>
        </w:rPr>
      </w:pPr>
      <w:r>
        <w:rPr>
          <w:color w:val="auto"/>
        </w:rPr>
        <w:t xml:space="preserve">The </w:t>
      </w:r>
      <w:r w:rsidRPr="0059186C">
        <w:rPr>
          <w:i/>
          <w:iCs/>
          <w:color w:val="auto"/>
        </w:rPr>
        <w:t>Fair Work Act 2009</w:t>
      </w:r>
      <w:r>
        <w:rPr>
          <w:color w:val="auto"/>
        </w:rPr>
        <w:t xml:space="preserve"> (Cth) (</w:t>
      </w:r>
      <w:r w:rsidRPr="0038019A">
        <w:rPr>
          <w:i/>
          <w:iCs/>
          <w:color w:val="auto"/>
        </w:rPr>
        <w:t>Fair Work Act</w:t>
      </w:r>
      <w:r>
        <w:rPr>
          <w:color w:val="auto"/>
        </w:rPr>
        <w:t>) also contains an “</w:t>
      </w:r>
      <w:r w:rsidRPr="00C95712">
        <w:rPr>
          <w:color w:val="auto"/>
        </w:rPr>
        <w:t>inherent requirements</w:t>
      </w:r>
      <w:r>
        <w:rPr>
          <w:color w:val="auto"/>
        </w:rPr>
        <w:t>”</w:t>
      </w:r>
      <w:r w:rsidRPr="00C95712">
        <w:rPr>
          <w:color w:val="auto"/>
        </w:rPr>
        <w:t xml:space="preserve"> exception</w:t>
      </w:r>
      <w:r>
        <w:rPr>
          <w:color w:val="auto"/>
        </w:rPr>
        <w:t xml:space="preserve"> to its protections against adverse action and being terminated because of a protected attribute</w:t>
      </w:r>
      <w:r w:rsidRPr="00C95712">
        <w:rPr>
          <w:color w:val="auto"/>
        </w:rPr>
        <w:t>.</w:t>
      </w:r>
      <w:r>
        <w:rPr>
          <w:rStyle w:val="FootnoteReference"/>
          <w:color w:val="auto"/>
        </w:rPr>
        <w:footnoteReference w:id="433"/>
      </w:r>
    </w:p>
    <w:p w14:paraId="4A93023A" w14:textId="77777777" w:rsidR="000835D9" w:rsidRPr="00DC2628" w:rsidRDefault="000835D9" w:rsidP="000835D9">
      <w:pPr>
        <w:pStyle w:val="NormalAutoChapter"/>
      </w:pPr>
      <w:r>
        <w:rPr>
          <w:color w:val="auto"/>
        </w:rPr>
        <w:t xml:space="preserve">The Disability Royal Commission criticised the “inherent requirements” exception in the </w:t>
      </w:r>
      <w:r w:rsidRPr="002546F2">
        <w:rPr>
          <w:i/>
          <w:iCs/>
        </w:rPr>
        <w:t>Disability Discrimination Act 1992</w:t>
      </w:r>
      <w:r>
        <w:t xml:space="preserve"> (Cth) (</w:t>
      </w:r>
      <w:r w:rsidRPr="00D94099">
        <w:rPr>
          <w:i/>
          <w:iCs/>
          <w:color w:val="auto"/>
        </w:rPr>
        <w:t>Disability Discrimination A</w:t>
      </w:r>
      <w:r w:rsidRPr="00D94099">
        <w:rPr>
          <w:color w:val="auto"/>
        </w:rPr>
        <w:t>c</w:t>
      </w:r>
      <w:r>
        <w:rPr>
          <w:i/>
          <w:iCs/>
          <w:color w:val="auto"/>
        </w:rPr>
        <w:t>t</w:t>
      </w:r>
      <w:r>
        <w:rPr>
          <w:color w:val="auto"/>
        </w:rPr>
        <w:t xml:space="preserve">). The Royal Commission found the exception </w:t>
      </w:r>
      <w:r w:rsidRPr="00D827CD">
        <w:rPr>
          <w:color w:val="auto"/>
        </w:rPr>
        <w:t>does</w:t>
      </w:r>
      <w:r>
        <w:rPr>
          <w:color w:val="auto"/>
        </w:rPr>
        <w:t xml:space="preserve"> not </w:t>
      </w:r>
      <w:r w:rsidRPr="00D827CD">
        <w:rPr>
          <w:color w:val="auto"/>
        </w:rPr>
        <w:t>encourage employers to discuss adjustments</w:t>
      </w:r>
      <w:r>
        <w:rPr>
          <w:color w:val="auto"/>
        </w:rPr>
        <w:t>. Also, a</w:t>
      </w:r>
      <w:r w:rsidRPr="00D827CD">
        <w:rPr>
          <w:color w:val="auto"/>
        </w:rPr>
        <w:t xml:space="preserve"> lack of information about the inherent requirements</w:t>
      </w:r>
      <w:r>
        <w:rPr>
          <w:color w:val="auto"/>
        </w:rPr>
        <w:t xml:space="preserve"> of a job may discourage people with disability from applying for it</w:t>
      </w:r>
      <w:r w:rsidRPr="00D827CD">
        <w:rPr>
          <w:color w:val="auto"/>
        </w:rPr>
        <w:t>.</w:t>
      </w:r>
      <w:r w:rsidRPr="00BB6079">
        <w:rPr>
          <w:rStyle w:val="FootnoteReference"/>
          <w:color w:val="auto"/>
        </w:rPr>
        <w:footnoteReference w:id="434"/>
      </w:r>
      <w:r w:rsidRPr="00D827CD">
        <w:rPr>
          <w:color w:val="auto"/>
        </w:rPr>
        <w:t xml:space="preserve"> </w:t>
      </w:r>
    </w:p>
    <w:p w14:paraId="04C951A7" w14:textId="77777777" w:rsidR="000835D9" w:rsidRPr="00D03050" w:rsidRDefault="000835D9" w:rsidP="000835D9">
      <w:pPr>
        <w:pStyle w:val="NormalAutoChapter"/>
      </w:pPr>
      <w:r>
        <w:rPr>
          <w:color w:val="auto"/>
        </w:rPr>
        <w:t xml:space="preserve">The Royal Commission </w:t>
      </w:r>
      <w:r w:rsidRPr="00D827CD">
        <w:rPr>
          <w:color w:val="auto"/>
        </w:rPr>
        <w:t xml:space="preserve">recommended employers </w:t>
      </w:r>
      <w:r>
        <w:rPr>
          <w:color w:val="auto"/>
        </w:rPr>
        <w:t xml:space="preserve">should be required to </w:t>
      </w:r>
      <w:r w:rsidRPr="00D827CD">
        <w:rPr>
          <w:color w:val="auto"/>
        </w:rPr>
        <w:t xml:space="preserve">consider </w:t>
      </w:r>
      <w:r>
        <w:rPr>
          <w:color w:val="auto"/>
        </w:rPr>
        <w:t xml:space="preserve">two more factors </w:t>
      </w:r>
      <w:r w:rsidRPr="00D827CD">
        <w:rPr>
          <w:color w:val="auto"/>
        </w:rPr>
        <w:t xml:space="preserve">in determining whether a person with disability </w:t>
      </w:r>
      <w:r>
        <w:rPr>
          <w:color w:val="auto"/>
        </w:rPr>
        <w:t>i</w:t>
      </w:r>
      <w:r w:rsidRPr="00D827CD">
        <w:rPr>
          <w:color w:val="auto"/>
        </w:rPr>
        <w:t xml:space="preserve">s able to </w:t>
      </w:r>
      <w:r>
        <w:rPr>
          <w:color w:val="auto"/>
        </w:rPr>
        <w:t>meet a role’s inherent</w:t>
      </w:r>
      <w:r w:rsidRPr="00D827CD">
        <w:rPr>
          <w:color w:val="auto"/>
        </w:rPr>
        <w:t xml:space="preserve"> requirements. These are:</w:t>
      </w:r>
    </w:p>
    <w:p w14:paraId="3A4E1A55" w14:textId="77777777" w:rsidR="000835D9" w:rsidRDefault="000835D9" w:rsidP="000835D9">
      <w:pPr>
        <w:pStyle w:val="Normalbullet"/>
      </w:pPr>
      <w:r>
        <w:t>the nature and extent of any adjustments made, and</w:t>
      </w:r>
    </w:p>
    <w:p w14:paraId="6154FE3A" w14:textId="77777777" w:rsidR="000835D9" w:rsidRDefault="000835D9" w:rsidP="000835D9">
      <w:pPr>
        <w:pStyle w:val="Normalbullet"/>
      </w:pPr>
      <w:r>
        <w:t>the extent of consultation with the person with disability.</w:t>
      </w:r>
      <w:r>
        <w:rPr>
          <w:rStyle w:val="FootnoteReference"/>
        </w:rPr>
        <w:footnoteReference w:id="435"/>
      </w:r>
    </w:p>
    <w:p w14:paraId="14A9DEA0" w14:textId="77777777" w:rsidR="000835D9" w:rsidRPr="007C73D5" w:rsidRDefault="000835D9" w:rsidP="000835D9">
      <w:pPr>
        <w:pStyle w:val="NormalAutoChapter"/>
        <w:rPr>
          <w:lang w:eastAsia="en-US"/>
        </w:rPr>
      </w:pPr>
      <w:r w:rsidRPr="00B53310">
        <w:rPr>
          <w:color w:val="auto"/>
        </w:rPr>
        <w:t>An</w:t>
      </w:r>
      <w:r>
        <w:rPr>
          <w:color w:val="auto"/>
        </w:rPr>
        <w:t xml:space="preserve"> </w:t>
      </w:r>
      <w:r w:rsidRPr="00B53310">
        <w:rPr>
          <w:color w:val="auto"/>
        </w:rPr>
        <w:t xml:space="preserve">option could be to link the inherent requirements exception with a duty to </w:t>
      </w:r>
      <w:proofErr w:type="gramStart"/>
      <w:r w:rsidRPr="00B53310">
        <w:rPr>
          <w:color w:val="auto"/>
        </w:rPr>
        <w:t>make adjustments</w:t>
      </w:r>
      <w:proofErr w:type="gramEnd"/>
      <w:r w:rsidRPr="00B53310">
        <w:rPr>
          <w:color w:val="auto"/>
        </w:rPr>
        <w:t xml:space="preserve">. We </w:t>
      </w:r>
      <w:r>
        <w:rPr>
          <w:color w:val="auto"/>
        </w:rPr>
        <w:t xml:space="preserve">discuss </w:t>
      </w:r>
      <w:r w:rsidRPr="00B53310">
        <w:rPr>
          <w:color w:val="auto"/>
        </w:rPr>
        <w:t xml:space="preserve">the concept of adjustments in chapter </w:t>
      </w:r>
      <w:r w:rsidRPr="005A3EBE">
        <w:rPr>
          <w:color w:val="auto"/>
        </w:rPr>
        <w:t>11.</w:t>
      </w:r>
      <w:r w:rsidRPr="00B53310">
        <w:rPr>
          <w:color w:val="auto"/>
        </w:rPr>
        <w:t xml:space="preserve"> However, in summary, this option </w:t>
      </w:r>
      <w:r>
        <w:rPr>
          <w:color w:val="auto"/>
        </w:rPr>
        <w:t xml:space="preserve">could </w:t>
      </w:r>
      <w:r w:rsidRPr="00B53310">
        <w:rPr>
          <w:color w:val="auto"/>
        </w:rPr>
        <w:t xml:space="preserve">involve: </w:t>
      </w:r>
    </w:p>
    <w:p w14:paraId="53CE54A6" w14:textId="77777777" w:rsidR="000835D9" w:rsidRDefault="000835D9" w:rsidP="000835D9">
      <w:pPr>
        <w:pStyle w:val="Normalbullet"/>
      </w:pPr>
      <w:r>
        <w:t>requiring duty holders to make an adjustment to accommodate another person’s needs arising from a protected attribute, and</w:t>
      </w:r>
    </w:p>
    <w:p w14:paraId="2D924ACF" w14:textId="77777777" w:rsidR="000835D9" w:rsidRDefault="000835D9" w:rsidP="000835D9">
      <w:pPr>
        <w:pStyle w:val="Normalbullet"/>
      </w:pPr>
      <w:r>
        <w:t>permitting employers to discriminate if the person cannot meet the inherent requirements of the role, despite any adjustments able to be made by the employer.</w:t>
      </w:r>
      <w:r>
        <w:rPr>
          <w:rStyle w:val="FootnoteReference"/>
        </w:rPr>
        <w:footnoteReference w:id="436"/>
      </w:r>
    </w:p>
    <w:p w14:paraId="604CAD41" w14:textId="77777777" w:rsidR="000835D9" w:rsidRPr="009E3E4C" w:rsidRDefault="000835D9" w:rsidP="000835D9">
      <w:pPr>
        <w:pStyle w:val="NormalAutoChapter"/>
        <w:rPr>
          <w:lang w:eastAsia="en-US"/>
        </w:rPr>
      </w:pPr>
      <w:r>
        <w:lastRenderedPageBreak/>
        <w:t>The Australian Capital Territory (ACT) takes this approach. There, discrimination must be reasonable, proportionate and justifiable in the circumstances for the inherent requirements exception to apply.</w:t>
      </w:r>
      <w:r>
        <w:rPr>
          <w:rStyle w:val="FootnoteReference"/>
          <w:lang w:eastAsia="en-US"/>
        </w:rPr>
        <w:footnoteReference w:id="437"/>
      </w:r>
      <w:r>
        <w:rPr>
          <w:lang w:eastAsia="en-US"/>
        </w:rPr>
        <w:t xml:space="preserve"> </w:t>
      </w:r>
      <w:r>
        <w:t xml:space="preserve">    </w:t>
      </w:r>
    </w:p>
    <w:p w14:paraId="789F9072" w14:textId="77777777" w:rsidR="000835D9" w:rsidRDefault="000835D9" w:rsidP="000835D9">
      <w:pPr>
        <w:pStyle w:val="NormalAutoChapter"/>
      </w:pPr>
      <w:r>
        <w:rPr>
          <w:lang w:eastAsia="en-US"/>
        </w:rPr>
        <w:t xml:space="preserve">A further issue is whether the exception should apply to attributes other than disability and carer’s responsibilities. The ACT model applies to all protected attributes. This could reduce concerns inherent requirements exceptions are used </w:t>
      </w:r>
      <w:r w:rsidRPr="00B71697">
        <w:rPr>
          <w:lang w:eastAsia="en-US"/>
        </w:rPr>
        <w:t>specifically to permit discrimination against people with disability and carers.</w:t>
      </w:r>
    </w:p>
    <w:p w14:paraId="1C754C98" w14:textId="77777777" w:rsidR="000835D9" w:rsidRPr="00B71697" w:rsidRDefault="000835D9" w:rsidP="000835D9">
      <w:pPr>
        <w:pStyle w:val="NormalAutoChapter"/>
      </w:pPr>
      <w:r w:rsidRPr="00B71697">
        <w:rPr>
          <w:lang w:eastAsia="en-US"/>
        </w:rPr>
        <w:t>We</w:t>
      </w:r>
      <w:r>
        <w:rPr>
          <w:lang w:eastAsia="en-US"/>
        </w:rPr>
        <w:t xml:space="preserve"> discuss adjustments more in </w:t>
      </w:r>
      <w:r w:rsidRPr="005A3EBE">
        <w:rPr>
          <w:lang w:eastAsia="en-US"/>
        </w:rPr>
        <w:t>chapter 11</w:t>
      </w:r>
      <w:r>
        <w:rPr>
          <w:lang w:eastAsia="en-US"/>
        </w:rPr>
        <w:t xml:space="preserve">, and the option of a targeted inherent requirements exception for religious employment in </w:t>
      </w:r>
      <w:r w:rsidRPr="005A3EBE">
        <w:rPr>
          <w:lang w:eastAsia="en-US"/>
        </w:rPr>
        <w:t>chapter 7.</w:t>
      </w:r>
    </w:p>
    <w:p w14:paraId="5B081B57" w14:textId="77777777" w:rsidR="000835D9" w:rsidRDefault="000835D9" w:rsidP="000835D9">
      <w:pPr>
        <w:pStyle w:val="Heading3"/>
      </w:pPr>
      <w:r>
        <w:t>Exceptions based on “genuine occupational qualifications”</w:t>
      </w:r>
    </w:p>
    <w:p w14:paraId="610DB451" w14:textId="77777777" w:rsidR="000835D9" w:rsidRDefault="000835D9" w:rsidP="000835D9">
      <w:pPr>
        <w:pStyle w:val="NormalAutoChapter"/>
      </w:pPr>
      <w:r>
        <w:t xml:space="preserve">Broad exceptions apply in relation to certain attributes that are considered an occupational qualification. The ADA permits discrimination based on race, sex or age including </w:t>
      </w:r>
    </w:p>
    <w:p w14:paraId="65CB6DDA" w14:textId="77777777" w:rsidR="000835D9" w:rsidRDefault="000835D9" w:rsidP="000835D9">
      <w:pPr>
        <w:pStyle w:val="Normalbullet"/>
      </w:pPr>
      <w:r>
        <w:t xml:space="preserve">for “authenticity”, in entertainment, art, performance, or the provision of food or drink, or </w:t>
      </w:r>
    </w:p>
    <w:p w14:paraId="484229A6" w14:textId="77777777" w:rsidR="000835D9" w:rsidRDefault="000835D9" w:rsidP="000835D9">
      <w:pPr>
        <w:pStyle w:val="Normalbullet"/>
      </w:pPr>
      <w:r>
        <w:t>to provide welfare or similar services to people of that same race, sex or age.</w:t>
      </w:r>
      <w:r>
        <w:rPr>
          <w:rStyle w:val="FootnoteReference"/>
        </w:rPr>
        <w:footnoteReference w:id="438"/>
      </w:r>
    </w:p>
    <w:p w14:paraId="2D449CE6" w14:textId="77777777" w:rsidR="000835D9" w:rsidRPr="0069168C" w:rsidRDefault="000835D9" w:rsidP="000835D9">
      <w:pPr>
        <w:pStyle w:val="NormalAutoChapter"/>
      </w:pPr>
      <w:r w:rsidRPr="0069168C">
        <w:t>In 1999, the NSWLRC thought the “authenticity” exceptions to racial discrimination were appropriate, as they were likely to benefit minority races.</w:t>
      </w:r>
      <w:r w:rsidRPr="0069168C">
        <w:rPr>
          <w:rStyle w:val="FootnoteReference"/>
          <w:rFonts w:cs="Times New Roman"/>
          <w:color w:val="auto"/>
          <w:lang w:eastAsia="en-US"/>
        </w:rPr>
        <w:footnoteReference w:id="439"/>
      </w:r>
      <w:r w:rsidRPr="0069168C">
        <w:rPr>
          <w:rStyle w:val="FootnoteReference"/>
          <w:rFonts w:cs="Times New Roman"/>
          <w:color w:val="auto"/>
          <w:lang w:eastAsia="en-US"/>
        </w:rPr>
        <w:t xml:space="preserve"> </w:t>
      </w:r>
      <w:r w:rsidRPr="0069168C">
        <w:t>However, it recommended changes to other aspects of the genuine occupation qualification exceptions.</w:t>
      </w:r>
    </w:p>
    <w:p w14:paraId="3C43E3FE" w14:textId="77777777" w:rsidR="000835D9" w:rsidRDefault="000835D9" w:rsidP="000835D9">
      <w:pPr>
        <w:pStyle w:val="NormalAutoChapter"/>
      </w:pPr>
      <w:r>
        <w:t>In relation to sex discrimination, the ADA lists situations in which being of a particular sex will be a genuine occupational qualification for a job. Among other things, this includes where the job requires physical strength or stamina, or involves fitting clothes, conducting searches, or entering a bathroom or change room.</w:t>
      </w:r>
      <w:r>
        <w:rPr>
          <w:rStyle w:val="FootnoteReference"/>
        </w:rPr>
        <w:footnoteReference w:id="440"/>
      </w:r>
      <w:r>
        <w:t xml:space="preserve"> </w:t>
      </w:r>
    </w:p>
    <w:p w14:paraId="138E6935" w14:textId="77777777" w:rsidR="000835D9" w:rsidRDefault="000835D9" w:rsidP="000835D9">
      <w:pPr>
        <w:pStyle w:val="NormalAutoChapter"/>
      </w:pPr>
      <w:r>
        <w:t xml:space="preserve">The NSWLRC thought two situations should be removed from this list. That is, where the job: </w:t>
      </w:r>
    </w:p>
    <w:p w14:paraId="5966D93D" w14:textId="77777777" w:rsidR="000835D9" w:rsidRDefault="000835D9" w:rsidP="000835D9">
      <w:pPr>
        <w:pStyle w:val="Normalbullet"/>
      </w:pPr>
      <w:r>
        <w:t>is one of two to be held by a married couple, or</w:t>
      </w:r>
    </w:p>
    <w:p w14:paraId="59A8E1D5" w14:textId="77777777" w:rsidR="000835D9" w:rsidRDefault="000835D9" w:rsidP="000835D9">
      <w:pPr>
        <w:pStyle w:val="Normalbullet"/>
      </w:pPr>
      <w:r>
        <w:lastRenderedPageBreak/>
        <w:t>involves providing people of a particular sex with personal services relating to welfare or education, and they might object to someone of an opposite sex doing that.</w:t>
      </w:r>
      <w:r>
        <w:rPr>
          <w:rStyle w:val="FootnoteReference"/>
        </w:rPr>
        <w:footnoteReference w:id="441"/>
      </w:r>
    </w:p>
    <w:p w14:paraId="3EEC9F11" w14:textId="77777777" w:rsidR="000835D9" w:rsidRDefault="000835D9" w:rsidP="000835D9">
      <w:pPr>
        <w:pStyle w:val="NormalAutoChapter"/>
      </w:pPr>
      <w:r>
        <w:t>The NSWLRC also recommended the removal of a regulation-making power, which can be used to extend the exception to age and sex discrimination to other jobs, or classes of jobs. It could see no need for making the exception any wider. Finally, the NSWLRC said employers should be required to act in good faith when using the genuine occupational requirement exceptions for sex discrimination.</w:t>
      </w:r>
      <w:r>
        <w:rPr>
          <w:rStyle w:val="FootnoteReference"/>
        </w:rPr>
        <w:footnoteReference w:id="442"/>
      </w:r>
      <w:r>
        <w:t xml:space="preserve"> </w:t>
      </w:r>
    </w:p>
    <w:p w14:paraId="169F1E3A" w14:textId="77777777" w:rsidR="000835D9" w:rsidRPr="00082C64" w:rsidRDefault="000835D9" w:rsidP="000835D9">
      <w:pPr>
        <w:pStyle w:val="NormalAutoChapter"/>
      </w:pPr>
      <w:r w:rsidRPr="00082C64">
        <w:t>The ACT provides a</w:t>
      </w:r>
      <w:r>
        <w:t xml:space="preserve"> different </w:t>
      </w:r>
      <w:r w:rsidRPr="00082C64">
        <w:t>model</w:t>
      </w:r>
      <w:r>
        <w:t xml:space="preserve">, in which a </w:t>
      </w:r>
      <w:r w:rsidRPr="00082C64">
        <w:t xml:space="preserve">single broad exception </w:t>
      </w:r>
      <w:r>
        <w:t xml:space="preserve">covers </w:t>
      </w:r>
      <w:r w:rsidRPr="00082C64">
        <w:t>genuine occupational qualifications</w:t>
      </w:r>
      <w:r>
        <w:t xml:space="preserve">. </w:t>
      </w:r>
      <w:r w:rsidRPr="00082C64">
        <w:t xml:space="preserve">This </w:t>
      </w:r>
      <w:r>
        <w:t xml:space="preserve">exception </w:t>
      </w:r>
      <w:r w:rsidRPr="00082C64">
        <w:t xml:space="preserve">applies to </w:t>
      </w:r>
      <w:r>
        <w:t xml:space="preserve">discrimination based on </w:t>
      </w:r>
      <w:r w:rsidRPr="00082C64">
        <w:t>any protected attribute, except religious conviction.</w:t>
      </w:r>
      <w:r>
        <w:t xml:space="preserve"> It provides that d</w:t>
      </w:r>
      <w:r w:rsidRPr="00082C64">
        <w:t>iscrimination is not unlawful if:</w:t>
      </w:r>
    </w:p>
    <w:p w14:paraId="715762BF" w14:textId="77777777" w:rsidR="000835D9" w:rsidRPr="00082C64" w:rsidRDefault="000835D9" w:rsidP="000835D9">
      <w:pPr>
        <w:pStyle w:val="Normalbullet"/>
      </w:pPr>
      <w:r>
        <w:t>i</w:t>
      </w:r>
      <w:r w:rsidRPr="00082C64">
        <w:t>t</w:t>
      </w:r>
      <w:r>
        <w:t xml:space="preserve"> i</w:t>
      </w:r>
      <w:r w:rsidRPr="00082C64">
        <w:t>s a genuine occupational qualification that the position be filled by a person with a particular protected attribute, and</w:t>
      </w:r>
    </w:p>
    <w:p w14:paraId="407424C2" w14:textId="77777777" w:rsidR="000835D9" w:rsidRPr="00082C64" w:rsidRDefault="000835D9" w:rsidP="000835D9">
      <w:pPr>
        <w:pStyle w:val="Normalbullet"/>
      </w:pPr>
      <w:r w:rsidRPr="00082C64">
        <w:t>the discrimination is reasonable, proportionate and justifiable.</w:t>
      </w:r>
      <w:r w:rsidRPr="00082C64">
        <w:rPr>
          <w:rStyle w:val="FootnoteReference"/>
        </w:rPr>
        <w:footnoteReference w:id="443"/>
      </w:r>
    </w:p>
    <w:p w14:paraId="42B30B8E" w14:textId="77777777" w:rsidR="000835D9" w:rsidRDefault="000835D9" w:rsidP="000835D9">
      <w:pPr>
        <w:pStyle w:val="NormalAutoChapter"/>
      </w:pPr>
      <w:r>
        <w:t xml:space="preserve">The ACT legislation provides the following examples of a genuine occupational qualification: </w:t>
      </w:r>
    </w:p>
    <w:p w14:paraId="69CF21B2" w14:textId="77777777" w:rsidR="000835D9" w:rsidRPr="00067223" w:rsidRDefault="000835D9" w:rsidP="000835D9">
      <w:pPr>
        <w:pStyle w:val="Normalbullet"/>
      </w:pPr>
      <w:r w:rsidRPr="00067223">
        <w:t xml:space="preserve">employing a female carer to provide personal care services for a woman </w:t>
      </w:r>
      <w:r>
        <w:t>due to p</w:t>
      </w:r>
      <w:r w:rsidRPr="00067223">
        <w:t>rivacy or modesty</w:t>
      </w:r>
    </w:p>
    <w:p w14:paraId="4A4CA512" w14:textId="77777777" w:rsidR="000835D9" w:rsidRPr="002B22FF" w:rsidRDefault="000835D9" w:rsidP="000835D9">
      <w:pPr>
        <w:pStyle w:val="Normalbullet"/>
      </w:pPr>
      <w:r w:rsidRPr="002B22FF">
        <w:t>selecting someone of a particular race for a role in a theatrical performance based on authenticity, aesthetics or tradition, and</w:t>
      </w:r>
    </w:p>
    <w:p w14:paraId="79658398" w14:textId="77777777" w:rsidR="000835D9" w:rsidRPr="00082C64" w:rsidRDefault="000835D9" w:rsidP="000835D9">
      <w:pPr>
        <w:pStyle w:val="Normalbullet"/>
      </w:pPr>
      <w:r w:rsidRPr="002B22FF">
        <w:t>preferencing people with lived experience of family and domestic violence for peer support positions in a women</w:t>
      </w:r>
      <w:r>
        <w:t>’</w:t>
      </w:r>
      <w:r w:rsidRPr="002B22FF">
        <w:t>s crisis centre.</w:t>
      </w:r>
      <w:r w:rsidRPr="00082C64">
        <w:rPr>
          <w:rStyle w:val="FootnoteReference"/>
        </w:rPr>
        <w:footnoteReference w:id="444"/>
      </w:r>
    </w:p>
    <w:p w14:paraId="4676592D" w14:textId="77777777" w:rsidR="000835D9" w:rsidRDefault="000835D9" w:rsidP="000835D9">
      <w:pPr>
        <w:pStyle w:val="NormalAutoChapter"/>
      </w:pPr>
      <w:r>
        <w:t>Re</w:t>
      </w:r>
      <w:r w:rsidRPr="00082C64">
        <w:t xml:space="preserve">quiring employers to show the </w:t>
      </w:r>
      <w:r>
        <w:t>act</w:t>
      </w:r>
      <w:r w:rsidRPr="00082C64">
        <w:t xml:space="preserve"> is “reasonable, proportionate and justifiable” could </w:t>
      </w:r>
      <w:r>
        <w:t>provide</w:t>
      </w:r>
      <w:r w:rsidRPr="00082C64">
        <w:t xml:space="preserve"> </w:t>
      </w:r>
      <w:r>
        <w:t>more</w:t>
      </w:r>
      <w:r w:rsidRPr="00082C64">
        <w:t xml:space="preserve"> protection</w:t>
      </w:r>
      <w:r>
        <w:t xml:space="preserve"> than the ADA</w:t>
      </w:r>
      <w:r w:rsidRPr="00082C64">
        <w:t xml:space="preserve">. </w:t>
      </w:r>
      <w:r>
        <w:t xml:space="preserve">Also, a single exception could be easier to navigate. </w:t>
      </w:r>
    </w:p>
    <w:p w14:paraId="4547F009" w14:textId="77777777" w:rsidR="000835D9" w:rsidRPr="00320706" w:rsidRDefault="000835D9" w:rsidP="000835D9">
      <w:pPr>
        <w:pStyle w:val="NormalAutoChapter"/>
      </w:pPr>
      <w:r>
        <w:t>However</w:t>
      </w:r>
      <w:r w:rsidRPr="00320706">
        <w:t xml:space="preserve">, the NSWLRC recommended against this approach. It thought it was unclear, as it </w:t>
      </w:r>
      <w:r>
        <w:t>does not</w:t>
      </w:r>
      <w:r w:rsidRPr="00320706">
        <w:t xml:space="preserve"> spell out </w:t>
      </w:r>
      <w:r>
        <w:t xml:space="preserve">the situations in which the exception applies </w:t>
      </w:r>
      <w:r w:rsidRPr="00320706">
        <w:t>in the same detail as the AD</w:t>
      </w:r>
      <w:r>
        <w:t>A</w:t>
      </w:r>
      <w:r w:rsidRPr="00320706">
        <w:t>.</w:t>
      </w:r>
      <w:r w:rsidRPr="00320706">
        <w:rPr>
          <w:rStyle w:val="FootnoteReference"/>
        </w:rPr>
        <w:footnoteReference w:id="445"/>
      </w:r>
    </w:p>
    <w:p w14:paraId="73D05731" w14:textId="77777777" w:rsidR="000835D9" w:rsidRDefault="000835D9" w:rsidP="000835D9">
      <w:pPr>
        <w:pStyle w:val="Heading3"/>
      </w:pPr>
      <w:r>
        <w:lastRenderedPageBreak/>
        <w:t xml:space="preserve">Discrimination against young people </w:t>
      </w:r>
    </w:p>
    <w:p w14:paraId="1AADEF69" w14:textId="77777777" w:rsidR="000835D9" w:rsidRDefault="000835D9" w:rsidP="000835D9">
      <w:pPr>
        <w:pStyle w:val="NormalAutoChapter"/>
        <w:rPr>
          <w:lang w:eastAsia="en-US"/>
        </w:rPr>
      </w:pPr>
      <w:r w:rsidRPr="009C6DF6">
        <w:rPr>
          <w:color w:val="auto"/>
          <w:lang w:eastAsia="en-US"/>
        </w:rPr>
        <w:t xml:space="preserve">Other exceptions </w:t>
      </w:r>
      <w:r>
        <w:rPr>
          <w:color w:val="auto"/>
          <w:lang w:eastAsia="en-US"/>
        </w:rPr>
        <w:t xml:space="preserve">to age discrimination apply </w:t>
      </w:r>
      <w:r w:rsidRPr="009C6DF6">
        <w:rPr>
          <w:color w:val="auto"/>
          <w:lang w:eastAsia="en-US"/>
        </w:rPr>
        <w:t>to the employment of people</w:t>
      </w:r>
      <w:r>
        <w:rPr>
          <w:color w:val="auto"/>
          <w:lang w:eastAsia="en-US"/>
        </w:rPr>
        <w:t xml:space="preserve"> under 21 years old.</w:t>
      </w:r>
      <w:r w:rsidRPr="009C6DF6">
        <w:rPr>
          <w:color w:val="auto"/>
          <w:lang w:eastAsia="en-US"/>
        </w:rPr>
        <w:t xml:space="preserve"> For example, it is</w:t>
      </w:r>
      <w:r>
        <w:rPr>
          <w:color w:val="auto"/>
          <w:lang w:eastAsia="en-US"/>
        </w:rPr>
        <w:t xml:space="preserve"> no</w:t>
      </w:r>
      <w:r w:rsidRPr="009C6DF6">
        <w:rPr>
          <w:color w:val="auto"/>
          <w:lang w:eastAsia="en-US"/>
        </w:rPr>
        <w:t>t unlawful under the ADA to pay young workers lower wages. This exception can be removed by proclamation.</w:t>
      </w:r>
      <w:r>
        <w:rPr>
          <w:rStyle w:val="FootnoteReference"/>
        </w:rPr>
        <w:footnoteReference w:id="446"/>
      </w:r>
    </w:p>
    <w:p w14:paraId="1DC64552" w14:textId="77777777" w:rsidR="000835D9" w:rsidRDefault="000835D9" w:rsidP="000835D9">
      <w:pPr>
        <w:pStyle w:val="NormalAutoChapter"/>
        <w:rPr>
          <w:lang w:eastAsia="en-US"/>
        </w:rPr>
      </w:pPr>
      <w:r>
        <w:rPr>
          <w:lang w:eastAsia="en-US"/>
        </w:rPr>
        <w:t>In 1999, the NSWLRC said this exception was hard to justify and should be removed by December 2000. But it did not recommend immediate repeal, as the issue of junior wages was being considered federally.</w:t>
      </w:r>
      <w:r>
        <w:rPr>
          <w:rStyle w:val="FootnoteReference"/>
          <w:lang w:eastAsia="en-US"/>
        </w:rPr>
        <w:footnoteReference w:id="447"/>
      </w:r>
    </w:p>
    <w:p w14:paraId="5A5E1AC7" w14:textId="77777777" w:rsidR="000835D9" w:rsidRDefault="000835D9" w:rsidP="000835D9">
      <w:pPr>
        <w:pStyle w:val="NormalAutoChapter"/>
      </w:pPr>
      <w:r>
        <w:rPr>
          <w:lang w:eastAsia="en-US"/>
        </w:rPr>
        <w:t xml:space="preserve">Another option </w:t>
      </w:r>
      <w:r>
        <w:t>could be to limit the exception to circumstances where the young worker is being offered a lower wage in accordance with an industrial award or agreement. This is the approach in SA, WA and the ACT.</w:t>
      </w:r>
      <w:r>
        <w:rPr>
          <w:rStyle w:val="FootnoteReference"/>
          <w:lang w:eastAsia="en-US"/>
        </w:rPr>
        <w:footnoteReference w:id="448"/>
      </w:r>
      <w:r>
        <w:t xml:space="preserve"> </w:t>
      </w:r>
    </w:p>
    <w:p w14:paraId="673622C7" w14:textId="77777777" w:rsidR="000835D9" w:rsidRPr="00DC45C8" w:rsidRDefault="000835D9" w:rsidP="000835D9">
      <w:pPr>
        <w:pStyle w:val="NormalAutoChapter"/>
      </w:pPr>
      <w:r>
        <w:t xml:space="preserve">Under the </w:t>
      </w:r>
      <w:r w:rsidRPr="005B2C51">
        <w:rPr>
          <w:i/>
          <w:iCs/>
        </w:rPr>
        <w:t>Fair Work Act</w:t>
      </w:r>
      <w:r>
        <w:t>, modern awards can include minimum wages, including wage rates for junior employees. An award does not discriminate against junior employees simply because it provides a minimum wage for all junior employees or a class of employees.</w:t>
      </w:r>
      <w:r>
        <w:rPr>
          <w:rStyle w:val="FootnoteReference"/>
          <w:lang w:eastAsia="en-US"/>
        </w:rPr>
        <w:footnoteReference w:id="449"/>
      </w:r>
    </w:p>
    <w:p w14:paraId="22E10802" w14:textId="77777777" w:rsidR="000835D9" w:rsidRDefault="000835D9" w:rsidP="000835D9">
      <w:pPr>
        <w:pStyle w:val="Heading3"/>
      </w:pPr>
      <w:r>
        <w:t xml:space="preserve">Discrimination in favour of married couples </w:t>
      </w:r>
    </w:p>
    <w:p w14:paraId="2DFCF4CB" w14:textId="77777777" w:rsidR="000835D9" w:rsidRPr="003D627D" w:rsidRDefault="000835D9" w:rsidP="000835D9">
      <w:pPr>
        <w:pStyle w:val="NormalAutoChapter"/>
      </w:pPr>
      <w:r>
        <w:rPr>
          <w:lang w:eastAsia="en-US"/>
        </w:rPr>
        <w:t>It is not unlawful to discriminate based on marital or domestic status, if a job is one of two to be held by a married couple.</w:t>
      </w:r>
      <w:r>
        <w:rPr>
          <w:rStyle w:val="FootnoteReference"/>
          <w:lang w:eastAsia="en-US"/>
        </w:rPr>
        <w:footnoteReference w:id="450"/>
      </w:r>
      <w:r>
        <w:rPr>
          <w:lang w:eastAsia="en-US"/>
        </w:rPr>
        <w:t xml:space="preserve"> The NSWLRC recommended this should also </w:t>
      </w:r>
      <w:r>
        <w:rPr>
          <w:color w:val="auto"/>
        </w:rPr>
        <w:t>include</w:t>
      </w:r>
      <w:r w:rsidRPr="00D8087D">
        <w:rPr>
          <w:color w:val="auto"/>
        </w:rPr>
        <w:t xml:space="preserve"> couples in a domestic relationshi</w:t>
      </w:r>
      <w:r>
        <w:rPr>
          <w:color w:val="auto"/>
        </w:rPr>
        <w:t xml:space="preserve">p, but that this exception should only apply </w:t>
      </w:r>
      <w:r w:rsidRPr="00D8087D">
        <w:rPr>
          <w:color w:val="auto"/>
        </w:rPr>
        <w:t>where</w:t>
      </w:r>
      <w:r>
        <w:rPr>
          <w:color w:val="auto"/>
        </w:rPr>
        <w:t xml:space="preserve"> there is a reasonable need</w:t>
      </w:r>
      <w:r w:rsidRPr="00D8087D">
        <w:rPr>
          <w:color w:val="auto"/>
        </w:rPr>
        <w:t>.</w:t>
      </w:r>
      <w:r>
        <w:rPr>
          <w:rStyle w:val="FootnoteReference"/>
        </w:rPr>
        <w:footnoteReference w:id="451"/>
      </w:r>
      <w:r>
        <w:rPr>
          <w:color w:val="auto"/>
        </w:rPr>
        <w:t xml:space="preserve"> </w:t>
      </w:r>
    </w:p>
    <w:p w14:paraId="5C47CED6" w14:textId="77777777" w:rsidR="000835D9" w:rsidRPr="00F13D42" w:rsidRDefault="000835D9" w:rsidP="000835D9">
      <w:pPr>
        <w:pStyle w:val="NormalAutoChapter"/>
      </w:pPr>
      <w:r>
        <w:rPr>
          <w:lang w:eastAsia="en-US"/>
        </w:rPr>
        <w:t>Other</w:t>
      </w:r>
      <w:r>
        <w:t xml:space="preserve"> discrimination laws have similar exceptions, which also apply to people in de facto relationships.</w:t>
      </w:r>
      <w:r>
        <w:rPr>
          <w:rStyle w:val="FootnoteReference"/>
        </w:rPr>
        <w:footnoteReference w:id="452"/>
      </w:r>
    </w:p>
    <w:p w14:paraId="49D6BF55" w14:textId="77777777" w:rsidR="000835D9" w:rsidRDefault="000835D9" w:rsidP="000835D9">
      <w:pPr>
        <w:pStyle w:val="Heading3"/>
      </w:pPr>
      <w:r>
        <w:t xml:space="preserve">Employment outside NSW </w:t>
      </w:r>
    </w:p>
    <w:p w14:paraId="4E7706AE" w14:textId="77777777" w:rsidR="000835D9" w:rsidRDefault="000835D9" w:rsidP="000835D9">
      <w:pPr>
        <w:pStyle w:val="NormalAutoChapter"/>
      </w:pPr>
      <w:r>
        <w:t>The prohibitions on race discrimination do not apply if someone:</w:t>
      </w:r>
    </w:p>
    <w:p w14:paraId="47482324" w14:textId="77777777" w:rsidR="000835D9" w:rsidRDefault="000835D9" w:rsidP="000835D9">
      <w:pPr>
        <w:pStyle w:val="Normalbullet"/>
      </w:pPr>
      <w:r>
        <w:t>is not normally a resident of NSW, and they are employed to learn skills to be used entirely outside NSW, or</w:t>
      </w:r>
    </w:p>
    <w:p w14:paraId="3579056E" w14:textId="77777777" w:rsidR="000835D9" w:rsidRDefault="000835D9" w:rsidP="000835D9">
      <w:pPr>
        <w:pStyle w:val="Normalbullet"/>
      </w:pPr>
      <w:r>
        <w:lastRenderedPageBreak/>
        <w:t>was engaged outside NSW to be employed on a ship or aircraft in NSW.</w:t>
      </w:r>
      <w:r>
        <w:rPr>
          <w:rStyle w:val="FootnoteReference"/>
        </w:rPr>
        <w:footnoteReference w:id="453"/>
      </w:r>
      <w:r>
        <w:t xml:space="preserve"> </w:t>
      </w:r>
    </w:p>
    <w:p w14:paraId="7ED20F45" w14:textId="77777777" w:rsidR="000835D9" w:rsidRDefault="000835D9" w:rsidP="000835D9">
      <w:pPr>
        <w:pStyle w:val="NormalAutoChapter"/>
      </w:pPr>
      <w:r>
        <w:t xml:space="preserve">The </w:t>
      </w:r>
      <w:r w:rsidRPr="00AC6AA4">
        <w:rPr>
          <w:i/>
          <w:iCs/>
        </w:rPr>
        <w:t>Racial Discrimination Act 1975</w:t>
      </w:r>
      <w:r>
        <w:t xml:space="preserve"> (Cth) (</w:t>
      </w:r>
      <w:r w:rsidRPr="0038019A">
        <w:rPr>
          <w:i/>
          <w:iCs/>
        </w:rPr>
        <w:t>Racial Discrimination Act</w:t>
      </w:r>
      <w:r>
        <w:t>) contains a similar exception in relation to employment on a non-Australian ship or aircraft if engaged outside Australia.</w:t>
      </w:r>
      <w:r>
        <w:rPr>
          <w:rStyle w:val="FootnoteReference"/>
        </w:rPr>
        <w:footnoteReference w:id="454"/>
      </w:r>
      <w:r>
        <w:t xml:space="preserve"> </w:t>
      </w:r>
    </w:p>
    <w:p w14:paraId="5BA0C0C0" w14:textId="77777777" w:rsidR="000835D9" w:rsidRPr="002B6320" w:rsidRDefault="000835D9" w:rsidP="000835D9">
      <w:pPr>
        <w:pStyle w:val="NormalAutoChapter"/>
      </w:pPr>
      <w:r>
        <w:t xml:space="preserve">The NSWLRC recommended removing these exceptions, describing them as inappropriate. The exceptions also cover situations that could, in its view, be addressed by an exemption application to the Anti-Discrimination Board. We describe this procedure in </w:t>
      </w:r>
      <w:r w:rsidRPr="00CF0CFC">
        <w:t>chapter 11.</w:t>
      </w:r>
      <w:r w:rsidRPr="00CF0CFC">
        <w:rPr>
          <w:rStyle w:val="FootnoteReference"/>
        </w:rPr>
        <w:footnoteReference w:id="455"/>
      </w:r>
      <w:r>
        <w:t xml:space="preserve">  </w:t>
      </w:r>
    </w:p>
    <w:p w14:paraId="410F7B2A" w14:textId="77777777" w:rsidR="000835D9" w:rsidRPr="000B14A9" w:rsidRDefault="000835D9" w:rsidP="000835D9">
      <w:pPr>
        <w:pStyle w:val="Recommendationheading"/>
      </w:pPr>
      <w:r w:rsidRPr="000B14A9">
        <w:t>Question 6.</w:t>
      </w:r>
      <w:r>
        <w:t>2</w:t>
      </w:r>
      <w:r w:rsidRPr="000B14A9">
        <w:t>: Discrimination in work</w:t>
      </w:r>
      <w:r>
        <w:t xml:space="preserve"> — </w:t>
      </w:r>
      <w:r w:rsidRPr="000B14A9">
        <w:t>exceptions</w:t>
      </w:r>
    </w:p>
    <w:p w14:paraId="09F4C5F0" w14:textId="7B3A51CF" w:rsidR="000835D9" w:rsidRPr="000B14A9" w:rsidRDefault="000835D9" w:rsidP="000835D9">
      <w:pPr>
        <w:pStyle w:val="Recommendationnormal"/>
      </w:pPr>
      <w:r>
        <w:t>What</w:t>
      </w:r>
      <w:r w:rsidR="00F55080">
        <w:t xml:space="preserve"> changes, if any,</w:t>
      </w:r>
      <w:r>
        <w:t xml:space="preserve"> should be made to the exceptions to discrimination in work</w:t>
      </w:r>
      <w:r w:rsidRPr="00C62B93">
        <w:t>?</w:t>
      </w:r>
      <w:r w:rsidRPr="000B14A9">
        <w:t xml:space="preserve"> </w:t>
      </w:r>
    </w:p>
    <w:p w14:paraId="0E5A4D33" w14:textId="77777777" w:rsidR="000835D9" w:rsidRDefault="000835D9" w:rsidP="000835D9">
      <w:pPr>
        <w:pStyle w:val="Heading1"/>
      </w:pPr>
      <w:bookmarkStart w:id="234" w:name="_Toc196748341"/>
      <w:bookmarkStart w:id="235" w:name="_Toc196826874"/>
      <w:r w:rsidRPr="001D38E6">
        <w:t>Education</w:t>
      </w:r>
      <w:bookmarkEnd w:id="234"/>
      <w:bookmarkEnd w:id="235"/>
      <w:r w:rsidRPr="001D38E6">
        <w:t xml:space="preserve"> </w:t>
      </w:r>
    </w:p>
    <w:p w14:paraId="39505C2B" w14:textId="77777777" w:rsidR="000835D9" w:rsidRDefault="000835D9" w:rsidP="000835D9">
      <w:pPr>
        <w:pStyle w:val="NormalAutoChapter"/>
      </w:pPr>
      <w:r>
        <w:t xml:space="preserve">“Education” is another protected area. It is </w:t>
      </w:r>
      <w:r w:rsidRPr="001D38E6">
        <w:t xml:space="preserve">unlawful for an </w:t>
      </w:r>
      <w:r>
        <w:t>“</w:t>
      </w:r>
      <w:r w:rsidRPr="001D38E6">
        <w:t>educational authority</w:t>
      </w:r>
      <w:r>
        <w:t>”</w:t>
      </w:r>
      <w:r w:rsidRPr="001D38E6">
        <w:t xml:space="preserve"> to discriminate </w:t>
      </w:r>
      <w:r>
        <w:t>against students and people applying to be students.</w:t>
      </w:r>
      <w:r w:rsidRPr="00590156">
        <w:rPr>
          <w:rStyle w:val="FootnoteReference"/>
        </w:rPr>
        <w:t xml:space="preserve"> </w:t>
      </w:r>
      <w:r>
        <w:t>This applies to discrimination based on all protected attributes, except carers’ responsibilities.</w:t>
      </w:r>
    </w:p>
    <w:p w14:paraId="5AECB1C4" w14:textId="77777777" w:rsidR="000835D9" w:rsidRDefault="000835D9" w:rsidP="000835D9">
      <w:pPr>
        <w:pStyle w:val="NormalAutoChapter"/>
        <w:spacing w:after="240"/>
      </w:pPr>
      <w:r>
        <w:t>This area includes situations where an educational authority:</w:t>
      </w:r>
    </w:p>
    <w:p w14:paraId="456C855E" w14:textId="77777777" w:rsidR="000835D9" w:rsidRDefault="000835D9" w:rsidP="000835D9">
      <w:pPr>
        <w:pStyle w:val="Normalbullet"/>
      </w:pPr>
      <w:r>
        <w:t>refuses or fails to accept someone’s application for admission as a student</w:t>
      </w:r>
    </w:p>
    <w:p w14:paraId="6F4546D4" w14:textId="77777777" w:rsidR="000835D9" w:rsidRDefault="000835D9" w:rsidP="000835D9">
      <w:pPr>
        <w:pStyle w:val="Normalbullet"/>
      </w:pPr>
      <w:r>
        <w:t>accepts someone’s application on discriminatory terms</w:t>
      </w:r>
    </w:p>
    <w:p w14:paraId="4FBB317E" w14:textId="77777777" w:rsidR="000835D9" w:rsidRDefault="000835D9" w:rsidP="000835D9">
      <w:pPr>
        <w:pStyle w:val="Normalbullet"/>
      </w:pPr>
      <w:r>
        <w:t xml:space="preserve">denies or limits a student’s access to any benefit, or </w:t>
      </w:r>
    </w:p>
    <w:p w14:paraId="5B669FFD" w14:textId="77777777" w:rsidR="000835D9" w:rsidRDefault="000835D9" w:rsidP="000835D9">
      <w:pPr>
        <w:pStyle w:val="Normalbullet"/>
      </w:pPr>
      <w:r>
        <w:t>expels a student or subjects them to another detriment.</w:t>
      </w:r>
      <w:r w:rsidRPr="001D38E6">
        <w:rPr>
          <w:rStyle w:val="FootnoteReference"/>
        </w:rPr>
        <w:footnoteReference w:id="456"/>
      </w:r>
    </w:p>
    <w:p w14:paraId="0B14985C" w14:textId="77777777" w:rsidR="000835D9" w:rsidRDefault="000835D9" w:rsidP="000835D9">
      <w:pPr>
        <w:pStyle w:val="Heading2"/>
      </w:pPr>
      <w:bookmarkStart w:id="236" w:name="_Toc196748342"/>
      <w:bookmarkStart w:id="237" w:name="_Toc196826875"/>
      <w:r>
        <w:t>Issues relating to coverage</w:t>
      </w:r>
      <w:bookmarkEnd w:id="236"/>
      <w:bookmarkEnd w:id="237"/>
      <w:r>
        <w:t xml:space="preserve">  </w:t>
      </w:r>
    </w:p>
    <w:p w14:paraId="3025C708" w14:textId="77777777" w:rsidR="000835D9" w:rsidRPr="001D38E6" w:rsidRDefault="000835D9" w:rsidP="000835D9">
      <w:pPr>
        <w:pStyle w:val="NormalAutoChapter"/>
      </w:pPr>
      <w:r>
        <w:t xml:space="preserve">An issue is whether the prohibition should apply more broadly to other institutions. The ADA definition of “educational authority” includes </w:t>
      </w:r>
      <w:r w:rsidRPr="001D38E6">
        <w:t>a person or body administering a school, college, university or other institution at which education or training is provided.</w:t>
      </w:r>
      <w:r w:rsidRPr="001D38E6">
        <w:rPr>
          <w:rStyle w:val="FootnoteReference"/>
        </w:rPr>
        <w:footnoteReference w:id="457"/>
      </w:r>
    </w:p>
    <w:p w14:paraId="34514DEE" w14:textId="77777777" w:rsidR="000835D9" w:rsidRPr="001D38E6" w:rsidRDefault="000835D9" w:rsidP="000835D9">
      <w:pPr>
        <w:pStyle w:val="NormalAutoChapter"/>
      </w:pPr>
      <w:r>
        <w:t>T</w:t>
      </w:r>
      <w:r w:rsidRPr="001D38E6">
        <w:t xml:space="preserve">he </w:t>
      </w:r>
      <w:r w:rsidRPr="001D38E6">
        <w:rPr>
          <w:i/>
          <w:iCs/>
        </w:rPr>
        <w:t>D</w:t>
      </w:r>
      <w:r>
        <w:rPr>
          <w:i/>
          <w:iCs/>
        </w:rPr>
        <w:t xml:space="preserve">isability Discrimination Act </w:t>
      </w:r>
      <w:r>
        <w:t xml:space="preserve">is broader. It </w:t>
      </w:r>
      <w:r w:rsidRPr="001D38E6">
        <w:t>extend</w:t>
      </w:r>
      <w:r>
        <w:t xml:space="preserve">s </w:t>
      </w:r>
      <w:r w:rsidRPr="001D38E6">
        <w:t xml:space="preserve">duties to </w:t>
      </w:r>
      <w:r>
        <w:t>other</w:t>
      </w:r>
      <w:r w:rsidRPr="001D38E6">
        <w:t xml:space="preserve"> “education providers”</w:t>
      </w:r>
      <w:r>
        <w:t xml:space="preserve">, such as </w:t>
      </w:r>
      <w:r w:rsidRPr="001D38E6">
        <w:t>organisation</w:t>
      </w:r>
      <w:r>
        <w:t>s</w:t>
      </w:r>
      <w:r w:rsidRPr="001D38E6">
        <w:t xml:space="preserve"> whose purpose is</w:t>
      </w:r>
      <w:r>
        <w:t xml:space="preserve"> </w:t>
      </w:r>
      <w:r w:rsidRPr="001D38E6">
        <w:t xml:space="preserve">to develop or accredit </w:t>
      </w:r>
      <w:r w:rsidRPr="001D38E6">
        <w:lastRenderedPageBreak/>
        <w:t>curricula.</w:t>
      </w:r>
      <w:r w:rsidRPr="001D38E6">
        <w:rPr>
          <w:rStyle w:val="FootnoteReference"/>
        </w:rPr>
        <w:footnoteReference w:id="458"/>
      </w:r>
      <w:r w:rsidRPr="001D38E6">
        <w:t xml:space="preserve"> The</w:t>
      </w:r>
      <w:r>
        <w:t xml:space="preserve"> Law Reform Commission of Western Australia</w:t>
      </w:r>
      <w:r w:rsidRPr="001D38E6">
        <w:t xml:space="preserve"> </w:t>
      </w:r>
      <w:r>
        <w:t>(</w:t>
      </w:r>
      <w:r w:rsidRPr="001D38E6">
        <w:t>LRC</w:t>
      </w:r>
      <w:r>
        <w:t>WA)</w:t>
      </w:r>
      <w:r w:rsidRPr="001D38E6">
        <w:t xml:space="preserve"> recently </w:t>
      </w:r>
      <w:r>
        <w:t xml:space="preserve">supported this approach, as </w:t>
      </w:r>
      <w:r w:rsidRPr="001D38E6">
        <w:t>t</w:t>
      </w:r>
      <w:r>
        <w:t xml:space="preserve">hese bodies set rules for </w:t>
      </w:r>
      <w:r w:rsidRPr="001D38E6">
        <w:t xml:space="preserve">curricula and exams </w:t>
      </w:r>
      <w:r>
        <w:t xml:space="preserve">that could </w:t>
      </w:r>
      <w:r w:rsidRPr="001D38E6">
        <w:t>discriminate against student</w:t>
      </w:r>
      <w:r>
        <w:t>s</w:t>
      </w:r>
      <w:r w:rsidRPr="001D38E6">
        <w:t>.</w:t>
      </w:r>
      <w:r w:rsidRPr="001D38E6">
        <w:rPr>
          <w:rStyle w:val="FootnoteReference"/>
        </w:rPr>
        <w:footnoteReference w:id="459"/>
      </w:r>
    </w:p>
    <w:p w14:paraId="2E277D00" w14:textId="77777777" w:rsidR="000835D9" w:rsidRDefault="000835D9" w:rsidP="000835D9">
      <w:pPr>
        <w:pStyle w:val="NormalAutoChapter"/>
      </w:pPr>
      <w:r>
        <w:t>Another issue is whether the ADA covers all relevant conduct. The LRCWA recommended the education area in WA discrimination law should expressly cover discrimination in selecting or evaluating student applications. While the LRCWA thought this may already be unlawful, it preferred setting it out in legislation.</w:t>
      </w:r>
      <w:r w:rsidRPr="001D38E6">
        <w:rPr>
          <w:rStyle w:val="FootnoteReference"/>
        </w:rPr>
        <w:footnoteReference w:id="460"/>
      </w:r>
      <w:r>
        <w:t xml:space="preserve"> The WA discrimination legislation is like the ADA in its coverage of the education area.</w:t>
      </w:r>
      <w:r>
        <w:rPr>
          <w:rStyle w:val="FootnoteReference"/>
        </w:rPr>
        <w:footnoteReference w:id="461"/>
      </w:r>
    </w:p>
    <w:p w14:paraId="3BF3452A" w14:textId="77777777" w:rsidR="000835D9" w:rsidRDefault="000835D9" w:rsidP="000835D9">
      <w:pPr>
        <w:pStyle w:val="Heading2"/>
      </w:pPr>
      <w:bookmarkStart w:id="238" w:name="_Toc196748343"/>
      <w:bookmarkStart w:id="239" w:name="_Toc196826876"/>
      <w:r>
        <w:t>Exceptions to discrimination in education</w:t>
      </w:r>
      <w:bookmarkEnd w:id="238"/>
      <w:bookmarkEnd w:id="239"/>
      <w:r>
        <w:t xml:space="preserve"> </w:t>
      </w:r>
    </w:p>
    <w:p w14:paraId="7EB11FC4" w14:textId="77777777" w:rsidR="000835D9" w:rsidRDefault="000835D9" w:rsidP="000835D9">
      <w:pPr>
        <w:pStyle w:val="NormalAutoChapter"/>
        <w:rPr>
          <w:color w:val="auto"/>
        </w:rPr>
      </w:pPr>
      <w:r>
        <w:rPr>
          <w:lang w:eastAsia="en-US"/>
        </w:rPr>
        <w:t>A range of exceptions limit the discrimination protections in education. These</w:t>
      </w:r>
      <w:r w:rsidRPr="00954BCF">
        <w:rPr>
          <w:color w:val="auto"/>
        </w:rPr>
        <w:t xml:space="preserve"> apply to sex, disability, and age discrimination. </w:t>
      </w:r>
    </w:p>
    <w:p w14:paraId="6C1C954A" w14:textId="77777777" w:rsidR="000835D9" w:rsidRPr="00484BAD" w:rsidRDefault="000835D9" w:rsidP="000835D9">
      <w:pPr>
        <w:pStyle w:val="NormalAutoChapter"/>
        <w:rPr>
          <w:color w:val="auto"/>
        </w:rPr>
      </w:pPr>
      <w:r w:rsidRPr="00484BAD">
        <w:rPr>
          <w:color w:val="auto"/>
        </w:rPr>
        <w:t>We consider wider exceptions that apply to discrimination in education, and to other areas and forms of unlawful conduct</w:t>
      </w:r>
      <w:r w:rsidRPr="0038019A">
        <w:rPr>
          <w:color w:val="auto"/>
        </w:rPr>
        <w:t>, in chapter 7. These</w:t>
      </w:r>
      <w:r w:rsidRPr="00484BAD">
        <w:rPr>
          <w:color w:val="auto"/>
        </w:rPr>
        <w:t xml:space="preserve"> include the exceptions for private educational authorities, which apply in the work and education area in relation to most protected attributes. </w:t>
      </w:r>
    </w:p>
    <w:p w14:paraId="1F983816" w14:textId="77777777" w:rsidR="000835D9" w:rsidRPr="00EB43B0" w:rsidRDefault="000835D9" w:rsidP="000835D9">
      <w:pPr>
        <w:pStyle w:val="Heading3"/>
        <w:rPr>
          <w:color w:val="auto"/>
        </w:rPr>
      </w:pPr>
      <w:r w:rsidRPr="00EB43B0">
        <w:rPr>
          <w:color w:val="auto"/>
        </w:rPr>
        <w:t xml:space="preserve">Single-sex </w:t>
      </w:r>
      <w:r>
        <w:rPr>
          <w:color w:val="auto"/>
        </w:rPr>
        <w:t xml:space="preserve">educational institutions </w:t>
      </w:r>
    </w:p>
    <w:p w14:paraId="2DAC75BE" w14:textId="77777777" w:rsidR="000835D9" w:rsidRPr="00AE4EA6" w:rsidRDefault="000835D9" w:rsidP="000835D9">
      <w:pPr>
        <w:pStyle w:val="NormalAutoChapter"/>
        <w:rPr>
          <w:lang w:eastAsia="en-US"/>
        </w:rPr>
      </w:pPr>
      <w:r w:rsidRPr="00AE4EA6">
        <w:rPr>
          <w:lang w:eastAsia="en-US"/>
        </w:rPr>
        <w:t>The prohibition against sex discrimination does</w:t>
      </w:r>
      <w:r>
        <w:rPr>
          <w:lang w:eastAsia="en-US"/>
        </w:rPr>
        <w:t xml:space="preserve"> </w:t>
      </w:r>
      <w:r w:rsidRPr="00AE4EA6">
        <w:rPr>
          <w:lang w:eastAsia="en-US"/>
        </w:rPr>
        <w:t>n</w:t>
      </w:r>
      <w:r>
        <w:rPr>
          <w:lang w:eastAsia="en-US"/>
        </w:rPr>
        <w:t>o</w:t>
      </w:r>
      <w:r w:rsidRPr="00AE4EA6">
        <w:rPr>
          <w:lang w:eastAsia="en-US"/>
        </w:rPr>
        <w:t xml:space="preserve">t apply to single-sex educational institutions. This includes both public and private schools. An institution is considered </w:t>
      </w:r>
      <w:proofErr w:type="gramStart"/>
      <w:r w:rsidRPr="00AE4EA6">
        <w:rPr>
          <w:lang w:eastAsia="en-US"/>
        </w:rPr>
        <w:t>single</w:t>
      </w:r>
      <w:r>
        <w:rPr>
          <w:lang w:eastAsia="en-US"/>
        </w:rPr>
        <w:t>-</w:t>
      </w:r>
      <w:r w:rsidRPr="00AE4EA6">
        <w:rPr>
          <w:lang w:eastAsia="en-US"/>
        </w:rPr>
        <w:t>sex</w:t>
      </w:r>
      <w:proofErr w:type="gramEnd"/>
      <w:r w:rsidRPr="00AE4EA6">
        <w:rPr>
          <w:lang w:eastAsia="en-US"/>
        </w:rPr>
        <w:t xml:space="preserve"> even if it admits transgender people who identify with the sex the institution is conducted for. Single-sex educational institutions can lawfully refuse, or fail to accept, an application from someone of the opposite sex.</w:t>
      </w:r>
      <w:r w:rsidRPr="00AE4EA6">
        <w:rPr>
          <w:rStyle w:val="FootnoteReference"/>
          <w:lang w:eastAsia="en-US"/>
        </w:rPr>
        <w:footnoteReference w:id="462"/>
      </w:r>
      <w:r w:rsidRPr="00AE4EA6">
        <w:rPr>
          <w:lang w:eastAsia="en-US"/>
        </w:rPr>
        <w:t xml:space="preserve"> </w:t>
      </w:r>
    </w:p>
    <w:p w14:paraId="4C2DB404" w14:textId="77777777" w:rsidR="000835D9" w:rsidRPr="007541E2" w:rsidRDefault="000835D9" w:rsidP="000835D9">
      <w:pPr>
        <w:pStyle w:val="NormalAutoChapter"/>
        <w:rPr>
          <w:lang w:eastAsia="en-US"/>
        </w:rPr>
      </w:pPr>
      <w:r w:rsidRPr="007541E2">
        <w:rPr>
          <w:lang w:eastAsia="en-US"/>
        </w:rPr>
        <w:t xml:space="preserve">One issue is whether this </w:t>
      </w:r>
      <w:r>
        <w:rPr>
          <w:lang w:eastAsia="en-US"/>
        </w:rPr>
        <w:t xml:space="preserve">exception </w:t>
      </w:r>
      <w:r w:rsidRPr="007541E2">
        <w:rPr>
          <w:lang w:eastAsia="en-US"/>
        </w:rPr>
        <w:t>can</w:t>
      </w:r>
      <w:r>
        <w:rPr>
          <w:lang w:eastAsia="en-US"/>
        </w:rPr>
        <w:t xml:space="preserve"> </w:t>
      </w:r>
      <w:r w:rsidRPr="007541E2">
        <w:rPr>
          <w:lang w:eastAsia="en-US"/>
        </w:rPr>
        <w:t xml:space="preserve">be used to exclude transgender students from single-sex schools that are consistent with their gender identity. Some argue this exception </w:t>
      </w:r>
      <w:r>
        <w:rPr>
          <w:lang w:eastAsia="en-US"/>
        </w:rPr>
        <w:t>should clearly state that it does not allow discrimination against transgender students</w:t>
      </w:r>
      <w:r w:rsidRPr="007541E2">
        <w:rPr>
          <w:lang w:eastAsia="en-US"/>
        </w:rPr>
        <w:t>.</w:t>
      </w:r>
      <w:r w:rsidRPr="007541E2">
        <w:rPr>
          <w:rStyle w:val="FootnoteReference"/>
          <w:lang w:eastAsia="en-US"/>
        </w:rPr>
        <w:footnoteReference w:id="463"/>
      </w:r>
      <w:r w:rsidRPr="007541E2">
        <w:rPr>
          <w:lang w:eastAsia="en-US"/>
        </w:rPr>
        <w:t xml:space="preserve"> </w:t>
      </w:r>
    </w:p>
    <w:p w14:paraId="105FEDEC" w14:textId="77777777" w:rsidR="000835D9" w:rsidRPr="00612794" w:rsidRDefault="000835D9" w:rsidP="000835D9">
      <w:pPr>
        <w:pStyle w:val="Heading3"/>
        <w:rPr>
          <w:color w:val="auto"/>
        </w:rPr>
      </w:pPr>
      <w:r>
        <w:rPr>
          <w:color w:val="auto"/>
        </w:rPr>
        <w:lastRenderedPageBreak/>
        <w:t>D</w:t>
      </w:r>
      <w:r w:rsidRPr="00612794">
        <w:rPr>
          <w:color w:val="auto"/>
        </w:rPr>
        <w:t xml:space="preserve">isability </w:t>
      </w:r>
      <w:r>
        <w:rPr>
          <w:color w:val="auto"/>
        </w:rPr>
        <w:t>discrimination exceptions</w:t>
      </w:r>
    </w:p>
    <w:p w14:paraId="4B3742DC" w14:textId="77777777" w:rsidR="000835D9" w:rsidRDefault="000835D9" w:rsidP="000835D9">
      <w:pPr>
        <w:pStyle w:val="NormalAutoChapter"/>
        <w:rPr>
          <w:color w:val="auto"/>
          <w:lang w:eastAsia="en-US"/>
        </w:rPr>
      </w:pPr>
      <w:r>
        <w:rPr>
          <w:color w:val="auto"/>
          <w:lang w:eastAsia="en-US"/>
        </w:rPr>
        <w:t>The ADA also provides an exception for schools, colleges, universities, or other institutions that are run solely for students with a particular disability. They can refuse or fail to accept applications by people without the same disability.</w:t>
      </w:r>
      <w:r>
        <w:rPr>
          <w:rStyle w:val="FootnoteReference"/>
          <w:color w:val="auto"/>
          <w:lang w:eastAsia="en-US"/>
        </w:rPr>
        <w:footnoteReference w:id="464"/>
      </w:r>
    </w:p>
    <w:p w14:paraId="220CE0BE" w14:textId="77777777" w:rsidR="000835D9" w:rsidRDefault="000835D9" w:rsidP="000835D9">
      <w:pPr>
        <w:pStyle w:val="NormalAutoChapter"/>
        <w:rPr>
          <w:color w:val="auto"/>
          <w:lang w:eastAsia="en-US"/>
        </w:rPr>
      </w:pPr>
      <w:r>
        <w:rPr>
          <w:color w:val="auto"/>
          <w:lang w:eastAsia="en-US"/>
        </w:rPr>
        <w:t xml:space="preserve">In 1999, the NSWLRC recommended repealing this exception. It described it as </w:t>
      </w:r>
      <w:r w:rsidRPr="00C80147">
        <w:rPr>
          <w:color w:val="auto"/>
          <w:lang w:eastAsia="en-US"/>
        </w:rPr>
        <w:t>“obscure”</w:t>
      </w:r>
      <w:r>
        <w:rPr>
          <w:color w:val="auto"/>
          <w:lang w:eastAsia="en-US"/>
        </w:rPr>
        <w:t xml:space="preserve">. The NSWLRC thought that </w:t>
      </w:r>
      <w:r w:rsidRPr="00C80147">
        <w:rPr>
          <w:color w:val="auto"/>
          <w:lang w:eastAsia="en-US"/>
        </w:rPr>
        <w:t xml:space="preserve">students with disability </w:t>
      </w:r>
      <w:r>
        <w:rPr>
          <w:color w:val="auto"/>
          <w:lang w:eastAsia="en-US"/>
        </w:rPr>
        <w:t>c</w:t>
      </w:r>
      <w:r w:rsidRPr="00C80147">
        <w:rPr>
          <w:color w:val="auto"/>
          <w:lang w:eastAsia="en-US"/>
        </w:rPr>
        <w:t>ould benefit from associating with students with different disabilities.</w:t>
      </w:r>
      <w:r>
        <w:rPr>
          <w:rStyle w:val="FootnoteReference"/>
          <w:color w:val="auto"/>
          <w:lang w:eastAsia="en-US"/>
        </w:rPr>
        <w:footnoteReference w:id="465"/>
      </w:r>
      <w:r w:rsidRPr="00C80147">
        <w:rPr>
          <w:color w:val="auto"/>
          <w:lang w:eastAsia="en-US"/>
        </w:rPr>
        <w:t xml:space="preserve"> </w:t>
      </w:r>
    </w:p>
    <w:p w14:paraId="6316A54C" w14:textId="77777777" w:rsidR="000835D9" w:rsidRDefault="000835D9" w:rsidP="000835D9">
      <w:pPr>
        <w:pStyle w:val="NormalAutoChapter"/>
      </w:pPr>
      <w:r w:rsidRPr="0086093B">
        <w:rPr>
          <w:color w:val="auto"/>
          <w:lang w:eastAsia="en-US"/>
        </w:rPr>
        <w:t xml:space="preserve">Other exceptions apply. These include where a person with disability requires </w:t>
      </w:r>
      <w:r>
        <w:t>services or facilities not required by students who do not have a disability, or a benefit to be provided in a “special manner”. It is not unlawful to discriminate where these ca</w:t>
      </w:r>
      <w:r w:rsidRPr="0086093B">
        <w:t>n</w:t>
      </w:r>
      <w:r>
        <w:t>no</w:t>
      </w:r>
      <w:r w:rsidRPr="0086093B">
        <w:t>t be provided without causing the educational authority “unjustifiable hardship”.</w:t>
      </w:r>
      <w:r w:rsidRPr="0086093B">
        <w:rPr>
          <w:rStyle w:val="FootnoteReference"/>
        </w:rPr>
        <w:footnoteReference w:id="466"/>
      </w:r>
      <w:r>
        <w:t xml:space="preserve"> </w:t>
      </w:r>
    </w:p>
    <w:p w14:paraId="76D0515D" w14:textId="77777777" w:rsidR="000835D9" w:rsidRPr="00C80147" w:rsidRDefault="000835D9" w:rsidP="000835D9">
      <w:pPr>
        <w:pStyle w:val="NormalAutoChapter"/>
      </w:pPr>
      <w:r>
        <w:t xml:space="preserve">An option for reform is to instead require educational authorities to provide adjustments. We consider this option </w:t>
      </w:r>
      <w:r w:rsidRPr="0038019A">
        <w:t>in chapter 11.</w:t>
      </w:r>
    </w:p>
    <w:p w14:paraId="30CE472F" w14:textId="77777777" w:rsidR="000835D9" w:rsidRPr="0089104D" w:rsidRDefault="000835D9" w:rsidP="000835D9">
      <w:pPr>
        <w:pStyle w:val="Heading3"/>
      </w:pPr>
      <w:r>
        <w:t xml:space="preserve">Age discrimination exceptions </w:t>
      </w:r>
    </w:p>
    <w:p w14:paraId="748DAD37" w14:textId="77777777" w:rsidR="000835D9" w:rsidRDefault="000835D9" w:rsidP="000835D9">
      <w:pPr>
        <w:pStyle w:val="NormalAutoChapter"/>
      </w:pPr>
      <w:r>
        <w:rPr>
          <w:color w:val="auto"/>
          <w:lang w:eastAsia="en-US"/>
        </w:rPr>
        <w:t>The ADA includes exceptions which allow</w:t>
      </w:r>
      <w:r>
        <w:t xml:space="preserve"> schools to refuse to enrol children under 6 years old.</w:t>
      </w:r>
      <w:r w:rsidRPr="00A169F5">
        <w:rPr>
          <w:rStyle w:val="FootnoteReference"/>
        </w:rPr>
        <w:t xml:space="preserve"> </w:t>
      </w:r>
      <w:r>
        <w:t xml:space="preserve">It also allows educational </w:t>
      </w:r>
      <w:r w:rsidRPr="009E2289">
        <w:t xml:space="preserve">institutions </w:t>
      </w:r>
      <w:r w:rsidRPr="006732B5">
        <w:t xml:space="preserve">to </w:t>
      </w:r>
      <w:r>
        <w:t xml:space="preserve">only </w:t>
      </w:r>
      <w:r w:rsidRPr="006732B5">
        <w:t>provide education or training for students above a particular ag</w:t>
      </w:r>
      <w:r>
        <w:t>e and to provide age-based benefits, including concessions, to students.</w:t>
      </w:r>
      <w:r>
        <w:rPr>
          <w:rStyle w:val="FootnoteReference"/>
        </w:rPr>
        <w:footnoteReference w:id="467"/>
      </w:r>
      <w:r w:rsidRPr="001A68D7">
        <w:t xml:space="preserve"> </w:t>
      </w:r>
    </w:p>
    <w:p w14:paraId="7A3AFA55" w14:textId="77777777" w:rsidR="000835D9" w:rsidRPr="00E2367F" w:rsidRDefault="000835D9" w:rsidP="000835D9">
      <w:pPr>
        <w:pStyle w:val="NormalAutoChapter"/>
        <w:rPr>
          <w:color w:val="auto"/>
          <w:lang w:eastAsia="en-US"/>
        </w:rPr>
      </w:pPr>
      <w:r w:rsidRPr="00E2367F">
        <w:rPr>
          <w:color w:val="auto"/>
          <w:lang w:eastAsia="en-US"/>
        </w:rPr>
        <w:t>In 1999</w:t>
      </w:r>
      <w:r>
        <w:rPr>
          <w:color w:val="auto"/>
          <w:lang w:eastAsia="en-US"/>
        </w:rPr>
        <w:t>,</w:t>
      </w:r>
      <w:r w:rsidRPr="00E2367F">
        <w:rPr>
          <w:color w:val="auto"/>
          <w:lang w:eastAsia="en-US"/>
        </w:rPr>
        <w:t xml:space="preserve"> the NSWLRC recommended replacing this with exceptions for:</w:t>
      </w:r>
    </w:p>
    <w:p w14:paraId="43A289B0" w14:textId="77777777" w:rsidR="000835D9" w:rsidRPr="001F6997" w:rsidRDefault="000835D9" w:rsidP="000835D9">
      <w:pPr>
        <w:pStyle w:val="Normalbullet"/>
      </w:pPr>
      <w:r>
        <w:t>a</w:t>
      </w:r>
      <w:r w:rsidRPr="001F6997">
        <w:t>g</w:t>
      </w:r>
      <w:r>
        <w:t>e</w:t>
      </w:r>
      <w:r w:rsidRPr="001F6997">
        <w:t xml:space="preserve"> discrimination </w:t>
      </w:r>
      <w:r>
        <w:t>relating</w:t>
      </w:r>
      <w:r w:rsidRPr="001F6997">
        <w:t xml:space="preserve"> to the provision of educational services up to and including secondary school</w:t>
      </w:r>
    </w:p>
    <w:p w14:paraId="4D88F3B0" w14:textId="77777777" w:rsidR="000835D9" w:rsidRPr="00E2367F" w:rsidRDefault="000835D9" w:rsidP="000835D9">
      <w:pPr>
        <w:pStyle w:val="Normalbullet"/>
      </w:pPr>
      <w:r w:rsidRPr="00E2367F">
        <w:t xml:space="preserve">a minimum age requirement on a particular educational program, and </w:t>
      </w:r>
    </w:p>
    <w:p w14:paraId="19F97D1C" w14:textId="77777777" w:rsidR="000835D9" w:rsidRPr="00E2367F" w:rsidRDefault="000835D9" w:rsidP="000835D9">
      <w:pPr>
        <w:pStyle w:val="Normalbullet"/>
      </w:pPr>
      <w:r w:rsidRPr="00E2367F">
        <w:t>quotas in relation to students of different ages.</w:t>
      </w:r>
    </w:p>
    <w:p w14:paraId="13414A4E" w14:textId="77777777" w:rsidR="000835D9" w:rsidRDefault="000835D9" w:rsidP="000835D9">
      <w:pPr>
        <w:pStyle w:val="NormalAutoChapter"/>
      </w:pPr>
      <w:r>
        <w:t>In t</w:t>
      </w:r>
      <w:r w:rsidRPr="00355714">
        <w:t>he NSWLRC</w:t>
      </w:r>
      <w:r>
        <w:t xml:space="preserve">’s view, </w:t>
      </w:r>
      <w:r w:rsidRPr="00355714">
        <w:t xml:space="preserve">it may be appropriate for an educational authority to impose a maximum admission age in some cases. However, </w:t>
      </w:r>
      <w:r>
        <w:t xml:space="preserve">the NSWLRC thought they </w:t>
      </w:r>
      <w:r w:rsidRPr="00355714">
        <w:t xml:space="preserve">should apply </w:t>
      </w:r>
      <w:r>
        <w:t xml:space="preserve">to the Anti-Discrimination Board </w:t>
      </w:r>
      <w:r w:rsidRPr="00355714">
        <w:t>for an exemption to do so.</w:t>
      </w:r>
      <w:r w:rsidRPr="00355714">
        <w:rPr>
          <w:rStyle w:val="FootnoteReference"/>
          <w:color w:val="auto"/>
        </w:rPr>
        <w:footnoteReference w:id="468"/>
      </w:r>
      <w:r w:rsidRPr="00355714">
        <w:t xml:space="preserve"> We consider exemptions in </w:t>
      </w:r>
      <w:r w:rsidRPr="0086179C">
        <w:t>chapter 11.</w:t>
      </w:r>
    </w:p>
    <w:p w14:paraId="4ACC4F7A" w14:textId="77777777" w:rsidR="000835D9" w:rsidRPr="000B14A9" w:rsidRDefault="000835D9" w:rsidP="000835D9">
      <w:pPr>
        <w:pStyle w:val="Recommendationheading"/>
      </w:pPr>
      <w:bookmarkStart w:id="240" w:name="_Hlk189598288"/>
      <w:r w:rsidRPr="000B14A9">
        <w:lastRenderedPageBreak/>
        <w:t>Question 6.</w:t>
      </w:r>
      <w:r>
        <w:t>3</w:t>
      </w:r>
      <w:r w:rsidRPr="000B14A9">
        <w:t xml:space="preserve">: Discrimination in education </w:t>
      </w:r>
    </w:p>
    <w:p w14:paraId="1B11DD8E" w14:textId="41C79BA5" w:rsidR="000835D9" w:rsidRDefault="000835D9" w:rsidP="000835D9">
      <w:pPr>
        <w:pStyle w:val="Recommendationhanging1"/>
      </w:pPr>
      <w:r>
        <w:t>(1)</w:t>
      </w:r>
      <w:r>
        <w:tab/>
        <w:t>What</w:t>
      </w:r>
      <w:r w:rsidR="00F55080">
        <w:t xml:space="preserve"> changes, if any,</w:t>
      </w:r>
      <w:r>
        <w:t xml:space="preserve"> s</w:t>
      </w:r>
      <w:r w:rsidRPr="000B14A9">
        <w:t xml:space="preserve">hould </w:t>
      </w:r>
      <w:r>
        <w:t xml:space="preserve">be made to </w:t>
      </w:r>
      <w:r w:rsidRPr="000B14A9">
        <w:t xml:space="preserve">the definition </w:t>
      </w:r>
      <w:r>
        <w:t xml:space="preserve">and coverage </w:t>
      </w:r>
      <w:r w:rsidRPr="000B14A9">
        <w:t>of the</w:t>
      </w:r>
      <w:r>
        <w:t xml:space="preserve"> protected area of “education”?</w:t>
      </w:r>
    </w:p>
    <w:p w14:paraId="176D4916" w14:textId="3565F1D6" w:rsidR="000835D9" w:rsidRDefault="000835D9" w:rsidP="000835D9">
      <w:pPr>
        <w:pStyle w:val="Recommendationhanging1"/>
      </w:pPr>
      <w:r>
        <w:t>(2)</w:t>
      </w:r>
      <w:r>
        <w:tab/>
        <w:t>What</w:t>
      </w:r>
      <w:r w:rsidR="00F55080">
        <w:t xml:space="preserve"> changes, if any,</w:t>
      </w:r>
      <w:r>
        <w:t xml:space="preserve"> should be made to the exceptions relating to:</w:t>
      </w:r>
    </w:p>
    <w:p w14:paraId="569982D2" w14:textId="77777777" w:rsidR="000835D9" w:rsidRDefault="000835D9" w:rsidP="000835D9">
      <w:pPr>
        <w:pStyle w:val="Recommendationhanginga"/>
      </w:pPr>
      <w:r>
        <w:tab/>
        <w:t>(a)</w:t>
      </w:r>
      <w:r>
        <w:tab/>
        <w:t>single-sex educational institutions, and</w:t>
      </w:r>
    </w:p>
    <w:p w14:paraId="5A3C841C" w14:textId="77777777" w:rsidR="000835D9" w:rsidRDefault="000835D9" w:rsidP="000835D9">
      <w:pPr>
        <w:pStyle w:val="Recommendationhanginga"/>
      </w:pPr>
      <w:r>
        <w:tab/>
        <w:t>(b)</w:t>
      </w:r>
      <w:r>
        <w:tab/>
        <w:t>disability and age discrimination in educational institutions?</w:t>
      </w:r>
    </w:p>
    <w:p w14:paraId="5EA50D7F" w14:textId="77777777" w:rsidR="000835D9" w:rsidRPr="001D38E6" w:rsidRDefault="000835D9" w:rsidP="000835D9">
      <w:pPr>
        <w:pStyle w:val="Heading1"/>
      </w:pPr>
      <w:bookmarkStart w:id="241" w:name="_Toc196748344"/>
      <w:bookmarkStart w:id="242" w:name="_Toc196826877"/>
      <w:bookmarkEnd w:id="240"/>
      <w:r>
        <w:t>The provision of g</w:t>
      </w:r>
      <w:r w:rsidRPr="001D38E6">
        <w:t>oods and services</w:t>
      </w:r>
      <w:bookmarkEnd w:id="241"/>
      <w:bookmarkEnd w:id="242"/>
      <w:r w:rsidRPr="001D38E6">
        <w:t xml:space="preserve"> </w:t>
      </w:r>
    </w:p>
    <w:p w14:paraId="7D03AD7B" w14:textId="77777777" w:rsidR="000835D9" w:rsidRPr="001D38E6" w:rsidRDefault="000835D9" w:rsidP="000835D9">
      <w:pPr>
        <w:pStyle w:val="NormalAutoChapter"/>
      </w:pPr>
      <w:r w:rsidRPr="001D38E6">
        <w:t xml:space="preserve">The </w:t>
      </w:r>
      <w:r w:rsidRPr="00C7670E">
        <w:t>ADA</w:t>
      </w:r>
      <w:r w:rsidRPr="001D38E6">
        <w:t xml:space="preserve"> prohibits discrimination in the provision of goods and services.</w:t>
      </w:r>
      <w:r>
        <w:t xml:space="preserve"> This covers: </w:t>
      </w:r>
    </w:p>
    <w:p w14:paraId="11233A8D" w14:textId="77777777" w:rsidR="000835D9" w:rsidRPr="001D38E6" w:rsidRDefault="000835D9" w:rsidP="000835D9">
      <w:pPr>
        <w:pStyle w:val="Normalbullet"/>
      </w:pPr>
      <w:r w:rsidRPr="001D38E6">
        <w:t>refusing to provid</w:t>
      </w:r>
      <w:r>
        <w:t>e</w:t>
      </w:r>
      <w:r w:rsidRPr="001D38E6">
        <w:t xml:space="preserve"> good</w:t>
      </w:r>
      <w:r>
        <w:t>s</w:t>
      </w:r>
      <w:r w:rsidRPr="001D38E6">
        <w:t xml:space="preserve"> or service</w:t>
      </w:r>
      <w:r>
        <w:t>s</w:t>
      </w:r>
      <w:r w:rsidRPr="001D38E6">
        <w:t xml:space="preserve">, </w:t>
      </w:r>
      <w:r>
        <w:t>and</w:t>
      </w:r>
    </w:p>
    <w:p w14:paraId="0F89F83C" w14:textId="77777777" w:rsidR="000835D9" w:rsidRDefault="000835D9" w:rsidP="000835D9">
      <w:pPr>
        <w:pStyle w:val="Normalbullet"/>
      </w:pPr>
      <w:r w:rsidRPr="001D38E6">
        <w:t>discriminating in the terms on which good</w:t>
      </w:r>
      <w:r>
        <w:t>s</w:t>
      </w:r>
      <w:r w:rsidRPr="001D38E6">
        <w:t xml:space="preserve"> or service</w:t>
      </w:r>
      <w:r>
        <w:t>s are</w:t>
      </w:r>
      <w:r w:rsidRPr="001D38E6">
        <w:t xml:space="preserve"> provided.</w:t>
      </w:r>
      <w:r w:rsidRPr="001D38E6">
        <w:rPr>
          <w:rStyle w:val="FootnoteReference"/>
        </w:rPr>
        <w:footnoteReference w:id="469"/>
      </w:r>
    </w:p>
    <w:p w14:paraId="3B04D470" w14:textId="77777777" w:rsidR="000835D9" w:rsidRDefault="000835D9" w:rsidP="000835D9">
      <w:pPr>
        <w:pStyle w:val="NormalAutoChapter"/>
      </w:pPr>
      <w:r>
        <w:t>The ADA does not define “goods”. It defines “services” to include services:</w:t>
      </w:r>
    </w:p>
    <w:p w14:paraId="4356A0D5" w14:textId="77777777" w:rsidR="000835D9" w:rsidRDefault="000835D9" w:rsidP="000835D9">
      <w:pPr>
        <w:pStyle w:val="Normalbullet"/>
      </w:pPr>
      <w:r>
        <w:t>relating to banking, insurance and the provision of grants, loans, credit or finance</w:t>
      </w:r>
    </w:p>
    <w:p w14:paraId="6D64E48B" w14:textId="77777777" w:rsidR="000835D9" w:rsidRDefault="000835D9" w:rsidP="000835D9">
      <w:pPr>
        <w:pStyle w:val="Normalbullet"/>
      </w:pPr>
      <w:r>
        <w:t>relating to entertainment, recreation or refreshment</w:t>
      </w:r>
    </w:p>
    <w:p w14:paraId="52A0882E" w14:textId="77777777" w:rsidR="000835D9" w:rsidRDefault="000835D9" w:rsidP="000835D9">
      <w:pPr>
        <w:pStyle w:val="Normalbullet"/>
      </w:pPr>
      <w:r>
        <w:t>relating to transport or travel</w:t>
      </w:r>
    </w:p>
    <w:p w14:paraId="739524E6" w14:textId="77777777" w:rsidR="000835D9" w:rsidRDefault="000835D9" w:rsidP="000835D9">
      <w:pPr>
        <w:pStyle w:val="Normalbullet"/>
      </w:pPr>
      <w:r>
        <w:t>of any profession or trade</w:t>
      </w:r>
    </w:p>
    <w:p w14:paraId="3BB583BE" w14:textId="77777777" w:rsidR="000835D9" w:rsidRDefault="000835D9" w:rsidP="000835D9">
      <w:pPr>
        <w:pStyle w:val="Normalbullet"/>
      </w:pPr>
      <w:r>
        <w:t>provided by a council or public authority, and</w:t>
      </w:r>
    </w:p>
    <w:p w14:paraId="3D8BD0FD" w14:textId="77777777" w:rsidR="000835D9" w:rsidRPr="00AD2C03" w:rsidRDefault="000835D9" w:rsidP="000835D9">
      <w:pPr>
        <w:pStyle w:val="Normalbullet"/>
      </w:pPr>
      <w:r w:rsidRPr="00AD2C03">
        <w:t>consisting of access to, and the use of any facilities in, any place or vehicle that the public, or section of the public, is entitled or allowed to enter (</w:t>
      </w:r>
      <w:proofErr w:type="gramStart"/>
      <w:r w:rsidRPr="00AD2C03">
        <w:t>whether or not</w:t>
      </w:r>
      <w:proofErr w:type="gramEnd"/>
      <w:r w:rsidRPr="00AD2C03">
        <w:t xml:space="preserve"> for payment).</w:t>
      </w:r>
      <w:r w:rsidRPr="00AD2C03">
        <w:rPr>
          <w:rStyle w:val="FootnoteReference"/>
        </w:rPr>
        <w:footnoteReference w:id="470"/>
      </w:r>
    </w:p>
    <w:p w14:paraId="37DD3FE5" w14:textId="77777777" w:rsidR="000835D9" w:rsidRDefault="000835D9" w:rsidP="000835D9">
      <w:pPr>
        <w:pStyle w:val="NormalAutoChapter"/>
      </w:pPr>
      <w:r>
        <w:t>We outline some issues relating to the coverage of this area, including the exceptions that apply to superannuation services and insurance, below. We consider the related issue of discrimination in the administration of state laws and programs later in this chapter.</w:t>
      </w:r>
    </w:p>
    <w:p w14:paraId="3DE900B2" w14:textId="77777777" w:rsidR="000835D9" w:rsidRDefault="000835D9" w:rsidP="000835D9">
      <w:pPr>
        <w:pStyle w:val="Heading2"/>
      </w:pPr>
      <w:bookmarkStart w:id="243" w:name="_Toc196748345"/>
      <w:bookmarkStart w:id="244" w:name="_Toc196826878"/>
      <w:r>
        <w:t>Issues relating to coverage</w:t>
      </w:r>
      <w:bookmarkEnd w:id="243"/>
      <w:bookmarkEnd w:id="244"/>
      <w:r>
        <w:t xml:space="preserve"> </w:t>
      </w:r>
    </w:p>
    <w:p w14:paraId="2ECC7199" w14:textId="77777777" w:rsidR="000835D9" w:rsidRPr="0074413A" w:rsidRDefault="000835D9" w:rsidP="000835D9">
      <w:pPr>
        <w:pStyle w:val="Heading3"/>
      </w:pPr>
      <w:r>
        <w:t xml:space="preserve">The </w:t>
      </w:r>
      <w:proofErr w:type="gramStart"/>
      <w:r>
        <w:t>manner in which</w:t>
      </w:r>
      <w:proofErr w:type="gramEnd"/>
      <w:r>
        <w:t xml:space="preserve"> goods and services are provided</w:t>
      </w:r>
    </w:p>
    <w:p w14:paraId="742ED89D" w14:textId="77777777" w:rsidR="000835D9" w:rsidRDefault="000835D9" w:rsidP="000835D9">
      <w:pPr>
        <w:pStyle w:val="NormalAutoChapter"/>
        <w:rPr>
          <w:color w:val="auto"/>
        </w:rPr>
      </w:pPr>
      <w:r>
        <w:rPr>
          <w:color w:val="auto"/>
        </w:rPr>
        <w:t>T</w:t>
      </w:r>
      <w:r w:rsidRPr="006E3040">
        <w:rPr>
          <w:color w:val="auto"/>
        </w:rPr>
        <w:t xml:space="preserve">he ADA prohibits discrimination in the terms on which </w:t>
      </w:r>
      <w:r>
        <w:rPr>
          <w:color w:val="auto"/>
        </w:rPr>
        <w:t xml:space="preserve">someone is </w:t>
      </w:r>
      <w:r w:rsidRPr="006E3040">
        <w:rPr>
          <w:color w:val="auto"/>
        </w:rPr>
        <w:t xml:space="preserve">provided with goods </w:t>
      </w:r>
      <w:r>
        <w:rPr>
          <w:color w:val="auto"/>
        </w:rPr>
        <w:t xml:space="preserve">or </w:t>
      </w:r>
      <w:r w:rsidRPr="006E3040">
        <w:rPr>
          <w:color w:val="auto"/>
        </w:rPr>
        <w:t>services</w:t>
      </w:r>
      <w:r>
        <w:rPr>
          <w:color w:val="auto"/>
        </w:rPr>
        <w:t>. T</w:t>
      </w:r>
      <w:r w:rsidRPr="006E3040">
        <w:rPr>
          <w:color w:val="auto"/>
        </w:rPr>
        <w:t>his</w:t>
      </w:r>
      <w:r>
        <w:rPr>
          <w:color w:val="auto"/>
        </w:rPr>
        <w:t xml:space="preserve"> </w:t>
      </w:r>
      <w:r w:rsidRPr="006E3040">
        <w:rPr>
          <w:color w:val="auto"/>
        </w:rPr>
        <w:t>only appl</w:t>
      </w:r>
      <w:r>
        <w:rPr>
          <w:color w:val="auto"/>
        </w:rPr>
        <w:t>ies</w:t>
      </w:r>
      <w:r w:rsidRPr="006E3040">
        <w:rPr>
          <w:color w:val="auto"/>
        </w:rPr>
        <w:t xml:space="preserve"> to the terms and conditions initially offered. </w:t>
      </w:r>
      <w:r>
        <w:rPr>
          <w:color w:val="auto"/>
        </w:rPr>
        <w:t xml:space="preserve">It does not prohibit discrimination in </w:t>
      </w:r>
      <w:r w:rsidRPr="006E3040">
        <w:rPr>
          <w:color w:val="auto"/>
        </w:rPr>
        <w:t>the manner, or</w:t>
      </w:r>
      <w:r>
        <w:rPr>
          <w:color w:val="auto"/>
        </w:rPr>
        <w:t xml:space="preserve"> the</w:t>
      </w:r>
      <w:r w:rsidRPr="006E3040">
        <w:rPr>
          <w:color w:val="auto"/>
        </w:rPr>
        <w:t xml:space="preserve"> way, in which</w:t>
      </w:r>
      <w:r>
        <w:rPr>
          <w:color w:val="auto"/>
        </w:rPr>
        <w:t xml:space="preserve"> </w:t>
      </w:r>
      <w:r w:rsidRPr="006E3040">
        <w:rPr>
          <w:color w:val="auto"/>
        </w:rPr>
        <w:t xml:space="preserve">the </w:t>
      </w:r>
      <w:r>
        <w:rPr>
          <w:color w:val="auto"/>
        </w:rPr>
        <w:t xml:space="preserve">good or </w:t>
      </w:r>
      <w:r w:rsidRPr="006E3040">
        <w:rPr>
          <w:color w:val="auto"/>
        </w:rPr>
        <w:t xml:space="preserve">service </w:t>
      </w:r>
      <w:r>
        <w:rPr>
          <w:color w:val="auto"/>
        </w:rPr>
        <w:t>is</w:t>
      </w:r>
      <w:r w:rsidRPr="006E3040">
        <w:rPr>
          <w:color w:val="auto"/>
        </w:rPr>
        <w:t xml:space="preserve"> provided after the terms and conditions </w:t>
      </w:r>
      <w:r>
        <w:rPr>
          <w:color w:val="auto"/>
        </w:rPr>
        <w:t>are</w:t>
      </w:r>
      <w:r w:rsidRPr="006E3040">
        <w:rPr>
          <w:color w:val="auto"/>
        </w:rPr>
        <w:t xml:space="preserve"> agreed. </w:t>
      </w:r>
    </w:p>
    <w:p w14:paraId="4438FDAA" w14:textId="77777777" w:rsidR="000835D9" w:rsidRPr="006E3040" w:rsidRDefault="000835D9" w:rsidP="000835D9">
      <w:pPr>
        <w:pStyle w:val="NormalAutoChapter"/>
        <w:rPr>
          <w:color w:val="auto"/>
        </w:rPr>
      </w:pPr>
      <w:r>
        <w:rPr>
          <w:color w:val="auto"/>
        </w:rPr>
        <w:lastRenderedPageBreak/>
        <w:t>In one case, f</w:t>
      </w:r>
      <w:r w:rsidRPr="006E3040">
        <w:rPr>
          <w:color w:val="auto"/>
        </w:rPr>
        <w:t xml:space="preserve">or example, a transgender </w:t>
      </w:r>
      <w:r>
        <w:rPr>
          <w:color w:val="auto"/>
        </w:rPr>
        <w:t>person</w:t>
      </w:r>
      <w:r w:rsidRPr="006E3040">
        <w:rPr>
          <w:color w:val="auto"/>
        </w:rPr>
        <w:t xml:space="preserve"> was allowed to board a public bus on the same terms as everyone else</w:t>
      </w:r>
      <w:r>
        <w:rPr>
          <w:color w:val="auto"/>
        </w:rPr>
        <w:t xml:space="preserve">. The driver insulted them after they boarded the bus. The Tribunal said there was a gap in the law because it only covered the terms and conditions on which services were offered but not the </w:t>
      </w:r>
      <w:proofErr w:type="gramStart"/>
      <w:r>
        <w:rPr>
          <w:color w:val="auto"/>
        </w:rPr>
        <w:t>manner in which</w:t>
      </w:r>
      <w:proofErr w:type="gramEnd"/>
      <w:r>
        <w:rPr>
          <w:color w:val="auto"/>
        </w:rPr>
        <w:t xml:space="preserve"> they were provided.</w:t>
      </w:r>
      <w:r w:rsidRPr="006E3040">
        <w:rPr>
          <w:rStyle w:val="FootnoteReference"/>
          <w:color w:val="auto"/>
        </w:rPr>
        <w:footnoteReference w:id="471"/>
      </w:r>
    </w:p>
    <w:p w14:paraId="59683BB2" w14:textId="77777777" w:rsidR="000835D9" w:rsidRPr="000835D9" w:rsidRDefault="000835D9" w:rsidP="000835D9">
      <w:pPr>
        <w:pStyle w:val="NormalAutoChapter"/>
        <w:rPr>
          <w:color w:val="000000" w:themeColor="text1"/>
        </w:rPr>
      </w:pPr>
      <w:r w:rsidRPr="000835D9">
        <w:rPr>
          <w:color w:val="000000" w:themeColor="text1"/>
        </w:rPr>
        <w:t>Other discrimination laws prohibit discrimination in the manner, or way, goods and services are provided.</w:t>
      </w:r>
      <w:r w:rsidRPr="000835D9">
        <w:rPr>
          <w:rStyle w:val="FootnoteReference"/>
          <w:color w:val="000000" w:themeColor="text1"/>
        </w:rPr>
        <w:footnoteReference w:id="472"/>
      </w:r>
      <w:r w:rsidRPr="000835D9">
        <w:rPr>
          <w:color w:val="000000" w:themeColor="text1"/>
        </w:rPr>
        <w:t xml:space="preserve"> Some make it unlawful to subject someone “to any other detriment” or treat them “less favourably in any way” in connection with the supply of goods and services.</w:t>
      </w:r>
      <w:r w:rsidRPr="000835D9">
        <w:rPr>
          <w:rStyle w:val="FootnoteReference"/>
          <w:color w:val="000000" w:themeColor="text1"/>
        </w:rPr>
        <w:footnoteReference w:id="473"/>
      </w:r>
    </w:p>
    <w:p w14:paraId="0EC70CCF" w14:textId="77777777" w:rsidR="000835D9" w:rsidRPr="000835D9" w:rsidRDefault="000835D9" w:rsidP="000835D9">
      <w:pPr>
        <w:pStyle w:val="NormalAutoChapter"/>
        <w:rPr>
          <w:color w:val="000000" w:themeColor="text1"/>
        </w:rPr>
      </w:pPr>
      <w:r w:rsidRPr="000835D9">
        <w:rPr>
          <w:color w:val="000000" w:themeColor="text1"/>
          <w:szCs w:val="22"/>
        </w:rPr>
        <w:t>In 1999, the NSWLRC recommended the ADA should prohibit discrimination in the “manner” in which goods and services are provided. It preferred this expression because it is used elsewhere in Australia and provides broad protection.</w:t>
      </w:r>
      <w:r w:rsidRPr="000835D9">
        <w:rPr>
          <w:rStyle w:val="FootnoteReference"/>
          <w:color w:val="000000" w:themeColor="text1"/>
          <w:szCs w:val="22"/>
        </w:rPr>
        <w:footnoteReference w:id="474"/>
      </w:r>
    </w:p>
    <w:p w14:paraId="05431F52" w14:textId="77777777" w:rsidR="000835D9" w:rsidRPr="0074413A" w:rsidRDefault="000835D9" w:rsidP="000835D9">
      <w:pPr>
        <w:pStyle w:val="Heading3"/>
        <w:rPr>
          <w:szCs w:val="24"/>
        </w:rPr>
      </w:pPr>
      <w:r>
        <w:t>The receipt of goods and services</w:t>
      </w:r>
    </w:p>
    <w:p w14:paraId="7B153027" w14:textId="77777777" w:rsidR="000835D9" w:rsidRDefault="000835D9" w:rsidP="000835D9">
      <w:pPr>
        <w:pStyle w:val="NormalAutoChapter"/>
        <w:rPr>
          <w:color w:val="auto"/>
        </w:rPr>
      </w:pPr>
      <w:r>
        <w:rPr>
          <w:szCs w:val="22"/>
        </w:rPr>
        <w:t>Unlike NSW, the</w:t>
      </w:r>
      <w:r w:rsidRPr="007E52E6">
        <w:rPr>
          <w:szCs w:val="22"/>
        </w:rPr>
        <w:t xml:space="preserve"> </w:t>
      </w:r>
      <w:r>
        <w:rPr>
          <w:szCs w:val="22"/>
        </w:rPr>
        <w:t>Northern Territory (</w:t>
      </w:r>
      <w:r w:rsidRPr="007E52E6">
        <w:rPr>
          <w:szCs w:val="22"/>
        </w:rPr>
        <w:t>NT</w:t>
      </w:r>
      <w:r>
        <w:rPr>
          <w:szCs w:val="22"/>
        </w:rPr>
        <w:t>)</w:t>
      </w:r>
      <w:r w:rsidRPr="007E52E6">
        <w:rPr>
          <w:szCs w:val="22"/>
        </w:rPr>
        <w:t xml:space="preserve"> </w:t>
      </w:r>
      <w:r>
        <w:rPr>
          <w:szCs w:val="22"/>
        </w:rPr>
        <w:t xml:space="preserve">makes it unlawful for someone who receives goods, services or facilities to </w:t>
      </w:r>
      <w:r w:rsidRPr="007E52E6">
        <w:rPr>
          <w:szCs w:val="22"/>
        </w:rPr>
        <w:t>discriminat</w:t>
      </w:r>
      <w:r>
        <w:rPr>
          <w:szCs w:val="22"/>
        </w:rPr>
        <w:t xml:space="preserve">e against someone </w:t>
      </w:r>
      <w:r w:rsidRPr="007E52E6">
        <w:rPr>
          <w:szCs w:val="22"/>
        </w:rPr>
        <w:t xml:space="preserve">in the </w:t>
      </w:r>
      <w:r>
        <w:rPr>
          <w:szCs w:val="22"/>
        </w:rPr>
        <w:t xml:space="preserve">way they receive those </w:t>
      </w:r>
      <w:r w:rsidRPr="007E52E6">
        <w:rPr>
          <w:szCs w:val="22"/>
        </w:rPr>
        <w:t>goods</w:t>
      </w:r>
      <w:r>
        <w:rPr>
          <w:szCs w:val="22"/>
        </w:rPr>
        <w:t xml:space="preserve">, </w:t>
      </w:r>
      <w:r w:rsidRPr="007E52E6">
        <w:rPr>
          <w:szCs w:val="22"/>
        </w:rPr>
        <w:t>services</w:t>
      </w:r>
      <w:r>
        <w:rPr>
          <w:szCs w:val="22"/>
        </w:rPr>
        <w:t xml:space="preserve"> or facilities</w:t>
      </w:r>
      <w:r w:rsidRPr="007E52E6">
        <w:rPr>
          <w:szCs w:val="22"/>
        </w:rPr>
        <w:t>.</w:t>
      </w:r>
      <w:r>
        <w:rPr>
          <w:rStyle w:val="FootnoteReference"/>
          <w:szCs w:val="22"/>
        </w:rPr>
        <w:footnoteReference w:id="475"/>
      </w:r>
      <w:r w:rsidRPr="007E52E6">
        <w:rPr>
          <w:szCs w:val="22"/>
        </w:rPr>
        <w:t xml:space="preserve"> This was added in 2022 to address</w:t>
      </w:r>
      <w:r w:rsidRPr="001D38E6">
        <w:t xml:space="preserve"> discriminat</w:t>
      </w:r>
      <w:r>
        <w:t>ion</w:t>
      </w:r>
      <w:r w:rsidRPr="001D38E6">
        <w:t xml:space="preserve"> by customers against staff in pubs, and race</w:t>
      </w:r>
      <w:r>
        <w:t>-</w:t>
      </w:r>
      <w:r w:rsidRPr="001D38E6">
        <w:t>based discrimination against taxi drivers by passengers.</w:t>
      </w:r>
      <w:r w:rsidRPr="001D38E6">
        <w:rPr>
          <w:rStyle w:val="FootnoteReference"/>
        </w:rPr>
        <w:footnoteReference w:id="476"/>
      </w:r>
      <w:r w:rsidRPr="007E52E6">
        <w:rPr>
          <w:color w:val="auto"/>
        </w:rPr>
        <w:t xml:space="preserve"> </w:t>
      </w:r>
      <w:r>
        <w:rPr>
          <w:color w:val="auto"/>
        </w:rPr>
        <w:t xml:space="preserve">It might also </w:t>
      </w:r>
      <w:r w:rsidRPr="007E52E6">
        <w:rPr>
          <w:color w:val="auto"/>
        </w:rPr>
        <w:t>protect gig economy workers who may experience discrimination in providing goods and services</w:t>
      </w:r>
      <w:r>
        <w:rPr>
          <w:color w:val="auto"/>
        </w:rPr>
        <w:t xml:space="preserve"> to app users</w:t>
      </w:r>
      <w:r w:rsidRPr="007E52E6">
        <w:rPr>
          <w:color w:val="auto"/>
        </w:rPr>
        <w:t xml:space="preserve">. </w:t>
      </w:r>
    </w:p>
    <w:p w14:paraId="76E53E2D" w14:textId="77777777" w:rsidR="000835D9" w:rsidRDefault="000835D9" w:rsidP="000835D9">
      <w:pPr>
        <w:pStyle w:val="NormalAutoChapter"/>
      </w:pPr>
      <w:r>
        <w:rPr>
          <w:color w:val="auto"/>
        </w:rPr>
        <w:t xml:space="preserve">However, it could be said that this goes beyond the traditional reach of discrimination law. It imposes obligations on people who receive goods and services — not just those who provide them. This may have </w:t>
      </w:r>
      <w:r w:rsidRPr="006909B3">
        <w:rPr>
          <w:color w:val="auto"/>
        </w:rPr>
        <w:t xml:space="preserve">unintended consequences. For </w:t>
      </w:r>
      <w:r>
        <w:rPr>
          <w:color w:val="auto"/>
        </w:rPr>
        <w:t>example</w:t>
      </w:r>
      <w:r w:rsidRPr="006909B3">
        <w:rPr>
          <w:color w:val="auto"/>
        </w:rPr>
        <w:t xml:space="preserve">, </w:t>
      </w:r>
      <w:r>
        <w:rPr>
          <w:color w:val="auto"/>
        </w:rPr>
        <w:t>questions arise as to whether it might c</w:t>
      </w:r>
      <w:r w:rsidRPr="006909B3">
        <w:rPr>
          <w:color w:val="auto"/>
        </w:rPr>
        <w:t>aptur</w:t>
      </w:r>
      <w:r>
        <w:rPr>
          <w:color w:val="auto"/>
        </w:rPr>
        <w:t>e</w:t>
      </w:r>
      <w:r w:rsidRPr="006909B3">
        <w:rPr>
          <w:color w:val="auto"/>
        </w:rPr>
        <w:t xml:space="preserve"> consumer boycotts.</w:t>
      </w:r>
      <w:r>
        <w:rPr>
          <w:rStyle w:val="CommentReference"/>
          <w:rFonts w:ascii="Public Sans Light" w:hAnsi="Public Sans Light" w:cs="Times New Roman"/>
          <w:color w:val="auto"/>
          <w:lang w:eastAsia="en-US"/>
        </w:rPr>
        <w:t xml:space="preserve"> </w:t>
      </w:r>
      <w:r>
        <w:t xml:space="preserve">Without specific exceptions, it could also apply to customers receiving goods and services in their homes. </w:t>
      </w:r>
    </w:p>
    <w:p w14:paraId="538F47D9" w14:textId="77777777" w:rsidR="000835D9" w:rsidRPr="001D38E6" w:rsidRDefault="000835D9" w:rsidP="000835D9">
      <w:pPr>
        <w:pStyle w:val="Heading3"/>
      </w:pPr>
      <w:r w:rsidRPr="001D38E6">
        <w:lastRenderedPageBreak/>
        <w:t xml:space="preserve">Access to premises </w:t>
      </w:r>
    </w:p>
    <w:p w14:paraId="3AC42148" w14:textId="77777777" w:rsidR="000835D9" w:rsidRDefault="000835D9" w:rsidP="000835D9">
      <w:pPr>
        <w:pStyle w:val="NormalAutoChapter"/>
        <w:rPr>
          <w:lang w:eastAsia="en-US"/>
        </w:rPr>
      </w:pPr>
      <w:r>
        <w:rPr>
          <w:lang w:eastAsia="en-US"/>
        </w:rPr>
        <w:t>Another issue is whether the ADA should more clearly prohibit discrimination relating to someone’s ability to access and use premises.</w:t>
      </w:r>
      <w:r w:rsidRPr="001D38E6">
        <w:rPr>
          <w:lang w:eastAsia="en-US"/>
        </w:rPr>
        <w:t xml:space="preserve"> </w:t>
      </w:r>
      <w:r>
        <w:rPr>
          <w:lang w:eastAsia="en-US"/>
        </w:rPr>
        <w:t>This particularly affects people with disability.</w:t>
      </w:r>
    </w:p>
    <w:p w14:paraId="113D8BA5" w14:textId="77777777" w:rsidR="000835D9" w:rsidRPr="001D38E6" w:rsidRDefault="000835D9" w:rsidP="000835D9">
      <w:pPr>
        <w:pStyle w:val="NormalAutoChapter"/>
      </w:pPr>
      <w:r>
        <w:rPr>
          <w:lang w:eastAsia="en-US"/>
        </w:rPr>
        <w:t>One</w:t>
      </w:r>
      <w:r>
        <w:t xml:space="preserve"> option could be to extend the ADA’s definition of “services”. As we note above, t</w:t>
      </w:r>
      <w:r w:rsidRPr="001D38E6">
        <w:t>h</w:t>
      </w:r>
      <w:r>
        <w:t>is currently includes</w:t>
      </w:r>
      <w:r w:rsidRPr="001D38E6">
        <w:t xml:space="preserve"> “services consisting of access to, and the use of any facilities”</w:t>
      </w:r>
      <w:r>
        <w:t>.</w:t>
      </w:r>
      <w:r>
        <w:rPr>
          <w:rStyle w:val="FootnoteReference"/>
        </w:rPr>
        <w:footnoteReference w:id="477"/>
      </w:r>
      <w:r w:rsidRPr="001D38E6">
        <w:t xml:space="preserve"> </w:t>
      </w:r>
      <w:r>
        <w:t xml:space="preserve">In 1999, the NSWLRC recommended a wider definition to prohibit discrimination relating to: </w:t>
      </w:r>
    </w:p>
    <w:p w14:paraId="0122ED2C" w14:textId="77777777" w:rsidR="000835D9" w:rsidRPr="001D38E6" w:rsidRDefault="000835D9" w:rsidP="000835D9">
      <w:pPr>
        <w:pStyle w:val="Normalbullet"/>
      </w:pPr>
      <w:r>
        <w:t xml:space="preserve">someone’s </w:t>
      </w:r>
      <w:r w:rsidRPr="001D38E6">
        <w:t xml:space="preserve">access to any place, vehicle or facility </w:t>
      </w:r>
      <w:r>
        <w:t>that</w:t>
      </w:r>
      <w:r w:rsidRPr="001D38E6">
        <w:t xml:space="preserve"> members of the public are entitled to use</w:t>
      </w:r>
    </w:p>
    <w:p w14:paraId="33F15540" w14:textId="77777777" w:rsidR="000835D9" w:rsidRPr="001D38E6" w:rsidRDefault="000835D9" w:rsidP="000835D9">
      <w:pPr>
        <w:pStyle w:val="Normalbullet"/>
      </w:pPr>
      <w:r w:rsidRPr="001D38E6">
        <w:t>the terms on which access is allowed</w:t>
      </w:r>
    </w:p>
    <w:p w14:paraId="4C604ECB" w14:textId="77777777" w:rsidR="000835D9" w:rsidRPr="001D38E6" w:rsidRDefault="000835D9" w:rsidP="000835D9">
      <w:pPr>
        <w:pStyle w:val="Normalbullet"/>
      </w:pPr>
      <w:r w:rsidRPr="001D38E6">
        <w:t xml:space="preserve">the provision of means of access, and </w:t>
      </w:r>
    </w:p>
    <w:p w14:paraId="25BB9F39" w14:textId="77777777" w:rsidR="000835D9" w:rsidRPr="001D38E6" w:rsidRDefault="000835D9" w:rsidP="000835D9">
      <w:pPr>
        <w:pStyle w:val="Normalbullet"/>
      </w:pPr>
      <w:r w:rsidRPr="001D38E6">
        <w:t xml:space="preserve">the requirement to leave or </w:t>
      </w:r>
      <w:r>
        <w:t xml:space="preserve">stop using </w:t>
      </w:r>
      <w:r w:rsidRPr="001D38E6">
        <w:t>any place, vehicle or facility.</w:t>
      </w:r>
      <w:r w:rsidRPr="001D38E6">
        <w:rPr>
          <w:rStyle w:val="FootnoteReference"/>
        </w:rPr>
        <w:footnoteReference w:id="478"/>
      </w:r>
    </w:p>
    <w:p w14:paraId="29D804DB" w14:textId="77777777" w:rsidR="000835D9" w:rsidRPr="001D38E6" w:rsidRDefault="000835D9" w:rsidP="000835D9">
      <w:pPr>
        <w:pStyle w:val="NormalAutoChapter"/>
      </w:pPr>
      <w:r>
        <w:t>Another option is to add “access to premises” as a separate, protected area. Under t</w:t>
      </w:r>
      <w:r w:rsidRPr="001D38E6">
        <w:t xml:space="preserve">he </w:t>
      </w:r>
      <w:r w:rsidRPr="001D38E6">
        <w:rPr>
          <w:i/>
          <w:iCs/>
        </w:rPr>
        <w:t>D</w:t>
      </w:r>
      <w:r>
        <w:rPr>
          <w:i/>
          <w:iCs/>
        </w:rPr>
        <w:t xml:space="preserve">isability </w:t>
      </w:r>
      <w:r w:rsidRPr="001D38E6">
        <w:rPr>
          <w:i/>
          <w:iCs/>
        </w:rPr>
        <w:t>D</w:t>
      </w:r>
      <w:r>
        <w:rPr>
          <w:i/>
          <w:iCs/>
        </w:rPr>
        <w:t>iscrimination Act</w:t>
      </w:r>
      <w:r>
        <w:t>, it is unlawful to discriminate against someone:</w:t>
      </w:r>
    </w:p>
    <w:p w14:paraId="5F3F1368" w14:textId="77777777" w:rsidR="000835D9" w:rsidRPr="001D38E6" w:rsidRDefault="000835D9" w:rsidP="000835D9">
      <w:pPr>
        <w:pStyle w:val="Normalbullet"/>
      </w:pPr>
      <w:r>
        <w:t xml:space="preserve">by </w:t>
      </w:r>
      <w:r w:rsidRPr="001D38E6">
        <w:t xml:space="preserve">refusing to allow </w:t>
      </w:r>
      <w:r>
        <w:t xml:space="preserve">them to </w:t>
      </w:r>
      <w:r w:rsidRPr="001D38E6">
        <w:t xml:space="preserve">access </w:t>
      </w:r>
      <w:r>
        <w:t>or use</w:t>
      </w:r>
      <w:r w:rsidRPr="001D38E6">
        <w:t xml:space="preserve"> premises</w:t>
      </w:r>
      <w:r>
        <w:t>, or its facilities,</w:t>
      </w:r>
      <w:r w:rsidRPr="001D38E6">
        <w:t xml:space="preserve"> that the public</w:t>
      </w:r>
      <w:r>
        <w:t xml:space="preserve"> can enter or use (</w:t>
      </w:r>
      <w:proofErr w:type="gramStart"/>
      <w:r>
        <w:t>whether or not</w:t>
      </w:r>
      <w:proofErr w:type="gramEnd"/>
      <w:r>
        <w:t xml:space="preserve"> for payment)</w:t>
      </w:r>
      <w:r w:rsidRPr="001D38E6">
        <w:t xml:space="preserve"> </w:t>
      </w:r>
    </w:p>
    <w:p w14:paraId="11D8726C" w14:textId="77777777" w:rsidR="000835D9" w:rsidRPr="001D38E6" w:rsidRDefault="000835D9" w:rsidP="000835D9">
      <w:pPr>
        <w:pStyle w:val="Normalbullet"/>
      </w:pPr>
      <w:r w:rsidRPr="001D38E6">
        <w:t xml:space="preserve">in the terms and conditions </w:t>
      </w:r>
      <w:r>
        <w:t>of</w:t>
      </w:r>
      <w:r w:rsidRPr="001D38E6">
        <w:t xml:space="preserve"> </w:t>
      </w:r>
      <w:r>
        <w:t xml:space="preserve">their </w:t>
      </w:r>
      <w:r w:rsidRPr="001D38E6">
        <w:t>access</w:t>
      </w:r>
      <w:r>
        <w:t xml:space="preserve"> or use of those premises or facilities</w:t>
      </w:r>
    </w:p>
    <w:p w14:paraId="37AA5374" w14:textId="77777777" w:rsidR="000835D9" w:rsidRPr="001D38E6" w:rsidRDefault="000835D9" w:rsidP="000835D9">
      <w:pPr>
        <w:pStyle w:val="Normalbullet"/>
      </w:pPr>
      <w:r>
        <w:t xml:space="preserve">in relation to providing </w:t>
      </w:r>
      <w:r w:rsidRPr="001D38E6">
        <w:t>means of access</w:t>
      </w:r>
      <w:r>
        <w:t xml:space="preserve"> to those premises, </w:t>
      </w:r>
      <w:r w:rsidRPr="001D38E6">
        <w:t>or</w:t>
      </w:r>
    </w:p>
    <w:p w14:paraId="1C506827" w14:textId="77777777" w:rsidR="000835D9" w:rsidRPr="001D38E6" w:rsidRDefault="000835D9" w:rsidP="000835D9">
      <w:pPr>
        <w:pStyle w:val="Normalbullet"/>
      </w:pPr>
      <w:r>
        <w:t xml:space="preserve">by </w:t>
      </w:r>
      <w:r w:rsidRPr="001D38E6">
        <w:t xml:space="preserve">requiring </w:t>
      </w:r>
      <w:r>
        <w:t xml:space="preserve">them to leave </w:t>
      </w:r>
      <w:r w:rsidRPr="001D38E6">
        <w:t>the premises</w:t>
      </w:r>
      <w:r>
        <w:t xml:space="preserve"> or stop using the facilities</w:t>
      </w:r>
      <w:r w:rsidRPr="001D38E6">
        <w:t>.</w:t>
      </w:r>
      <w:r w:rsidRPr="001D38E6">
        <w:rPr>
          <w:rStyle w:val="FootnoteReference"/>
        </w:rPr>
        <w:footnoteReference w:id="479"/>
      </w:r>
    </w:p>
    <w:p w14:paraId="53B85FEE" w14:textId="77777777" w:rsidR="000835D9" w:rsidRPr="001D38E6" w:rsidRDefault="000835D9" w:rsidP="000835D9">
      <w:pPr>
        <w:pStyle w:val="NormalAutoChapter"/>
      </w:pPr>
      <w:r>
        <w:t>Victoria has a similar approach</w:t>
      </w:r>
      <w:r w:rsidRPr="001D38E6">
        <w:t>.</w:t>
      </w:r>
      <w:r>
        <w:rPr>
          <w:rStyle w:val="FootnoteReference"/>
        </w:rPr>
        <w:footnoteReference w:id="480"/>
      </w:r>
      <w:r>
        <w:t xml:space="preserve"> A Victorian review found that treating access to premises as a subset of “goods and services” led to</w:t>
      </w:r>
      <w:r w:rsidRPr="001D38E6">
        <w:t xml:space="preserve"> patchy and unclear rules</w:t>
      </w:r>
      <w:r>
        <w:t>.</w:t>
      </w:r>
      <w:r w:rsidRPr="001D38E6">
        <w:rPr>
          <w:rStyle w:val="FootnoteReference"/>
        </w:rPr>
        <w:footnoteReference w:id="481"/>
      </w:r>
      <w:r>
        <w:t xml:space="preserve"> </w:t>
      </w:r>
    </w:p>
    <w:p w14:paraId="63451D67" w14:textId="77777777" w:rsidR="000835D9" w:rsidRDefault="000835D9" w:rsidP="000835D9">
      <w:pPr>
        <w:pStyle w:val="NormalAutoChapter"/>
      </w:pPr>
      <w:r>
        <w:t xml:space="preserve">However, in 1999 the NSWLRC thought </w:t>
      </w:r>
      <w:r w:rsidRPr="001D38E6">
        <w:t xml:space="preserve">that a new “access to premises” area could </w:t>
      </w:r>
      <w:r>
        <w:t xml:space="preserve">be confusing. It noted that the provision of a service often includes providing access to premises too. The NSWLRC preferred to expand </w:t>
      </w:r>
      <w:r w:rsidRPr="001D38E6">
        <w:t xml:space="preserve">the </w:t>
      </w:r>
      <w:r>
        <w:t>definition of services.</w:t>
      </w:r>
      <w:r w:rsidRPr="001D38E6">
        <w:rPr>
          <w:rStyle w:val="FootnoteReference"/>
        </w:rPr>
        <w:footnoteReference w:id="482"/>
      </w:r>
    </w:p>
    <w:p w14:paraId="6D85E07E" w14:textId="77777777" w:rsidR="000835D9" w:rsidRPr="000B14A9" w:rsidRDefault="000835D9" w:rsidP="000835D9">
      <w:pPr>
        <w:pStyle w:val="Recommendationheading"/>
      </w:pPr>
      <w:r w:rsidRPr="000B14A9">
        <w:lastRenderedPageBreak/>
        <w:t>Question 6.</w:t>
      </w:r>
      <w:r>
        <w:t>4</w:t>
      </w:r>
      <w:r w:rsidRPr="000B14A9">
        <w:t xml:space="preserve">: </w:t>
      </w:r>
      <w:r>
        <w:t>T</w:t>
      </w:r>
      <w:r w:rsidRPr="000B14A9">
        <w:t>he provision of goods and services</w:t>
      </w:r>
      <w:r>
        <w:t xml:space="preserve"> — coverage </w:t>
      </w:r>
    </w:p>
    <w:p w14:paraId="44022714" w14:textId="2228B681" w:rsidR="000835D9" w:rsidRPr="000B14A9" w:rsidRDefault="000835D9" w:rsidP="000835D9">
      <w:pPr>
        <w:pStyle w:val="Recommendationnormal"/>
      </w:pPr>
      <w:r>
        <w:t>What</w:t>
      </w:r>
      <w:r w:rsidR="00F55080">
        <w:t xml:space="preserve"> changes, if any,</w:t>
      </w:r>
      <w:r>
        <w:t xml:space="preserve"> s</w:t>
      </w:r>
      <w:r w:rsidRPr="000B14A9">
        <w:t xml:space="preserve">hould </w:t>
      </w:r>
      <w:r>
        <w:t xml:space="preserve">be made to </w:t>
      </w:r>
      <w:r w:rsidRPr="000B14A9">
        <w:t xml:space="preserve">the definition </w:t>
      </w:r>
      <w:r>
        <w:t xml:space="preserve">and coverage </w:t>
      </w:r>
      <w:r w:rsidRPr="000B14A9">
        <w:t>of the</w:t>
      </w:r>
      <w:r>
        <w:t xml:space="preserve"> protected area of “the provision of goods and services”? </w:t>
      </w:r>
    </w:p>
    <w:p w14:paraId="21A1F3EC" w14:textId="77777777" w:rsidR="000835D9" w:rsidRPr="00FF5760" w:rsidRDefault="000835D9" w:rsidP="000835D9">
      <w:pPr>
        <w:pStyle w:val="Heading2"/>
      </w:pPr>
      <w:bookmarkStart w:id="245" w:name="_Toc196748346"/>
      <w:bookmarkStart w:id="246" w:name="_Toc196826879"/>
      <w:r>
        <w:t>Exceptions for s</w:t>
      </w:r>
      <w:r w:rsidRPr="00FF5760">
        <w:t>uperannuation services and insurance</w:t>
      </w:r>
      <w:bookmarkEnd w:id="245"/>
      <w:bookmarkEnd w:id="246"/>
      <w:r w:rsidRPr="00FF5760">
        <w:t xml:space="preserve"> </w:t>
      </w:r>
    </w:p>
    <w:p w14:paraId="5D176D6A" w14:textId="77777777" w:rsidR="000835D9" w:rsidRPr="00FF5760" w:rsidRDefault="000835D9" w:rsidP="000835D9">
      <w:pPr>
        <w:pStyle w:val="NormalAutoChapter"/>
        <w:rPr>
          <w:color w:val="auto"/>
        </w:rPr>
      </w:pPr>
      <w:r w:rsidRPr="00FF5760">
        <w:rPr>
          <w:color w:val="auto"/>
        </w:rPr>
        <w:t>The ADA does not recognise superannuation or insurance as distinct</w:t>
      </w:r>
      <w:r>
        <w:rPr>
          <w:color w:val="auto"/>
        </w:rPr>
        <w:t>,</w:t>
      </w:r>
      <w:r w:rsidRPr="00FF5760">
        <w:rPr>
          <w:color w:val="auto"/>
        </w:rPr>
        <w:t xml:space="preserve"> protected areas. However, services relating to insurance are mentioned specifically in the definition of “services”. Superannuation may also fall within this broad and non-exhaustive definition.</w:t>
      </w:r>
      <w:r w:rsidRPr="00FF5760">
        <w:rPr>
          <w:rStyle w:val="FootnoteReference"/>
          <w:color w:val="auto"/>
        </w:rPr>
        <w:footnoteReference w:id="483"/>
      </w:r>
      <w:r w:rsidRPr="00FF5760">
        <w:rPr>
          <w:color w:val="auto"/>
        </w:rPr>
        <w:t xml:space="preserve"> </w:t>
      </w:r>
    </w:p>
    <w:p w14:paraId="66CD5CB0" w14:textId="77777777" w:rsidR="000835D9" w:rsidRPr="00FF5760" w:rsidRDefault="000835D9" w:rsidP="000835D9">
      <w:pPr>
        <w:pStyle w:val="NormalAutoChapter"/>
        <w:rPr>
          <w:color w:val="auto"/>
        </w:rPr>
      </w:pPr>
      <w:r w:rsidRPr="00FF5760">
        <w:rPr>
          <w:color w:val="auto"/>
        </w:rPr>
        <w:t>In 1999, the NSWLRC recommended that superannuation should be listed as part of the definition of “services”.</w:t>
      </w:r>
      <w:r w:rsidRPr="00FF5760">
        <w:rPr>
          <w:rStyle w:val="FootnoteReference"/>
          <w:color w:val="auto"/>
        </w:rPr>
        <w:footnoteReference w:id="484"/>
      </w:r>
      <w:r w:rsidRPr="00FF5760">
        <w:rPr>
          <w:color w:val="auto"/>
        </w:rPr>
        <w:t xml:space="preserve"> Some other discrimination laws in Australia take this approach, including the </w:t>
      </w:r>
      <w:r w:rsidRPr="00FF5760">
        <w:rPr>
          <w:i/>
          <w:iCs/>
          <w:color w:val="auto"/>
        </w:rPr>
        <w:t xml:space="preserve">Disability Discrimination Act </w:t>
      </w:r>
      <w:r w:rsidRPr="00FF5760">
        <w:rPr>
          <w:color w:val="auto"/>
        </w:rPr>
        <w:t xml:space="preserve">and the </w:t>
      </w:r>
      <w:r w:rsidRPr="00FF5760">
        <w:rPr>
          <w:i/>
          <w:iCs/>
          <w:color w:val="auto"/>
        </w:rPr>
        <w:t>Age Discrimination Act</w:t>
      </w:r>
      <w:r>
        <w:rPr>
          <w:i/>
          <w:iCs/>
          <w:color w:val="auto"/>
        </w:rPr>
        <w:t xml:space="preserve"> 2004 </w:t>
      </w:r>
      <w:r>
        <w:rPr>
          <w:color w:val="auto"/>
        </w:rPr>
        <w:t>(Cth)</w:t>
      </w:r>
      <w:r w:rsidRPr="00FF5760">
        <w:rPr>
          <w:color w:val="auto"/>
        </w:rPr>
        <w:t>.</w:t>
      </w:r>
      <w:r w:rsidRPr="00FF5760">
        <w:rPr>
          <w:rStyle w:val="FootnoteReference"/>
          <w:color w:val="auto"/>
        </w:rPr>
        <w:footnoteReference w:id="485"/>
      </w:r>
    </w:p>
    <w:p w14:paraId="6F69BC54" w14:textId="77777777" w:rsidR="000835D9" w:rsidRPr="00FF5760" w:rsidRDefault="000835D9" w:rsidP="000835D9">
      <w:pPr>
        <w:pStyle w:val="NormalAutoChapter"/>
        <w:rPr>
          <w:color w:val="auto"/>
        </w:rPr>
      </w:pPr>
      <w:r w:rsidRPr="00FF5760">
        <w:rPr>
          <w:color w:val="auto"/>
        </w:rPr>
        <w:t>Another option could be to recognise superannuation as a separate area of public life in the ADA. Several states and territories have taken this approach.</w:t>
      </w:r>
      <w:r w:rsidRPr="00FF5760">
        <w:rPr>
          <w:rStyle w:val="FootnoteReference"/>
          <w:color w:val="auto"/>
        </w:rPr>
        <w:footnoteReference w:id="486"/>
      </w:r>
      <w:r w:rsidRPr="00FF5760">
        <w:rPr>
          <w:color w:val="auto"/>
        </w:rPr>
        <w:t xml:space="preserve"> </w:t>
      </w:r>
    </w:p>
    <w:p w14:paraId="466ACE0A" w14:textId="77777777" w:rsidR="000835D9" w:rsidRDefault="000835D9" w:rsidP="000835D9">
      <w:pPr>
        <w:pStyle w:val="NormalAutoChapter"/>
        <w:rPr>
          <w:color w:val="auto"/>
        </w:rPr>
      </w:pPr>
      <w:r w:rsidRPr="00FF5760">
        <w:rPr>
          <w:color w:val="auto"/>
        </w:rPr>
        <w:t>Under either option, or even if there is no change, there remain questions about what — if any — exceptions should be provided to insurers and superannuation funds. Currently, the ADA provides both with broad exceptions in relation to certain attributes.</w:t>
      </w:r>
    </w:p>
    <w:p w14:paraId="0A6F224A" w14:textId="77777777" w:rsidR="000835D9" w:rsidRPr="00FF5760" w:rsidRDefault="000835D9" w:rsidP="000835D9">
      <w:pPr>
        <w:pStyle w:val="NormalAutoChapter"/>
        <w:rPr>
          <w:color w:val="auto"/>
        </w:rPr>
      </w:pPr>
      <w:r>
        <w:rPr>
          <w:color w:val="auto"/>
        </w:rPr>
        <w:t>It should be noted that insurance and superannuation is regulated by federal legislative schemes.</w:t>
      </w:r>
      <w:r>
        <w:rPr>
          <w:rStyle w:val="FootnoteReference"/>
          <w:color w:val="auto"/>
        </w:rPr>
        <w:footnoteReference w:id="487"/>
      </w:r>
      <w:r>
        <w:rPr>
          <w:color w:val="auto"/>
        </w:rPr>
        <w:t xml:space="preserve"> Under the</w:t>
      </w:r>
      <w:r w:rsidRPr="00C2419A">
        <w:rPr>
          <w:i/>
          <w:iCs/>
          <w:color w:val="auto"/>
        </w:rPr>
        <w:t xml:space="preserve"> Australian Constitution</w:t>
      </w:r>
      <w:r>
        <w:rPr>
          <w:color w:val="auto"/>
        </w:rPr>
        <w:t>, federal law prevails over inconsistent state law and state law is invalid to the extent of the inconsistency.</w:t>
      </w:r>
      <w:r>
        <w:rPr>
          <w:rStyle w:val="FootnoteReference"/>
          <w:color w:val="auto"/>
        </w:rPr>
        <w:footnoteReference w:id="488"/>
      </w:r>
      <w:r>
        <w:rPr>
          <w:color w:val="auto"/>
        </w:rPr>
        <w:t xml:space="preserve"> The High Court has found certain protections against discrimination in the ADA invalid to the extent of inconsistency with federal life insurance legislation.</w:t>
      </w:r>
      <w:r>
        <w:rPr>
          <w:rStyle w:val="FootnoteReference"/>
          <w:color w:val="auto"/>
        </w:rPr>
        <w:footnoteReference w:id="489"/>
      </w:r>
      <w:r>
        <w:rPr>
          <w:color w:val="auto"/>
        </w:rPr>
        <w:t xml:space="preserve"> This indicates that the relationship between federal and state law will require careful </w:t>
      </w:r>
      <w:r>
        <w:rPr>
          <w:color w:val="auto"/>
        </w:rPr>
        <w:lastRenderedPageBreak/>
        <w:t>consideration before any decision is made to change the ADA’s approach to superannuation and insurance.</w:t>
      </w:r>
    </w:p>
    <w:p w14:paraId="64831D63" w14:textId="77777777" w:rsidR="000835D9" w:rsidRPr="0095106A" w:rsidRDefault="000835D9" w:rsidP="000835D9">
      <w:pPr>
        <w:pStyle w:val="Heading3"/>
        <w:rPr>
          <w:color w:val="auto"/>
        </w:rPr>
      </w:pPr>
      <w:r w:rsidRPr="0095106A">
        <w:rPr>
          <w:color w:val="auto"/>
        </w:rPr>
        <w:t>Exceptions for insurance services</w:t>
      </w:r>
    </w:p>
    <w:p w14:paraId="150B5B20" w14:textId="77777777" w:rsidR="000835D9" w:rsidRPr="0095106A" w:rsidRDefault="000835D9" w:rsidP="000835D9">
      <w:pPr>
        <w:pStyle w:val="NormalAutoChapter"/>
        <w:tabs>
          <w:tab w:val="clear" w:pos="720"/>
          <w:tab w:val="num" w:pos="1146"/>
        </w:tabs>
        <w:rPr>
          <w:color w:val="auto"/>
        </w:rPr>
      </w:pPr>
      <w:r w:rsidRPr="0095106A">
        <w:rPr>
          <w:color w:val="auto"/>
        </w:rPr>
        <w:t>The ADA permits sex, age and disability discrimination</w:t>
      </w:r>
      <w:r w:rsidRPr="0095106A" w:rsidDel="00E2063C">
        <w:rPr>
          <w:color w:val="auto"/>
        </w:rPr>
        <w:t xml:space="preserve"> </w:t>
      </w:r>
      <w:r w:rsidRPr="0095106A">
        <w:rPr>
          <w:color w:val="auto"/>
        </w:rPr>
        <w:t xml:space="preserve">in </w:t>
      </w:r>
      <w:r>
        <w:rPr>
          <w:color w:val="auto"/>
        </w:rPr>
        <w:t xml:space="preserve">relation to </w:t>
      </w:r>
      <w:r w:rsidRPr="0095106A">
        <w:rPr>
          <w:color w:val="auto"/>
        </w:rPr>
        <w:t>insurance terms and conditions.</w:t>
      </w:r>
      <w:r w:rsidRPr="0095106A">
        <w:rPr>
          <w:rStyle w:val="FootnoteReference"/>
          <w:color w:val="auto"/>
        </w:rPr>
        <w:footnoteReference w:id="490"/>
      </w:r>
      <w:r w:rsidRPr="0095106A">
        <w:rPr>
          <w:color w:val="auto"/>
        </w:rPr>
        <w:t xml:space="preserve"> </w:t>
      </w:r>
    </w:p>
    <w:p w14:paraId="6FB38D46" w14:textId="77777777" w:rsidR="000835D9" w:rsidRPr="0095106A" w:rsidRDefault="000835D9" w:rsidP="000835D9">
      <w:pPr>
        <w:pStyle w:val="NormalAutoChapter"/>
        <w:tabs>
          <w:tab w:val="clear" w:pos="720"/>
          <w:tab w:val="num" w:pos="1146"/>
        </w:tabs>
        <w:rPr>
          <w:color w:val="auto"/>
        </w:rPr>
      </w:pPr>
      <w:r w:rsidRPr="0095106A">
        <w:rPr>
          <w:color w:val="auto"/>
        </w:rPr>
        <w:t>Sex and age discrimination in the terms on which insurance is offered or may be obtained is permitted when the discrimination is:</w:t>
      </w:r>
    </w:p>
    <w:p w14:paraId="563FAE8A" w14:textId="77777777" w:rsidR="000835D9" w:rsidRPr="0095106A" w:rsidRDefault="000835D9" w:rsidP="000835D9">
      <w:pPr>
        <w:pStyle w:val="Normalbullet"/>
      </w:pPr>
      <w:r w:rsidRPr="0095106A">
        <w:t xml:space="preserve">based on actuarial or statistical data on which it is reasonable to rely, and </w:t>
      </w:r>
    </w:p>
    <w:p w14:paraId="6417C490" w14:textId="77777777" w:rsidR="000835D9" w:rsidRPr="0095106A" w:rsidRDefault="000835D9" w:rsidP="000835D9">
      <w:pPr>
        <w:pStyle w:val="Normalbullet"/>
      </w:pPr>
      <w:r w:rsidRPr="0095106A">
        <w:t xml:space="preserve">reasonable, having regard to the data and other relevant factors. </w:t>
      </w:r>
    </w:p>
    <w:p w14:paraId="7EDCBFBF" w14:textId="77777777" w:rsidR="000835D9" w:rsidRPr="0095106A" w:rsidRDefault="000835D9" w:rsidP="000835D9">
      <w:pPr>
        <w:pStyle w:val="NormalAutoChapter"/>
        <w:numPr>
          <w:ilvl w:val="0"/>
          <w:numId w:val="0"/>
        </w:numPr>
        <w:ind w:left="720"/>
        <w:rPr>
          <w:color w:val="auto"/>
        </w:rPr>
      </w:pPr>
      <w:r w:rsidRPr="0095106A">
        <w:rPr>
          <w:color w:val="auto"/>
        </w:rPr>
        <w:t xml:space="preserve">The insurer must disclose the source on which the data is based </w:t>
      </w:r>
      <w:proofErr w:type="spellStart"/>
      <w:r w:rsidRPr="0095106A">
        <w:rPr>
          <w:color w:val="auto"/>
        </w:rPr>
        <w:t>if</w:t>
      </w:r>
      <w:proofErr w:type="spellEnd"/>
      <w:r w:rsidRPr="0095106A">
        <w:rPr>
          <w:color w:val="auto"/>
        </w:rPr>
        <w:t xml:space="preserve"> the Tribunal requires it.</w:t>
      </w:r>
      <w:r w:rsidRPr="0095106A">
        <w:rPr>
          <w:rStyle w:val="FootnoteReference"/>
          <w:color w:val="auto"/>
        </w:rPr>
        <w:footnoteReference w:id="491"/>
      </w:r>
      <w:r w:rsidRPr="0095106A">
        <w:rPr>
          <w:color w:val="auto"/>
        </w:rPr>
        <w:t xml:space="preserve"> For age discrimination, the insurer must also disclose any relevant factors relied upon, if required.</w:t>
      </w:r>
      <w:r w:rsidRPr="0095106A">
        <w:rPr>
          <w:rStyle w:val="FootnoteReference"/>
          <w:color w:val="auto"/>
        </w:rPr>
        <w:footnoteReference w:id="492"/>
      </w:r>
    </w:p>
    <w:p w14:paraId="75B4F0C1" w14:textId="77777777" w:rsidR="000835D9" w:rsidRPr="0095106A" w:rsidRDefault="000835D9" w:rsidP="000835D9">
      <w:pPr>
        <w:pStyle w:val="NormalAutoChapter"/>
        <w:rPr>
          <w:color w:val="auto"/>
        </w:rPr>
      </w:pPr>
      <w:r w:rsidRPr="0095106A">
        <w:rPr>
          <w:color w:val="auto"/>
        </w:rPr>
        <w:t>The exception for discrimination based on disability is similar. However, a key difference is that the discriminatory terms and conditions do not need to be based on actuarial or statistical data if this data is not available and cannot reasonably be obtained. In this scenario, the terms and conditions must be reasonable having regard to any other relevant factors.</w:t>
      </w:r>
      <w:r w:rsidRPr="0095106A">
        <w:rPr>
          <w:rStyle w:val="FootnoteReference"/>
          <w:color w:val="auto"/>
        </w:rPr>
        <w:footnoteReference w:id="493"/>
      </w:r>
    </w:p>
    <w:p w14:paraId="39850B62" w14:textId="77777777" w:rsidR="000835D9" w:rsidRPr="0095106A" w:rsidRDefault="000835D9" w:rsidP="000835D9">
      <w:pPr>
        <w:pStyle w:val="NormalAutoChapter"/>
        <w:tabs>
          <w:tab w:val="clear" w:pos="720"/>
          <w:tab w:val="num" w:pos="1146"/>
        </w:tabs>
        <w:rPr>
          <w:color w:val="auto"/>
          <w:szCs w:val="22"/>
        </w:rPr>
      </w:pPr>
      <w:r w:rsidRPr="0095106A">
        <w:rPr>
          <w:color w:val="auto"/>
        </w:rPr>
        <w:t>Some have observed the disability discrimination exception has been misused to deny or excessively limit cover, or to increase premiums such that a person with disability cannot afford insurance.</w:t>
      </w:r>
      <w:r w:rsidRPr="0095106A">
        <w:rPr>
          <w:rStyle w:val="FootnoteReference"/>
          <w:color w:val="auto"/>
        </w:rPr>
        <w:footnoteReference w:id="494"/>
      </w:r>
      <w:r w:rsidRPr="0095106A">
        <w:rPr>
          <w:color w:val="auto"/>
        </w:rPr>
        <w:t xml:space="preserve"> There may be a lack of evidence to support the discriminatory decision, but people can face barriers when seeking to challenge the insurer’s decision. This can include poor communication by insurers about the complex review options, and a lack of affordable specialised legal assistance for insured people.</w:t>
      </w:r>
      <w:r w:rsidRPr="0095106A">
        <w:rPr>
          <w:rStyle w:val="FootnoteReference"/>
          <w:color w:val="auto"/>
        </w:rPr>
        <w:footnoteReference w:id="495"/>
      </w:r>
      <w:r w:rsidRPr="0095106A">
        <w:rPr>
          <w:color w:val="auto"/>
        </w:rPr>
        <w:t xml:space="preserve"> The exception may also discourage people from seeking diagnosis and treatment for conditions.</w:t>
      </w:r>
      <w:r w:rsidRPr="0095106A">
        <w:rPr>
          <w:rStyle w:val="FootnoteReference"/>
          <w:color w:val="auto"/>
        </w:rPr>
        <w:footnoteReference w:id="496"/>
      </w:r>
      <w:r w:rsidRPr="0095106A">
        <w:rPr>
          <w:color w:val="auto"/>
        </w:rPr>
        <w:t xml:space="preserve"> </w:t>
      </w:r>
    </w:p>
    <w:p w14:paraId="40127E67" w14:textId="77777777" w:rsidR="000835D9" w:rsidRPr="0095106A" w:rsidRDefault="000835D9" w:rsidP="000835D9">
      <w:pPr>
        <w:pStyle w:val="NormalAutoChapter"/>
        <w:tabs>
          <w:tab w:val="clear" w:pos="720"/>
          <w:tab w:val="num" w:pos="1146"/>
        </w:tabs>
        <w:rPr>
          <w:color w:val="auto"/>
          <w:szCs w:val="22"/>
        </w:rPr>
      </w:pPr>
      <w:r w:rsidRPr="0095106A">
        <w:rPr>
          <w:color w:val="auto"/>
        </w:rPr>
        <w:t xml:space="preserve">In 1999, the NSWLRC was concerned about the exception relating to sex discrimination. It did not consider sex to be a reliable basis on which to assess risk for insurance premiums, without compelling evidence. It recommended </w:t>
      </w:r>
      <w:r>
        <w:rPr>
          <w:color w:val="auto"/>
        </w:rPr>
        <w:t>an</w:t>
      </w:r>
      <w:r w:rsidRPr="0095106A">
        <w:rPr>
          <w:color w:val="auto"/>
        </w:rPr>
        <w:t xml:space="preserve"> </w:t>
      </w:r>
      <w:r w:rsidRPr="0095106A">
        <w:rPr>
          <w:color w:val="auto"/>
        </w:rPr>
        <w:lastRenderedPageBreak/>
        <w:t xml:space="preserve">exception </w:t>
      </w:r>
      <w:r>
        <w:rPr>
          <w:color w:val="auto"/>
        </w:rPr>
        <w:t>like the one found in</w:t>
      </w:r>
      <w:r w:rsidRPr="0095106A">
        <w:rPr>
          <w:color w:val="auto"/>
        </w:rPr>
        <w:t xml:space="preserve"> the </w:t>
      </w:r>
      <w:r w:rsidRPr="0095106A">
        <w:rPr>
          <w:i/>
          <w:iCs/>
          <w:color w:val="auto"/>
        </w:rPr>
        <w:t>Sex Discrimination Act</w:t>
      </w:r>
      <w:r w:rsidRPr="0095106A">
        <w:rPr>
          <w:color w:val="auto"/>
        </w:rPr>
        <w:t>, which requires discrimination to be based on reasonable actuarial or statistical data that is presented to the consumer on request.</w:t>
      </w:r>
      <w:r w:rsidRPr="0095106A">
        <w:rPr>
          <w:rStyle w:val="FootnoteReference"/>
          <w:color w:val="auto"/>
        </w:rPr>
        <w:footnoteReference w:id="497"/>
      </w:r>
    </w:p>
    <w:p w14:paraId="2087FA0E" w14:textId="77777777" w:rsidR="000835D9" w:rsidRPr="00530A56" w:rsidRDefault="000835D9" w:rsidP="000835D9">
      <w:pPr>
        <w:pStyle w:val="Heading3"/>
        <w:rPr>
          <w:color w:val="auto"/>
        </w:rPr>
      </w:pPr>
      <w:r w:rsidRPr="00530A56">
        <w:rPr>
          <w:color w:val="auto"/>
        </w:rPr>
        <w:t xml:space="preserve">Superannuation exceptions </w:t>
      </w:r>
    </w:p>
    <w:p w14:paraId="1B90AD40" w14:textId="77777777" w:rsidR="000835D9" w:rsidRPr="00530A56" w:rsidRDefault="000835D9" w:rsidP="000835D9">
      <w:pPr>
        <w:pStyle w:val="NormalAutoChapter"/>
        <w:tabs>
          <w:tab w:val="clear" w:pos="720"/>
          <w:tab w:val="num" w:pos="1146"/>
        </w:tabs>
        <w:rPr>
          <w:color w:val="auto"/>
        </w:rPr>
      </w:pPr>
      <w:r w:rsidRPr="00530A56">
        <w:rPr>
          <w:color w:val="auto"/>
        </w:rPr>
        <w:t xml:space="preserve">Currently, superannuation funds are permitted to discriminate in their terms and conditions based on sex, marital or domestic status, age or disability. </w:t>
      </w:r>
      <w:proofErr w:type="gramStart"/>
      <w:r>
        <w:rPr>
          <w:color w:val="auto"/>
        </w:rPr>
        <w:t>Generally</w:t>
      </w:r>
      <w:proofErr w:type="gramEnd"/>
      <w:r>
        <w:rPr>
          <w:color w:val="auto"/>
        </w:rPr>
        <w:t xml:space="preserve"> t</w:t>
      </w:r>
      <w:r w:rsidRPr="00530A56">
        <w:rPr>
          <w:color w:val="auto"/>
        </w:rPr>
        <w:t>his applies if</w:t>
      </w:r>
      <w:r>
        <w:rPr>
          <w:color w:val="auto"/>
        </w:rPr>
        <w:t xml:space="preserve"> the terms or conditions</w:t>
      </w:r>
      <w:r w:rsidRPr="00530A56">
        <w:rPr>
          <w:color w:val="auto"/>
        </w:rPr>
        <w:t xml:space="preserve">: </w:t>
      </w:r>
    </w:p>
    <w:p w14:paraId="185332A4" w14:textId="77777777" w:rsidR="000835D9" w:rsidRPr="00530A56" w:rsidRDefault="000835D9" w:rsidP="000835D9">
      <w:pPr>
        <w:pStyle w:val="Normalbullet"/>
      </w:pPr>
      <w:r w:rsidRPr="00530A56">
        <w:t xml:space="preserve">are based on actuarial or statistical data on which it is reasonable to rely, </w:t>
      </w:r>
      <w:r>
        <w:t>and</w:t>
      </w:r>
    </w:p>
    <w:p w14:paraId="4ACA6E82" w14:textId="77777777" w:rsidR="000835D9" w:rsidRDefault="000835D9" w:rsidP="000835D9">
      <w:pPr>
        <w:pStyle w:val="Normalbullet"/>
      </w:pPr>
      <w:r>
        <w:t>are reasonable having regard to the data and any other relevant factors.</w:t>
      </w:r>
      <w:r w:rsidRPr="0015734F">
        <w:rPr>
          <w:rStyle w:val="FootnoteReference"/>
        </w:rPr>
        <w:t xml:space="preserve"> </w:t>
      </w:r>
    </w:p>
    <w:p w14:paraId="52FE3C27" w14:textId="77777777" w:rsidR="000835D9" w:rsidRDefault="000835D9" w:rsidP="000835D9">
      <w:pPr>
        <w:pStyle w:val="NormalAutoChapter"/>
      </w:pPr>
      <w:r>
        <w:t>If no such data is available and cannot be reasonably obtained, the terms or conditions must be reasonable having regard to any other relevant factors.</w:t>
      </w:r>
      <w:r w:rsidRPr="00530A56">
        <w:rPr>
          <w:rStyle w:val="FootnoteReference"/>
        </w:rPr>
        <w:footnoteReference w:id="498"/>
      </w:r>
    </w:p>
    <w:p w14:paraId="7E569694" w14:textId="77777777" w:rsidR="000835D9" w:rsidRPr="00055833" w:rsidRDefault="000835D9" w:rsidP="000835D9">
      <w:pPr>
        <w:pStyle w:val="NormalAutoChapter"/>
        <w:tabs>
          <w:tab w:val="clear" w:pos="720"/>
          <w:tab w:val="num" w:pos="1146"/>
        </w:tabs>
        <w:rPr>
          <w:color w:val="auto"/>
        </w:rPr>
      </w:pPr>
      <w:r w:rsidRPr="00E43BE0">
        <w:rPr>
          <w:color w:val="auto"/>
        </w:rPr>
        <w:t xml:space="preserve">For </w:t>
      </w:r>
      <w:r w:rsidRPr="00055833">
        <w:rPr>
          <w:color w:val="auto"/>
        </w:rPr>
        <w:t xml:space="preserve">sex, marital or domestic status, </w:t>
      </w:r>
      <w:r>
        <w:rPr>
          <w:color w:val="auto"/>
        </w:rPr>
        <w:t>and</w:t>
      </w:r>
      <w:r w:rsidRPr="00055833">
        <w:rPr>
          <w:color w:val="auto"/>
        </w:rPr>
        <w:t xml:space="preserve"> disability, the</w:t>
      </w:r>
      <w:r w:rsidRPr="00E43BE0">
        <w:rPr>
          <w:color w:val="auto"/>
        </w:rPr>
        <w:t xml:space="preserve"> source of any data </w:t>
      </w:r>
      <w:r>
        <w:rPr>
          <w:color w:val="auto"/>
        </w:rPr>
        <w:t>and</w:t>
      </w:r>
      <w:r w:rsidRPr="00E43BE0">
        <w:rPr>
          <w:color w:val="auto"/>
        </w:rPr>
        <w:t xml:space="preserve"> other relevant factors must be disclosed to</w:t>
      </w:r>
      <w:r>
        <w:rPr>
          <w:color w:val="auto"/>
        </w:rPr>
        <w:t xml:space="preserve"> the Tribunal, if the Tribunal requires it</w:t>
      </w:r>
      <w:r w:rsidRPr="00055833">
        <w:rPr>
          <w:color w:val="auto"/>
        </w:rPr>
        <w:t>.</w:t>
      </w:r>
      <w:r>
        <w:rPr>
          <w:rStyle w:val="FootnoteReference"/>
          <w:color w:val="auto"/>
        </w:rPr>
        <w:footnoteReference w:id="499"/>
      </w:r>
    </w:p>
    <w:p w14:paraId="5ADBB9FA" w14:textId="77777777" w:rsidR="000835D9" w:rsidRPr="00081EC1" w:rsidRDefault="000835D9" w:rsidP="000835D9">
      <w:pPr>
        <w:pStyle w:val="NormalAutoChapter"/>
        <w:tabs>
          <w:tab w:val="clear" w:pos="720"/>
          <w:tab w:val="num" w:pos="1146"/>
        </w:tabs>
        <w:rPr>
          <w:color w:val="auto"/>
        </w:rPr>
      </w:pPr>
      <w:r w:rsidRPr="00081EC1">
        <w:rPr>
          <w:color w:val="auto"/>
        </w:rPr>
        <w:t>For age, discrimination is also permitted if:</w:t>
      </w:r>
    </w:p>
    <w:p w14:paraId="3A7AA2BB" w14:textId="77777777" w:rsidR="000835D9" w:rsidRPr="00081EC1" w:rsidRDefault="000835D9" w:rsidP="000835D9">
      <w:pPr>
        <w:pStyle w:val="Normalbullet"/>
      </w:pPr>
      <w:r w:rsidRPr="00081EC1">
        <w:t xml:space="preserve">it occurred because of other specific legal requirements under NSW or </w:t>
      </w:r>
      <w:r>
        <w:t xml:space="preserve">federal </w:t>
      </w:r>
      <w:r w:rsidRPr="00081EC1">
        <w:t>superannuation laws, or</w:t>
      </w:r>
    </w:p>
    <w:p w14:paraId="0DC1C3E4" w14:textId="77777777" w:rsidR="000835D9" w:rsidRPr="00081EC1" w:rsidRDefault="000835D9" w:rsidP="000835D9">
      <w:pPr>
        <w:pStyle w:val="Normalbullet"/>
      </w:pPr>
      <w:r w:rsidRPr="00081EC1">
        <w:t>it is based on an existing condition and the person became a member of the scheme before, or within 12 months of, the exception being introduced, or the discrimination happened within 12 months of the exception being introduced.</w:t>
      </w:r>
      <w:r w:rsidRPr="00081EC1">
        <w:rPr>
          <w:rStyle w:val="FootnoteReference"/>
        </w:rPr>
        <w:footnoteReference w:id="500"/>
      </w:r>
    </w:p>
    <w:p w14:paraId="5D84C124" w14:textId="77777777" w:rsidR="000835D9" w:rsidRPr="00081EC1" w:rsidRDefault="000835D9" w:rsidP="000835D9">
      <w:pPr>
        <w:pStyle w:val="NormalAutoChapter"/>
        <w:tabs>
          <w:tab w:val="clear" w:pos="720"/>
          <w:tab w:val="num" w:pos="1146"/>
        </w:tabs>
        <w:rPr>
          <w:color w:val="auto"/>
        </w:rPr>
      </w:pPr>
      <w:r w:rsidRPr="00081EC1">
        <w:rPr>
          <w:color w:val="auto"/>
        </w:rPr>
        <w:t xml:space="preserve">In 1999, the NSWLRC </w:t>
      </w:r>
      <w:r w:rsidRPr="00081EC1" w:rsidDel="00E740B5">
        <w:rPr>
          <w:rStyle w:val="FootnoteReference"/>
          <w:color w:val="auto"/>
        </w:rPr>
        <w:t xml:space="preserve"> </w:t>
      </w:r>
      <w:r w:rsidRPr="00081EC1">
        <w:rPr>
          <w:color w:val="auto"/>
        </w:rPr>
        <w:t>expressed concerns about the breadth of the exceptions relating to sex and what was then known as “marital status”.</w:t>
      </w:r>
      <w:r w:rsidRPr="00081EC1">
        <w:rPr>
          <w:rStyle w:val="FootnoteReference"/>
          <w:color w:val="auto"/>
        </w:rPr>
        <w:footnoteReference w:id="501"/>
      </w:r>
    </w:p>
    <w:p w14:paraId="48F26E93" w14:textId="77777777" w:rsidR="000835D9" w:rsidRPr="00D31963" w:rsidRDefault="000835D9" w:rsidP="000835D9">
      <w:pPr>
        <w:pStyle w:val="NormalAutoChapter"/>
        <w:rPr>
          <w:color w:val="auto"/>
        </w:rPr>
      </w:pPr>
      <w:r w:rsidRPr="00D31963">
        <w:rPr>
          <w:color w:val="auto"/>
        </w:rPr>
        <w:t>The NSWLRC considered the onus should instead be on superannuation funds to obtain an exemption if they could justify discrimination based on sex or marital or domestic status (</w:t>
      </w:r>
      <w:r w:rsidRPr="009655BF">
        <w:rPr>
          <w:color w:val="auto"/>
        </w:rPr>
        <w:t>chapter 11</w:t>
      </w:r>
      <w:r w:rsidRPr="00D31963">
        <w:rPr>
          <w:color w:val="auto"/>
        </w:rPr>
        <w:t xml:space="preserve"> outlines the exemption process). It also recommended that existing funds that discriminate based on </w:t>
      </w:r>
      <w:proofErr w:type="gramStart"/>
      <w:r w:rsidRPr="00D31963">
        <w:rPr>
          <w:color w:val="auto"/>
        </w:rPr>
        <w:t>sex</w:t>
      </w:r>
      <w:proofErr w:type="gramEnd"/>
      <w:r w:rsidRPr="00D31963">
        <w:rPr>
          <w:color w:val="auto"/>
        </w:rPr>
        <w:t xml:space="preserve"> or marital or domestic status </w:t>
      </w:r>
      <w:r w:rsidRPr="00D31963">
        <w:rPr>
          <w:color w:val="auto"/>
        </w:rPr>
        <w:lastRenderedPageBreak/>
        <w:t>could continue if they did not accept new members and offered existing members an option to transfer into another fund.</w:t>
      </w:r>
      <w:r w:rsidRPr="00D31963">
        <w:rPr>
          <w:rStyle w:val="FootnoteReference"/>
          <w:color w:val="auto"/>
        </w:rPr>
        <w:footnoteReference w:id="502"/>
      </w:r>
    </w:p>
    <w:p w14:paraId="1788D7D8" w14:textId="77777777" w:rsidR="000835D9" w:rsidRPr="00D31963" w:rsidRDefault="000835D9" w:rsidP="000835D9">
      <w:pPr>
        <w:pStyle w:val="NormalAutoChapter"/>
        <w:rPr>
          <w:color w:val="auto"/>
        </w:rPr>
      </w:pPr>
      <w:bookmarkStart w:id="248" w:name="_Hlk192758618"/>
      <w:r w:rsidRPr="00D31963">
        <w:rPr>
          <w:color w:val="auto"/>
        </w:rPr>
        <w:t>The NSWLRC considered that the ADA exception relating to disability offered better protection than the equivalent federal exception.</w:t>
      </w:r>
      <w:r w:rsidRPr="00D31963">
        <w:rPr>
          <w:rStyle w:val="FootnoteReference"/>
          <w:color w:val="auto"/>
        </w:rPr>
        <w:footnoteReference w:id="503"/>
      </w:r>
      <w:r w:rsidRPr="00D31963">
        <w:rPr>
          <w:color w:val="auto"/>
        </w:rPr>
        <w:t xml:space="preserve"> This allows people to be refused insurance cover or membership of a superannuation fund and does not require disclosure of the source that is relied on.</w:t>
      </w:r>
      <w:r w:rsidRPr="00D31963">
        <w:rPr>
          <w:rStyle w:val="FootnoteReference"/>
          <w:color w:val="auto"/>
        </w:rPr>
        <w:footnoteReference w:id="504"/>
      </w:r>
      <w:r w:rsidRPr="00D31963">
        <w:rPr>
          <w:color w:val="auto"/>
        </w:rPr>
        <w:t xml:space="preserve"> </w:t>
      </w:r>
    </w:p>
    <w:bookmarkEnd w:id="248"/>
    <w:p w14:paraId="77CD3628" w14:textId="77777777" w:rsidR="000835D9" w:rsidRPr="00D31963" w:rsidRDefault="000835D9" w:rsidP="000835D9">
      <w:pPr>
        <w:pStyle w:val="NormalAutoChapter"/>
        <w:tabs>
          <w:tab w:val="clear" w:pos="720"/>
          <w:tab w:val="num" w:pos="1146"/>
        </w:tabs>
        <w:rPr>
          <w:color w:val="auto"/>
        </w:rPr>
      </w:pPr>
      <w:r w:rsidRPr="00D31963">
        <w:rPr>
          <w:color w:val="auto"/>
        </w:rPr>
        <w:t>The ADA also permits superannuation funds to treat a transgender person as being “of the opposite sex from the sex with which the transgender person identifies”.</w:t>
      </w:r>
      <w:r w:rsidRPr="00D31963">
        <w:rPr>
          <w:rStyle w:val="FootnoteReference"/>
          <w:color w:val="auto"/>
        </w:rPr>
        <w:footnoteReference w:id="505"/>
      </w:r>
      <w:r w:rsidRPr="00D31963">
        <w:rPr>
          <w:color w:val="auto"/>
        </w:rPr>
        <w:t xml:space="preserve"> In preliminary submissions, we heard concerns that this perpetuates harm and the practice of misgendering.</w:t>
      </w:r>
      <w:r w:rsidRPr="00D31963">
        <w:rPr>
          <w:rStyle w:val="FootnoteReference"/>
          <w:color w:val="auto"/>
        </w:rPr>
        <w:footnoteReference w:id="506"/>
      </w:r>
      <w:r w:rsidRPr="00D31963">
        <w:rPr>
          <w:color w:val="auto"/>
        </w:rPr>
        <w:t xml:space="preserve"> </w:t>
      </w:r>
    </w:p>
    <w:p w14:paraId="16A3A1AF" w14:textId="77777777" w:rsidR="000835D9" w:rsidRPr="00F71CE7" w:rsidRDefault="000835D9" w:rsidP="000835D9">
      <w:pPr>
        <w:pStyle w:val="NormalAutoChapter"/>
        <w:tabs>
          <w:tab w:val="clear" w:pos="720"/>
          <w:tab w:val="num" w:pos="1146"/>
        </w:tabs>
        <w:rPr>
          <w:color w:val="auto"/>
        </w:rPr>
      </w:pPr>
      <w:r w:rsidRPr="00F71CE7">
        <w:rPr>
          <w:color w:val="auto"/>
        </w:rPr>
        <w:t>The NSWLRC recommended repealing this exception. It could not see any justification for the exception, and thought its removal would not affect superannuation providers significantly.</w:t>
      </w:r>
      <w:r w:rsidRPr="00F71CE7">
        <w:rPr>
          <w:rStyle w:val="FootnoteReference"/>
          <w:color w:val="auto"/>
        </w:rPr>
        <w:footnoteReference w:id="507"/>
      </w:r>
      <w:r w:rsidRPr="00F71CE7">
        <w:rPr>
          <w:color w:val="auto"/>
        </w:rPr>
        <w:t xml:space="preserve"> </w:t>
      </w:r>
    </w:p>
    <w:p w14:paraId="1E7E6183" w14:textId="77777777" w:rsidR="000835D9" w:rsidRPr="00F71CE7" w:rsidRDefault="000835D9" w:rsidP="000835D9">
      <w:pPr>
        <w:pStyle w:val="Heading3"/>
        <w:rPr>
          <w:color w:val="auto"/>
        </w:rPr>
      </w:pPr>
      <w:r w:rsidRPr="00F71CE7">
        <w:rPr>
          <w:color w:val="auto"/>
        </w:rPr>
        <w:t>Alternatives to the ADA’s insurance and superannuation exceptions</w:t>
      </w:r>
    </w:p>
    <w:p w14:paraId="716F9523" w14:textId="77777777" w:rsidR="000835D9" w:rsidRPr="00F71CE7" w:rsidRDefault="000835D9" w:rsidP="000835D9">
      <w:pPr>
        <w:pStyle w:val="NormalAutoChapter"/>
        <w:tabs>
          <w:tab w:val="clear" w:pos="720"/>
          <w:tab w:val="num" w:pos="1146"/>
        </w:tabs>
        <w:rPr>
          <w:color w:val="auto"/>
        </w:rPr>
      </w:pPr>
      <w:r w:rsidRPr="00F71CE7">
        <w:rPr>
          <w:color w:val="auto"/>
        </w:rPr>
        <w:t>NSW could look to other Australian discrimination laws for alternative models. For instance, the ACT allows superannuation providers (and insurers) to discriminate against a person with any protected attribute if:</w:t>
      </w:r>
    </w:p>
    <w:p w14:paraId="60B9428B" w14:textId="77777777" w:rsidR="000835D9" w:rsidRPr="00F71CE7" w:rsidRDefault="000835D9" w:rsidP="000835D9">
      <w:pPr>
        <w:pStyle w:val="Normalbullet"/>
      </w:pPr>
      <w:r w:rsidRPr="00F71CE7">
        <w:t>the discrimination is based on actuarial or other statistical data, or other relevant documents</w:t>
      </w:r>
    </w:p>
    <w:p w14:paraId="3E3ABED0" w14:textId="77777777" w:rsidR="000835D9" w:rsidRPr="00F71CE7" w:rsidRDefault="000835D9" w:rsidP="000835D9">
      <w:pPr>
        <w:pStyle w:val="Normalbullet"/>
      </w:pPr>
      <w:r w:rsidRPr="00F71CE7">
        <w:t xml:space="preserve">it is reasonable to rely on that data or documents, and </w:t>
      </w:r>
    </w:p>
    <w:p w14:paraId="6EB7161D" w14:textId="77777777" w:rsidR="000835D9" w:rsidRPr="00F71CE7" w:rsidRDefault="000835D9" w:rsidP="000835D9">
      <w:pPr>
        <w:pStyle w:val="Normalbullet"/>
      </w:pPr>
      <w:r w:rsidRPr="00F71CE7">
        <w:t>the discrimination is reasonable, proportionate and justifiable in the circumstances.</w:t>
      </w:r>
      <w:r w:rsidRPr="00F71CE7">
        <w:rPr>
          <w:rStyle w:val="FootnoteReference"/>
        </w:rPr>
        <w:footnoteReference w:id="508"/>
      </w:r>
    </w:p>
    <w:p w14:paraId="00D84D9A" w14:textId="77777777" w:rsidR="000835D9" w:rsidRPr="00F71CE7" w:rsidRDefault="000835D9" w:rsidP="000835D9">
      <w:pPr>
        <w:pStyle w:val="NormalAutoChapter"/>
        <w:rPr>
          <w:color w:val="auto"/>
        </w:rPr>
      </w:pPr>
      <w:r w:rsidRPr="00F71CE7">
        <w:rPr>
          <w:color w:val="auto"/>
        </w:rPr>
        <w:t>The insurer or superannuation provider must also provide the customer with the data or other documents, or a “meaningful explanation” of them</w:t>
      </w:r>
      <w:r>
        <w:rPr>
          <w:color w:val="auto"/>
        </w:rPr>
        <w:t>,</w:t>
      </w:r>
      <w:r w:rsidRPr="00F71CE7">
        <w:rPr>
          <w:color w:val="auto"/>
        </w:rPr>
        <w:t xml:space="preserve"> in writing, upon request.</w:t>
      </w:r>
      <w:r w:rsidRPr="00F71CE7">
        <w:rPr>
          <w:rStyle w:val="FootnoteReference"/>
          <w:color w:val="auto"/>
        </w:rPr>
        <w:footnoteReference w:id="509"/>
      </w:r>
      <w:r w:rsidRPr="00F71CE7">
        <w:rPr>
          <w:color w:val="auto"/>
        </w:rPr>
        <w:t xml:space="preserve"> </w:t>
      </w:r>
    </w:p>
    <w:p w14:paraId="0525B230" w14:textId="77777777" w:rsidR="000835D9" w:rsidRDefault="000835D9" w:rsidP="000835D9">
      <w:pPr>
        <w:pStyle w:val="NormalAutoChapter"/>
        <w:rPr>
          <w:color w:val="auto"/>
        </w:rPr>
      </w:pPr>
      <w:r w:rsidRPr="00F71CE7">
        <w:rPr>
          <w:color w:val="auto"/>
        </w:rPr>
        <w:lastRenderedPageBreak/>
        <w:t>Another option, supported by the Queensland Human Rights Commission (QHRC), is to include a non-exhaustive list of factors to guide consideration of whether it is reasonable to rely on the actuarial or statistical data. This would include factors such as whether the data is up-to-date and from a reasonable source.</w:t>
      </w:r>
      <w:r w:rsidRPr="00F71CE7">
        <w:rPr>
          <w:rStyle w:val="FootnoteReference"/>
          <w:color w:val="auto"/>
        </w:rPr>
        <w:footnoteReference w:id="510"/>
      </w:r>
    </w:p>
    <w:p w14:paraId="1231997B" w14:textId="77777777" w:rsidR="000835D9" w:rsidRPr="000B14A9" w:rsidRDefault="000835D9" w:rsidP="000835D9">
      <w:pPr>
        <w:pStyle w:val="Recommendationheading"/>
      </w:pPr>
      <w:r w:rsidRPr="000B14A9">
        <w:t>Question 6.</w:t>
      </w:r>
      <w:r>
        <w:t>5</w:t>
      </w:r>
      <w:r w:rsidRPr="000B14A9">
        <w:t xml:space="preserve">: </w:t>
      </w:r>
      <w:r>
        <w:t xml:space="preserve">Superannuation services and insurance exceptions </w:t>
      </w:r>
    </w:p>
    <w:p w14:paraId="13D9D1F2" w14:textId="642A27C8" w:rsidR="000835D9" w:rsidRDefault="000835D9" w:rsidP="000835D9">
      <w:pPr>
        <w:pStyle w:val="Recommendationnormal"/>
      </w:pPr>
      <w:r>
        <w:t>What</w:t>
      </w:r>
      <w:r w:rsidR="00F55080">
        <w:t xml:space="preserve"> changes, if any,</w:t>
      </w:r>
      <w:r>
        <w:t xml:space="preserve"> should be made to the exceptions applying to insurance and superannuation? </w:t>
      </w:r>
    </w:p>
    <w:p w14:paraId="2657E559" w14:textId="77777777" w:rsidR="000835D9" w:rsidRDefault="000835D9" w:rsidP="000835D9">
      <w:pPr>
        <w:pStyle w:val="Heading2"/>
      </w:pPr>
      <w:bookmarkStart w:id="249" w:name="_Toc196748347"/>
      <w:bookmarkStart w:id="250" w:name="_Toc196826880"/>
      <w:r>
        <w:t>Other exceptions to discrimination in goods and services</w:t>
      </w:r>
      <w:bookmarkEnd w:id="249"/>
      <w:bookmarkEnd w:id="250"/>
      <w:r>
        <w:t xml:space="preserve"> </w:t>
      </w:r>
    </w:p>
    <w:p w14:paraId="1506485B" w14:textId="77777777" w:rsidR="000835D9" w:rsidRPr="002A77F0" w:rsidRDefault="000835D9" w:rsidP="000835D9">
      <w:pPr>
        <w:pStyle w:val="NormalAutoChapter"/>
        <w:rPr>
          <w:lang w:eastAsia="en-US"/>
        </w:rPr>
      </w:pPr>
      <w:r>
        <w:t>There are specific exceptions relating to sex, age and disability which limit the protections against discrimination in “goods and services”. These are in addition to the wider exceptions that apply more generally across areas (</w:t>
      </w:r>
      <w:r w:rsidRPr="00F163C6">
        <w:t xml:space="preserve">chapter </w:t>
      </w:r>
      <w:r w:rsidRPr="00F163C6">
        <w:rPr>
          <w:color w:val="auto"/>
        </w:rPr>
        <w:t>7</w:t>
      </w:r>
      <w:r w:rsidRPr="00F163C6">
        <w:t>).</w:t>
      </w:r>
      <w:r>
        <w:t xml:space="preserve"> </w:t>
      </w:r>
    </w:p>
    <w:p w14:paraId="2D127984" w14:textId="77777777" w:rsidR="000835D9" w:rsidRPr="00B60EA5" w:rsidRDefault="000835D9" w:rsidP="000835D9">
      <w:pPr>
        <w:pStyle w:val="NormalAutoChapter"/>
        <w:rPr>
          <w:color w:val="auto"/>
        </w:rPr>
      </w:pPr>
      <w:r>
        <w:t xml:space="preserve">It is not unlawful for someone to exercise a skill in relation to </w:t>
      </w:r>
      <w:r w:rsidRPr="00B60EA5">
        <w:rPr>
          <w:color w:val="auto"/>
        </w:rPr>
        <w:t>men or women only, when they commonly exercise that skill in a different way for men and for women.</w:t>
      </w:r>
      <w:r w:rsidRPr="00B60EA5">
        <w:rPr>
          <w:rStyle w:val="FootnoteReference"/>
          <w:color w:val="auto"/>
        </w:rPr>
        <w:footnoteReference w:id="511"/>
      </w:r>
      <w:r w:rsidRPr="00B60EA5">
        <w:rPr>
          <w:color w:val="auto"/>
        </w:rPr>
        <w:t xml:space="preserve"> </w:t>
      </w:r>
    </w:p>
    <w:p w14:paraId="38CC881B" w14:textId="77777777" w:rsidR="000835D9" w:rsidRDefault="000835D9" w:rsidP="000835D9">
      <w:pPr>
        <w:pStyle w:val="NormalAutoChapter"/>
        <w:rPr>
          <w:color w:val="auto"/>
          <w:lang w:eastAsia="en-US"/>
        </w:rPr>
      </w:pPr>
      <w:r>
        <w:rPr>
          <w:color w:val="auto"/>
          <w:lang w:eastAsia="en-US"/>
        </w:rPr>
        <w:t xml:space="preserve">In addition, it is not unlawful age discrimination to: </w:t>
      </w:r>
    </w:p>
    <w:p w14:paraId="198E54C5" w14:textId="77777777" w:rsidR="000835D9" w:rsidRDefault="000835D9" w:rsidP="000835D9">
      <w:pPr>
        <w:pStyle w:val="Normalbullet"/>
      </w:pPr>
      <w:r>
        <w:t>offer or provide holiday tours to people of a particular age or age group</w:t>
      </w:r>
    </w:p>
    <w:p w14:paraId="0456BEB2" w14:textId="77777777" w:rsidR="000835D9" w:rsidRDefault="000835D9" w:rsidP="000835D9">
      <w:pPr>
        <w:pStyle w:val="Normalbullet"/>
      </w:pPr>
      <w:r>
        <w:t xml:space="preserve">discriminate based on age in disposing of goods or services by gift or will, or </w:t>
      </w:r>
    </w:p>
    <w:p w14:paraId="0EDE5DD3" w14:textId="77777777" w:rsidR="000835D9" w:rsidRPr="008D7259" w:rsidRDefault="000835D9" w:rsidP="000835D9">
      <w:pPr>
        <w:pStyle w:val="Normalbullet"/>
      </w:pPr>
      <w:r>
        <w:t>provide benefits, including concessions, to someone because of their age.</w:t>
      </w:r>
      <w:r>
        <w:rPr>
          <w:rStyle w:val="FootnoteReference"/>
        </w:rPr>
        <w:footnoteReference w:id="512"/>
      </w:r>
    </w:p>
    <w:p w14:paraId="03C2331C" w14:textId="77777777" w:rsidR="000835D9" w:rsidRDefault="000835D9" w:rsidP="000835D9">
      <w:pPr>
        <w:pStyle w:val="NormalAutoChapter"/>
        <w:rPr>
          <w:color w:val="auto"/>
          <w:lang w:eastAsia="en-US"/>
        </w:rPr>
      </w:pPr>
      <w:r w:rsidRPr="004442A6">
        <w:rPr>
          <w:color w:val="auto"/>
          <w:lang w:eastAsia="en-US"/>
        </w:rPr>
        <w:t xml:space="preserve">The NSWLRC </w:t>
      </w:r>
      <w:r>
        <w:rPr>
          <w:color w:val="auto"/>
          <w:lang w:eastAsia="en-US"/>
        </w:rPr>
        <w:t xml:space="preserve">thought the first two age-related exceptions should be repealed. It recommended the exception relating to benefits and concessions should be replaced with </w:t>
      </w:r>
      <w:r w:rsidRPr="001008ED">
        <w:rPr>
          <w:color w:val="auto"/>
          <w:lang w:eastAsia="en-US"/>
        </w:rPr>
        <w:t>a narrower exception t</w:t>
      </w:r>
      <w:r>
        <w:rPr>
          <w:color w:val="auto"/>
          <w:lang w:eastAsia="en-US"/>
        </w:rPr>
        <w:t xml:space="preserve">o </w:t>
      </w:r>
      <w:r w:rsidRPr="001008ED">
        <w:rPr>
          <w:color w:val="auto"/>
          <w:lang w:eastAsia="en-US"/>
        </w:rPr>
        <w:t>allow the provision of benefits or services at concessional</w:t>
      </w:r>
      <w:r>
        <w:rPr>
          <w:color w:val="auto"/>
          <w:lang w:eastAsia="en-US"/>
        </w:rPr>
        <w:t>,</w:t>
      </w:r>
      <w:r w:rsidRPr="001008ED">
        <w:rPr>
          <w:color w:val="auto"/>
          <w:lang w:eastAsia="en-US"/>
        </w:rPr>
        <w:t xml:space="preserve"> </w:t>
      </w:r>
      <w:r>
        <w:rPr>
          <w:color w:val="auto"/>
          <w:lang w:eastAsia="en-US"/>
        </w:rPr>
        <w:t xml:space="preserve">age-based </w:t>
      </w:r>
      <w:r w:rsidRPr="001008ED">
        <w:rPr>
          <w:color w:val="auto"/>
          <w:lang w:eastAsia="en-US"/>
        </w:rPr>
        <w:t>rates.</w:t>
      </w:r>
      <w:r w:rsidRPr="0054223D">
        <w:rPr>
          <w:rStyle w:val="FootnoteReference"/>
          <w:color w:val="auto"/>
          <w:lang w:eastAsia="en-US"/>
        </w:rPr>
        <w:footnoteReference w:id="513"/>
      </w:r>
    </w:p>
    <w:p w14:paraId="4C2F6947" w14:textId="77777777" w:rsidR="000835D9" w:rsidRDefault="000835D9" w:rsidP="000835D9">
      <w:pPr>
        <w:pStyle w:val="NormalAutoChapter"/>
        <w:rPr>
          <w:color w:val="auto"/>
          <w:lang w:eastAsia="en-US"/>
        </w:rPr>
      </w:pPr>
      <w:r>
        <w:rPr>
          <w:color w:val="auto"/>
          <w:lang w:eastAsia="en-US"/>
        </w:rPr>
        <w:t>Another exception applies where the provision of goods and services to a person with disability would impose “unjustifiable hardship” on the provider.</w:t>
      </w:r>
      <w:r>
        <w:rPr>
          <w:rStyle w:val="FootnoteReference"/>
          <w:color w:val="auto"/>
          <w:lang w:eastAsia="en-US"/>
        </w:rPr>
        <w:footnoteReference w:id="514"/>
      </w:r>
      <w:r>
        <w:rPr>
          <w:color w:val="auto"/>
          <w:lang w:eastAsia="en-US"/>
        </w:rPr>
        <w:t xml:space="preserve"> We consider this exception, and alternatives to it, in </w:t>
      </w:r>
      <w:r w:rsidRPr="00F163C6">
        <w:rPr>
          <w:color w:val="auto"/>
          <w:lang w:eastAsia="en-US"/>
        </w:rPr>
        <w:t>chapter 11.</w:t>
      </w:r>
    </w:p>
    <w:p w14:paraId="51E693CC" w14:textId="77777777" w:rsidR="000835D9" w:rsidRPr="000B14A9" w:rsidRDefault="000835D9" w:rsidP="000835D9">
      <w:pPr>
        <w:pStyle w:val="Recommendationheading"/>
      </w:pPr>
      <w:r w:rsidRPr="000B14A9">
        <w:t>Question 6.</w:t>
      </w:r>
      <w:r>
        <w:t>6</w:t>
      </w:r>
      <w:r w:rsidRPr="000B14A9">
        <w:t xml:space="preserve">: </w:t>
      </w:r>
      <w:r>
        <w:t>T</w:t>
      </w:r>
      <w:r w:rsidRPr="000B14A9">
        <w:t>he provision of goods and services</w:t>
      </w:r>
      <w:r>
        <w:t xml:space="preserve"> — exceptions </w:t>
      </w:r>
    </w:p>
    <w:p w14:paraId="15C0CC22" w14:textId="32B217D1" w:rsidR="000835D9" w:rsidRPr="003249BD" w:rsidRDefault="000835D9" w:rsidP="000835D9">
      <w:pPr>
        <w:pStyle w:val="Recommendationnormal"/>
        <w:rPr>
          <w:i/>
          <w:iCs/>
        </w:rPr>
      </w:pPr>
      <w:r>
        <w:t>What</w:t>
      </w:r>
      <w:r w:rsidR="00F55080">
        <w:t xml:space="preserve"> changes, if any,</w:t>
      </w:r>
      <w:r>
        <w:t xml:space="preserve"> should be made to the exceptions to sex, age and disability discrimination in relation to the provision of goods and services? </w:t>
      </w:r>
    </w:p>
    <w:p w14:paraId="2063F1B8" w14:textId="77777777" w:rsidR="000835D9" w:rsidRPr="001D38E6" w:rsidRDefault="000835D9" w:rsidP="000835D9">
      <w:pPr>
        <w:pStyle w:val="Heading1"/>
      </w:pPr>
      <w:bookmarkStart w:id="251" w:name="_Toc196748348"/>
      <w:bookmarkStart w:id="252" w:name="_Toc196826881"/>
      <w:r w:rsidRPr="001D38E6">
        <w:lastRenderedPageBreak/>
        <w:t>Accommodation</w:t>
      </w:r>
      <w:bookmarkEnd w:id="251"/>
      <w:bookmarkEnd w:id="252"/>
    </w:p>
    <w:p w14:paraId="353CF09E" w14:textId="77777777" w:rsidR="000835D9" w:rsidRDefault="000835D9" w:rsidP="000835D9">
      <w:pPr>
        <w:pStyle w:val="NormalAutoChapter"/>
      </w:pPr>
      <w:r>
        <w:t>Accommodation is another protected area. It is unlawful for a principal or agent to discriminate against someone, based on any protected attribute:</w:t>
      </w:r>
    </w:p>
    <w:p w14:paraId="7DE7AFE4" w14:textId="77777777" w:rsidR="000835D9" w:rsidRPr="001D38E6" w:rsidRDefault="000835D9" w:rsidP="000835D9">
      <w:pPr>
        <w:pStyle w:val="Normalbullet"/>
      </w:pPr>
      <w:r>
        <w:t xml:space="preserve">by </w:t>
      </w:r>
      <w:r w:rsidRPr="001D38E6">
        <w:t xml:space="preserve">refusing </w:t>
      </w:r>
      <w:r>
        <w:t xml:space="preserve">or deferring </w:t>
      </w:r>
      <w:r w:rsidRPr="001D38E6">
        <w:t>their application for accommodation</w:t>
      </w:r>
      <w:r>
        <w:t>, or giving them lower priority than other applicants</w:t>
      </w:r>
    </w:p>
    <w:p w14:paraId="3C53BD82" w14:textId="77777777" w:rsidR="000835D9" w:rsidRPr="001D38E6" w:rsidRDefault="000835D9" w:rsidP="000835D9">
      <w:pPr>
        <w:pStyle w:val="Normalbullet"/>
      </w:pPr>
      <w:r w:rsidRPr="001D38E6">
        <w:t>in the terms on which they are offered accommodation</w:t>
      </w:r>
    </w:p>
    <w:p w14:paraId="7399EB7B" w14:textId="77777777" w:rsidR="000835D9" w:rsidRPr="001D38E6" w:rsidRDefault="000835D9" w:rsidP="000835D9">
      <w:pPr>
        <w:pStyle w:val="Normalbullet"/>
      </w:pPr>
      <w:r>
        <w:t xml:space="preserve">by </w:t>
      </w:r>
      <w:r w:rsidRPr="001D38E6">
        <w:t xml:space="preserve">denying </w:t>
      </w:r>
      <w:r>
        <w:t>or limiting access</w:t>
      </w:r>
      <w:r w:rsidRPr="001D38E6">
        <w:t xml:space="preserve"> to benefits associated with </w:t>
      </w:r>
      <w:r>
        <w:t xml:space="preserve">their </w:t>
      </w:r>
      <w:r w:rsidRPr="001D38E6">
        <w:t>accommodation</w:t>
      </w:r>
      <w:r>
        <w:t>,</w:t>
      </w:r>
      <w:r w:rsidRPr="001D38E6">
        <w:t xml:space="preserve"> </w:t>
      </w:r>
      <w:r>
        <w:t>or</w:t>
      </w:r>
    </w:p>
    <w:p w14:paraId="72EBC3EB" w14:textId="77777777" w:rsidR="000835D9" w:rsidRPr="001D38E6" w:rsidRDefault="000835D9" w:rsidP="000835D9">
      <w:pPr>
        <w:pStyle w:val="Normalbullet"/>
      </w:pPr>
      <w:r w:rsidRPr="001D38E6">
        <w:t>evicting or</w:t>
      </w:r>
      <w:r>
        <w:t xml:space="preserve"> </w:t>
      </w:r>
      <w:r w:rsidRPr="001D38E6">
        <w:t>subjecting them to any other detriment.</w:t>
      </w:r>
      <w:r w:rsidRPr="001D38E6">
        <w:rPr>
          <w:rStyle w:val="FootnoteReference"/>
        </w:rPr>
        <w:footnoteReference w:id="515"/>
      </w:r>
    </w:p>
    <w:p w14:paraId="59C8007C" w14:textId="77777777" w:rsidR="000835D9" w:rsidRDefault="000835D9" w:rsidP="000835D9">
      <w:pPr>
        <w:pStyle w:val="Heading2"/>
      </w:pPr>
      <w:bookmarkStart w:id="254" w:name="_Toc196748349"/>
      <w:bookmarkStart w:id="255" w:name="_Toc196826882"/>
      <w:r>
        <w:t>Issues relating to coverage</w:t>
      </w:r>
      <w:bookmarkEnd w:id="254"/>
      <w:bookmarkEnd w:id="255"/>
      <w:r>
        <w:t xml:space="preserve"> </w:t>
      </w:r>
    </w:p>
    <w:p w14:paraId="68C78776" w14:textId="77777777" w:rsidR="000835D9" w:rsidRDefault="000835D9" w:rsidP="000835D9">
      <w:pPr>
        <w:pStyle w:val="NormalAutoChapter"/>
      </w:pPr>
      <w:r>
        <w:t>The definition of “accommodation” includes residential or business accommodation.</w:t>
      </w:r>
      <w:r w:rsidRPr="00B50667">
        <w:rPr>
          <w:rStyle w:val="FootnoteReference"/>
        </w:rPr>
        <w:footnoteReference w:id="516"/>
      </w:r>
      <w:r>
        <w:t xml:space="preserve"> In 1999, the NSWLRC said it should more clearly cover </w:t>
      </w:r>
      <w:r w:rsidRPr="00B50667">
        <w:t>caravans and mobile homes.</w:t>
      </w:r>
      <w:r w:rsidRPr="00B50667">
        <w:rPr>
          <w:rStyle w:val="FootnoteReference"/>
        </w:rPr>
        <w:footnoteReference w:id="517"/>
      </w:r>
      <w:r w:rsidRPr="00B50667">
        <w:t xml:space="preserve"> </w:t>
      </w:r>
      <w:r>
        <w:t>Other types of accommodation could be specified, too.</w:t>
      </w:r>
    </w:p>
    <w:p w14:paraId="49A4A1B8" w14:textId="77777777" w:rsidR="000835D9" w:rsidRDefault="000835D9" w:rsidP="000835D9">
      <w:pPr>
        <w:pStyle w:val="NormalAutoChapter"/>
      </w:pPr>
      <w:r>
        <w:t xml:space="preserve">Another issue is whether the coverage of this area should more clearly reflect the rights of people </w:t>
      </w:r>
      <w:r w:rsidRPr="001D38E6">
        <w:t xml:space="preserve">with disability. </w:t>
      </w:r>
      <w:r>
        <w:t>For examp</w:t>
      </w:r>
      <w:r w:rsidRPr="001D38E6">
        <w:t xml:space="preserve">le, </w:t>
      </w:r>
      <w:r>
        <w:t xml:space="preserve">in Victoria, accommodation providers must </w:t>
      </w:r>
      <w:r w:rsidRPr="001D38E6">
        <w:t xml:space="preserve">allow a person with disability to make reasonable alterations to accommodation </w:t>
      </w:r>
      <w:r>
        <w:t>if certain conditions are met. Failure to allow this could amount to discrimination.</w:t>
      </w:r>
      <w:r w:rsidRPr="001D38E6">
        <w:rPr>
          <w:rStyle w:val="FootnoteReference"/>
        </w:rPr>
        <w:footnoteReference w:id="518"/>
      </w:r>
    </w:p>
    <w:p w14:paraId="4BDCE03E" w14:textId="77777777" w:rsidR="000835D9" w:rsidRPr="0090105C" w:rsidRDefault="000835D9" w:rsidP="000835D9">
      <w:pPr>
        <w:pStyle w:val="NormalAutoChapter"/>
        <w:rPr>
          <w:color w:val="auto"/>
        </w:rPr>
      </w:pPr>
      <w:r>
        <w:rPr>
          <w:color w:val="auto"/>
        </w:rPr>
        <w:t>Similar</w:t>
      </w:r>
      <w:r w:rsidRPr="0090105C">
        <w:rPr>
          <w:color w:val="auto"/>
        </w:rPr>
        <w:t xml:space="preserve"> requirements </w:t>
      </w:r>
      <w:r>
        <w:rPr>
          <w:color w:val="auto"/>
        </w:rPr>
        <w:t xml:space="preserve">about reasonable alterations </w:t>
      </w:r>
      <w:r w:rsidRPr="0090105C">
        <w:rPr>
          <w:color w:val="auto"/>
        </w:rPr>
        <w:t>exist in Q</w:t>
      </w:r>
      <w:r>
        <w:rPr>
          <w:color w:val="auto"/>
        </w:rPr>
        <w:t>ueensland</w:t>
      </w:r>
      <w:r w:rsidRPr="0090105C">
        <w:rPr>
          <w:color w:val="auto"/>
        </w:rPr>
        <w:t xml:space="preserve">, </w:t>
      </w:r>
      <w:r>
        <w:rPr>
          <w:color w:val="auto"/>
        </w:rPr>
        <w:t xml:space="preserve">the </w:t>
      </w:r>
      <w:r w:rsidRPr="0090105C">
        <w:rPr>
          <w:color w:val="auto"/>
        </w:rPr>
        <w:t xml:space="preserve">NT and </w:t>
      </w:r>
      <w:r>
        <w:rPr>
          <w:color w:val="auto"/>
        </w:rPr>
        <w:t xml:space="preserve">under </w:t>
      </w:r>
      <w:r w:rsidRPr="0090105C">
        <w:rPr>
          <w:color w:val="auto"/>
        </w:rPr>
        <w:t xml:space="preserve">the </w:t>
      </w:r>
      <w:r w:rsidRPr="0090105C">
        <w:rPr>
          <w:i/>
          <w:iCs/>
          <w:color w:val="auto"/>
        </w:rPr>
        <w:t>Disability Discrimination Act</w:t>
      </w:r>
      <w:r w:rsidRPr="0090105C">
        <w:rPr>
          <w:color w:val="auto"/>
        </w:rPr>
        <w:t>.</w:t>
      </w:r>
      <w:r w:rsidRPr="008E5C46">
        <w:rPr>
          <w:rStyle w:val="FootnoteReference"/>
          <w:color w:val="auto"/>
        </w:rPr>
        <w:footnoteReference w:id="519"/>
      </w:r>
      <w:r w:rsidRPr="0090105C">
        <w:rPr>
          <w:color w:val="auto"/>
        </w:rPr>
        <w:t xml:space="preserve"> In 1999</w:t>
      </w:r>
      <w:r>
        <w:rPr>
          <w:color w:val="auto"/>
        </w:rPr>
        <w:t>,</w:t>
      </w:r>
      <w:r w:rsidRPr="0090105C">
        <w:rPr>
          <w:color w:val="auto"/>
        </w:rPr>
        <w:t xml:space="preserve"> the NSWLRC recommended</w:t>
      </w:r>
      <w:r>
        <w:rPr>
          <w:color w:val="auto"/>
        </w:rPr>
        <w:t xml:space="preserve"> the ADA</w:t>
      </w:r>
      <w:r w:rsidRPr="0090105C">
        <w:rPr>
          <w:color w:val="auto"/>
        </w:rPr>
        <w:t xml:space="preserve"> </w:t>
      </w:r>
      <w:r>
        <w:rPr>
          <w:color w:val="auto"/>
        </w:rPr>
        <w:t xml:space="preserve">should also </w:t>
      </w:r>
      <w:r w:rsidRPr="0090105C">
        <w:rPr>
          <w:color w:val="auto"/>
        </w:rPr>
        <w:t>includ</w:t>
      </w:r>
      <w:r>
        <w:rPr>
          <w:color w:val="auto"/>
        </w:rPr>
        <w:t>e</w:t>
      </w:r>
      <w:r w:rsidRPr="0090105C">
        <w:rPr>
          <w:color w:val="auto"/>
        </w:rPr>
        <w:t xml:space="preserve"> a </w:t>
      </w:r>
      <w:r>
        <w:rPr>
          <w:color w:val="auto"/>
        </w:rPr>
        <w:t>similar protection as it aligns with these other discrimination laws</w:t>
      </w:r>
      <w:r w:rsidRPr="0090105C">
        <w:rPr>
          <w:color w:val="auto"/>
        </w:rPr>
        <w:t>.</w:t>
      </w:r>
      <w:r w:rsidRPr="008E5C46">
        <w:rPr>
          <w:rStyle w:val="FootnoteReference"/>
          <w:color w:val="auto"/>
        </w:rPr>
        <w:footnoteReference w:id="520"/>
      </w:r>
    </w:p>
    <w:p w14:paraId="7393808A" w14:textId="77777777" w:rsidR="000835D9" w:rsidRDefault="000835D9" w:rsidP="000835D9">
      <w:pPr>
        <w:pStyle w:val="NormalAutoChapter"/>
      </w:pPr>
      <w:r>
        <w:t xml:space="preserve">In Victoria, it is also unlawful to refuse </w:t>
      </w:r>
      <w:r w:rsidRPr="001D38E6">
        <w:t>accommodation to a person with disability because they have an assistance dog</w:t>
      </w:r>
      <w:r>
        <w:t>. It is unlawful to make</w:t>
      </w:r>
      <w:r w:rsidRPr="001D38E6">
        <w:t xml:space="preserve"> th</w:t>
      </w:r>
      <w:r>
        <w:t>em</w:t>
      </w:r>
      <w:r w:rsidRPr="001D38E6">
        <w:t xml:space="preserve"> keep their dog elsewhere or</w:t>
      </w:r>
      <w:r>
        <w:t xml:space="preserve"> </w:t>
      </w:r>
      <w:r w:rsidRPr="001D38E6">
        <w:t>pay an extra charge because of the dog.</w:t>
      </w:r>
      <w:r w:rsidRPr="001D38E6">
        <w:rPr>
          <w:rStyle w:val="FootnoteReference"/>
        </w:rPr>
        <w:footnoteReference w:id="521"/>
      </w:r>
      <w:r>
        <w:t xml:space="preserve"> </w:t>
      </w:r>
    </w:p>
    <w:p w14:paraId="7CB71C0D" w14:textId="77777777" w:rsidR="000835D9" w:rsidRPr="001D38E6" w:rsidRDefault="000835D9" w:rsidP="000835D9">
      <w:pPr>
        <w:pStyle w:val="NormalAutoChapter"/>
      </w:pPr>
      <w:r>
        <w:lastRenderedPageBreak/>
        <w:t xml:space="preserve">If NSW were to take this approach, consideration could be given to whether other assistance animals should also be included. As we discuss in chapter </w:t>
      </w:r>
      <w:r w:rsidRPr="00F163C6">
        <w:t>4,</w:t>
      </w:r>
      <w:r>
        <w:t xml:space="preserve"> people with disability may use assistance animals other than dogs.  </w:t>
      </w:r>
    </w:p>
    <w:p w14:paraId="17BC0A8C" w14:textId="77777777" w:rsidR="000835D9" w:rsidRDefault="000835D9" w:rsidP="000835D9">
      <w:pPr>
        <w:pStyle w:val="NormalAutoChapter"/>
      </w:pPr>
      <w:r>
        <w:t>Currently, the ADA provides an exception to the prohibition on disability discrimination if:</w:t>
      </w:r>
    </w:p>
    <w:p w14:paraId="23ED5F06" w14:textId="77777777" w:rsidR="000835D9" w:rsidRDefault="000835D9" w:rsidP="000835D9">
      <w:pPr>
        <w:pStyle w:val="Normalbullet"/>
      </w:pPr>
      <w:r>
        <w:t>a person with disability requires special services or facilities, or requires a benefit to be provided in a special manner, and</w:t>
      </w:r>
    </w:p>
    <w:p w14:paraId="64632B90" w14:textId="77777777" w:rsidR="000835D9" w:rsidRDefault="000835D9" w:rsidP="000835D9">
      <w:pPr>
        <w:pStyle w:val="Normalbullet"/>
      </w:pPr>
      <w:r>
        <w:t>it would impose “unjustifiable hardship” on the accommodation provider to provide these services or facilities, or the benefit in that manner.</w:t>
      </w:r>
      <w:r>
        <w:rPr>
          <w:rStyle w:val="FootnoteReference"/>
        </w:rPr>
        <w:footnoteReference w:id="522"/>
      </w:r>
    </w:p>
    <w:p w14:paraId="4B8B30F8" w14:textId="77777777" w:rsidR="000835D9" w:rsidRDefault="000835D9" w:rsidP="000835D9">
      <w:pPr>
        <w:pStyle w:val="NormalAutoChapter"/>
      </w:pPr>
      <w:r>
        <w:t>Ref</w:t>
      </w:r>
      <w:r w:rsidRPr="001D38E6">
        <w:t>using to allow reasonable alterations or assistance dogs could already be unlawful in NSW</w:t>
      </w:r>
      <w:r>
        <w:t xml:space="preserve">, if the test for </w:t>
      </w:r>
      <w:r w:rsidRPr="001D38E6">
        <w:t xml:space="preserve">direct or indirect disability discrimination </w:t>
      </w:r>
      <w:r>
        <w:t xml:space="preserve">is met </w:t>
      </w:r>
      <w:r w:rsidRPr="001D38E6">
        <w:t>and the accommodation provider</w:t>
      </w:r>
      <w:r>
        <w:t xml:space="preserve"> cannot</w:t>
      </w:r>
      <w:r w:rsidRPr="001D38E6">
        <w:t xml:space="preserve"> prove </w:t>
      </w:r>
      <w:r>
        <w:t xml:space="preserve">that doing so would cause </w:t>
      </w:r>
      <w:r w:rsidRPr="001D38E6">
        <w:t>unjustifiable hardship.</w:t>
      </w:r>
      <w:r w:rsidRPr="001D38E6">
        <w:rPr>
          <w:rStyle w:val="FootnoteReference"/>
        </w:rPr>
        <w:footnoteReference w:id="523"/>
      </w:r>
      <w:r w:rsidRPr="001D38E6">
        <w:t xml:space="preserve"> </w:t>
      </w:r>
      <w:r>
        <w:t xml:space="preserve">However, it could be argued that the Victorian approach is clearer. We consider the option of an obligation to provide adjustments </w:t>
      </w:r>
      <w:r w:rsidRPr="0086179C">
        <w:t>in chapter 11.</w:t>
      </w:r>
    </w:p>
    <w:p w14:paraId="35E26506" w14:textId="77777777" w:rsidR="000835D9" w:rsidRDefault="000835D9" w:rsidP="000835D9">
      <w:pPr>
        <w:pStyle w:val="Recommendationheading"/>
      </w:pPr>
      <w:r>
        <w:t xml:space="preserve">Question 6.7: Discrimination in accommodation — coverage   </w:t>
      </w:r>
    </w:p>
    <w:p w14:paraId="494A633B" w14:textId="79950850" w:rsidR="000835D9" w:rsidRPr="000B14A9" w:rsidRDefault="000835D9" w:rsidP="000835D9">
      <w:pPr>
        <w:pStyle w:val="Recommendationnormal"/>
      </w:pPr>
      <w:r>
        <w:t>What</w:t>
      </w:r>
      <w:r w:rsidR="00F55080">
        <w:t xml:space="preserve"> changes, if any,</w:t>
      </w:r>
      <w:r>
        <w:t xml:space="preserve"> should be made to the </w:t>
      </w:r>
      <w:r w:rsidRPr="000B14A9">
        <w:t xml:space="preserve">definition </w:t>
      </w:r>
      <w:r>
        <w:t xml:space="preserve">and coverage </w:t>
      </w:r>
      <w:r w:rsidRPr="000B14A9">
        <w:t>of the</w:t>
      </w:r>
      <w:r>
        <w:t xml:space="preserve"> protected area of “accommodation”? </w:t>
      </w:r>
    </w:p>
    <w:p w14:paraId="45CDB649" w14:textId="77777777" w:rsidR="000835D9" w:rsidRPr="009C695A" w:rsidRDefault="000835D9" w:rsidP="000835D9">
      <w:pPr>
        <w:pStyle w:val="Heading2"/>
      </w:pPr>
      <w:bookmarkStart w:id="256" w:name="_Toc196748350"/>
      <w:bookmarkStart w:id="257" w:name="_Toc196826883"/>
      <w:r>
        <w:t>Exceptions to discrimination in accommodation</w:t>
      </w:r>
      <w:bookmarkEnd w:id="256"/>
      <w:bookmarkEnd w:id="257"/>
      <w:r>
        <w:t xml:space="preserve"> </w:t>
      </w:r>
    </w:p>
    <w:p w14:paraId="7FD6DEEA" w14:textId="77777777" w:rsidR="000835D9" w:rsidRPr="00843C5B" w:rsidRDefault="000835D9" w:rsidP="000835D9">
      <w:pPr>
        <w:pStyle w:val="NormalAutoChapter"/>
        <w:rPr>
          <w:color w:val="385623" w:themeColor="accent6" w:themeShade="80"/>
        </w:rPr>
      </w:pPr>
      <w:r>
        <w:rPr>
          <w:color w:val="auto"/>
        </w:rPr>
        <w:t xml:space="preserve">Several other exceptions apply specifically to discrimination in accommodation, which we discuss below. Certain wider exceptions also apply, which we discuss in </w:t>
      </w:r>
      <w:r w:rsidRPr="0086179C">
        <w:rPr>
          <w:color w:val="auto"/>
        </w:rPr>
        <w:t>chapter 7.</w:t>
      </w:r>
    </w:p>
    <w:p w14:paraId="7132B363" w14:textId="77777777" w:rsidR="000835D9" w:rsidRPr="00843C5B" w:rsidRDefault="000835D9" w:rsidP="000835D9">
      <w:pPr>
        <w:pStyle w:val="Heading3"/>
        <w:rPr>
          <w:color w:val="auto"/>
        </w:rPr>
      </w:pPr>
      <w:bookmarkStart w:id="258" w:name="_Toc182500782"/>
      <w:r w:rsidRPr="00843C5B">
        <w:rPr>
          <w:color w:val="auto"/>
        </w:rPr>
        <w:t xml:space="preserve">Exceptions for private households </w:t>
      </w:r>
      <w:bookmarkEnd w:id="258"/>
    </w:p>
    <w:p w14:paraId="4118CAE3" w14:textId="77777777" w:rsidR="000835D9" w:rsidRPr="001E0D75" w:rsidRDefault="000835D9" w:rsidP="000835D9">
      <w:pPr>
        <w:pStyle w:val="NormalAutoChapter"/>
      </w:pPr>
      <w:r>
        <w:rPr>
          <w:color w:val="auto"/>
        </w:rPr>
        <w:t>There are exceptions for private households. These apply if the accommodation is for six people or less, and the person providing the accommodation, or their near relative, lives there.</w:t>
      </w:r>
      <w:r>
        <w:rPr>
          <w:rStyle w:val="FootnoteReference"/>
        </w:rPr>
        <w:footnoteReference w:id="524"/>
      </w:r>
    </w:p>
    <w:p w14:paraId="6F2C2BEC" w14:textId="77777777" w:rsidR="000835D9" w:rsidRDefault="000835D9" w:rsidP="000835D9">
      <w:pPr>
        <w:pStyle w:val="NormalAutoChapter"/>
        <w:rPr>
          <w:color w:val="auto"/>
        </w:rPr>
      </w:pPr>
      <w:r w:rsidRPr="00237536">
        <w:rPr>
          <w:color w:val="auto"/>
        </w:rPr>
        <w:t xml:space="preserve">In 1999, the NSWLRC </w:t>
      </w:r>
      <w:r>
        <w:rPr>
          <w:color w:val="auto"/>
        </w:rPr>
        <w:t xml:space="preserve">broadly </w:t>
      </w:r>
      <w:r w:rsidRPr="00237536">
        <w:rPr>
          <w:color w:val="auto"/>
        </w:rPr>
        <w:t xml:space="preserve">supported </w:t>
      </w:r>
      <w:r>
        <w:rPr>
          <w:color w:val="auto"/>
        </w:rPr>
        <w:t xml:space="preserve">such an </w:t>
      </w:r>
      <w:r w:rsidRPr="00237536">
        <w:rPr>
          <w:color w:val="auto"/>
        </w:rPr>
        <w:t>exception</w:t>
      </w:r>
      <w:r>
        <w:rPr>
          <w:color w:val="auto"/>
        </w:rPr>
        <w:t xml:space="preserve">. It said </w:t>
      </w:r>
      <w:r w:rsidRPr="00237536">
        <w:rPr>
          <w:color w:val="auto"/>
        </w:rPr>
        <w:t xml:space="preserve">deciding who to live with </w:t>
      </w:r>
      <w:r w:rsidRPr="00551CD3">
        <w:rPr>
          <w:color w:val="auto"/>
        </w:rPr>
        <w:t xml:space="preserve">is a personal choice. However, </w:t>
      </w:r>
      <w:r>
        <w:rPr>
          <w:color w:val="auto"/>
        </w:rPr>
        <w:t>it</w:t>
      </w:r>
      <w:r w:rsidRPr="00551CD3">
        <w:rPr>
          <w:color w:val="auto"/>
        </w:rPr>
        <w:t xml:space="preserve"> </w:t>
      </w:r>
      <w:r>
        <w:rPr>
          <w:color w:val="auto"/>
        </w:rPr>
        <w:t xml:space="preserve">thought an exception should only apply to accommodation </w:t>
      </w:r>
      <w:r w:rsidRPr="00237536">
        <w:rPr>
          <w:color w:val="auto"/>
        </w:rPr>
        <w:t>in the main home. This w</w:t>
      </w:r>
      <w:r>
        <w:rPr>
          <w:color w:val="auto"/>
        </w:rPr>
        <w:t>ould c</w:t>
      </w:r>
      <w:r w:rsidRPr="00237536">
        <w:rPr>
          <w:color w:val="auto"/>
        </w:rPr>
        <w:t>larify that a self-contained granny flat would not be exempt.</w:t>
      </w:r>
      <w:r w:rsidRPr="00CE300B">
        <w:rPr>
          <w:rStyle w:val="FootnoteReference"/>
          <w:color w:val="auto"/>
        </w:rPr>
        <w:footnoteReference w:id="525"/>
      </w:r>
      <w:r w:rsidRPr="00237536">
        <w:rPr>
          <w:color w:val="auto"/>
        </w:rPr>
        <w:t xml:space="preserve"> </w:t>
      </w:r>
      <w:r>
        <w:rPr>
          <w:color w:val="auto"/>
        </w:rPr>
        <w:t>This was based on the NT approach.</w:t>
      </w:r>
      <w:r w:rsidRPr="007B0194">
        <w:rPr>
          <w:rStyle w:val="FootnoteReference"/>
          <w:color w:val="auto"/>
        </w:rPr>
        <w:footnoteReference w:id="526"/>
      </w:r>
    </w:p>
    <w:p w14:paraId="0C9DE530" w14:textId="77777777" w:rsidR="000835D9" w:rsidRPr="00332943" w:rsidRDefault="000835D9" w:rsidP="000835D9">
      <w:pPr>
        <w:pStyle w:val="NormalAutoChapter"/>
      </w:pPr>
      <w:r w:rsidRPr="0046123F">
        <w:rPr>
          <w:color w:val="auto"/>
        </w:rPr>
        <w:lastRenderedPageBreak/>
        <w:t>Other discrimination laws also exempt private households, although Tasmania only applies the exception to discrimination based on gender.</w:t>
      </w:r>
      <w:r w:rsidRPr="00CC0F75">
        <w:rPr>
          <w:rStyle w:val="FootnoteReference"/>
          <w:color w:val="auto"/>
        </w:rPr>
        <w:footnoteReference w:id="527"/>
      </w:r>
      <w:r w:rsidRPr="0046123F">
        <w:rPr>
          <w:color w:val="auto"/>
        </w:rPr>
        <w:t xml:space="preserve"> Some </w:t>
      </w:r>
      <w:r>
        <w:rPr>
          <w:color w:val="auto"/>
        </w:rPr>
        <w:t>limit the exception to</w:t>
      </w:r>
      <w:r w:rsidRPr="0046123F">
        <w:rPr>
          <w:color w:val="auto"/>
        </w:rPr>
        <w:t xml:space="preserve"> </w:t>
      </w:r>
      <w:r w:rsidRPr="000D3586">
        <w:t>accommodation for no more than 3 people, other than the provider or their near relatives.</w:t>
      </w:r>
      <w:r w:rsidRPr="006D1FCD">
        <w:rPr>
          <w:rStyle w:val="FootnoteReference"/>
          <w:color w:val="auto"/>
        </w:rPr>
        <w:footnoteReference w:id="528"/>
      </w:r>
      <w:r w:rsidRPr="000D3586">
        <w:t xml:space="preserve"> </w:t>
      </w:r>
      <w:r>
        <w:t>Others</w:t>
      </w:r>
      <w:r w:rsidRPr="0046123F">
        <w:rPr>
          <w:color w:val="auto"/>
        </w:rPr>
        <w:t xml:space="preserve"> </w:t>
      </w:r>
      <w:r>
        <w:rPr>
          <w:color w:val="auto"/>
        </w:rPr>
        <w:t>do not limit the</w:t>
      </w:r>
      <w:r w:rsidRPr="0046123F">
        <w:rPr>
          <w:color w:val="auto"/>
        </w:rPr>
        <w:t xml:space="preserve"> number of people.</w:t>
      </w:r>
      <w:r w:rsidRPr="005828D9">
        <w:rPr>
          <w:rStyle w:val="FootnoteReference"/>
          <w:color w:val="auto"/>
        </w:rPr>
        <w:footnoteReference w:id="529"/>
      </w:r>
      <w:r w:rsidRPr="0046123F">
        <w:rPr>
          <w:color w:val="auto"/>
        </w:rPr>
        <w:t xml:space="preserve"> </w:t>
      </w:r>
    </w:p>
    <w:p w14:paraId="206E1E02" w14:textId="77777777" w:rsidR="000835D9" w:rsidRPr="00B505B0" w:rsidRDefault="000835D9" w:rsidP="000835D9">
      <w:pPr>
        <w:pStyle w:val="NormalAutoChapter"/>
      </w:pPr>
      <w:r w:rsidRPr="0046123F">
        <w:rPr>
          <w:color w:val="auto"/>
        </w:rPr>
        <w:t xml:space="preserve">The </w:t>
      </w:r>
      <w:r w:rsidRPr="003B77C2">
        <w:rPr>
          <w:color w:val="auto"/>
        </w:rPr>
        <w:t xml:space="preserve">NSWLRC </w:t>
      </w:r>
      <w:r>
        <w:rPr>
          <w:color w:val="auto"/>
        </w:rPr>
        <w:t xml:space="preserve">noted the limit of up to 6 people in accommodation was intended to ensure business activities were not exempt from the ADA. It </w:t>
      </w:r>
      <w:r w:rsidRPr="003B77C2">
        <w:rPr>
          <w:color w:val="auto"/>
        </w:rPr>
        <w:t>did</w:t>
      </w:r>
      <w:r>
        <w:rPr>
          <w:color w:val="auto"/>
        </w:rPr>
        <w:t xml:space="preserve"> not </w:t>
      </w:r>
      <w:r w:rsidRPr="003B77C2">
        <w:rPr>
          <w:color w:val="auto"/>
        </w:rPr>
        <w:t xml:space="preserve">recommend </w:t>
      </w:r>
      <w:r>
        <w:rPr>
          <w:color w:val="auto"/>
        </w:rPr>
        <w:t>changing</w:t>
      </w:r>
      <w:r w:rsidRPr="003B77C2">
        <w:rPr>
          <w:color w:val="auto"/>
        </w:rPr>
        <w:t xml:space="preserve"> the</w:t>
      </w:r>
      <w:r>
        <w:rPr>
          <w:color w:val="auto"/>
        </w:rPr>
        <w:t xml:space="preserve"> </w:t>
      </w:r>
      <w:r w:rsidRPr="003B77C2">
        <w:rPr>
          <w:color w:val="auto"/>
        </w:rPr>
        <w:t>NSW approach.</w:t>
      </w:r>
      <w:r w:rsidRPr="003B77C2">
        <w:rPr>
          <w:rStyle w:val="FootnoteReference"/>
          <w:color w:val="auto"/>
        </w:rPr>
        <w:footnoteReference w:id="530"/>
      </w:r>
      <w:r w:rsidRPr="0046123F">
        <w:rPr>
          <w:color w:val="auto"/>
        </w:rPr>
        <w:t xml:space="preserve"> </w:t>
      </w:r>
    </w:p>
    <w:p w14:paraId="3B81F5B7" w14:textId="22403BC5" w:rsidR="000835D9" w:rsidRDefault="000835D9" w:rsidP="000835D9">
      <w:pPr>
        <w:pStyle w:val="Heading3"/>
      </w:pPr>
      <w:r>
        <w:t>Exceptions for age-based accommodation</w:t>
      </w:r>
    </w:p>
    <w:p w14:paraId="03BC2FCC" w14:textId="77777777" w:rsidR="000835D9" w:rsidRPr="002D45EF" w:rsidRDefault="000835D9" w:rsidP="000835D9">
      <w:pPr>
        <w:pStyle w:val="NormalAutoChapter"/>
      </w:pPr>
      <w:r>
        <w:t xml:space="preserve">Another exception applies to age-based accommodation. </w:t>
      </w:r>
      <w:r w:rsidRPr="00687F4A">
        <w:rPr>
          <w:color w:val="auto"/>
        </w:rPr>
        <w:t xml:space="preserve">This </w:t>
      </w:r>
      <w:r>
        <w:rPr>
          <w:color w:val="auto"/>
        </w:rPr>
        <w:t>permits</w:t>
      </w:r>
      <w:r w:rsidRPr="00687F4A">
        <w:rPr>
          <w:color w:val="auto"/>
        </w:rPr>
        <w:t xml:space="preserve"> discrimination in the provision of accommodation if a concession is provided in good faith to a person because of their age.</w:t>
      </w:r>
      <w:r w:rsidRPr="00687F4A">
        <w:rPr>
          <w:rStyle w:val="FootnoteReference"/>
          <w:color w:val="auto"/>
        </w:rPr>
        <w:footnoteReference w:id="531"/>
      </w:r>
      <w:r w:rsidRPr="00687F4A">
        <w:rPr>
          <w:color w:val="auto"/>
        </w:rPr>
        <w:t xml:space="preserve"> </w:t>
      </w:r>
    </w:p>
    <w:p w14:paraId="65824F11" w14:textId="77777777" w:rsidR="000835D9" w:rsidRDefault="000835D9" w:rsidP="000835D9">
      <w:pPr>
        <w:pStyle w:val="NormalAutoChapter"/>
      </w:pPr>
      <w:r>
        <w:t>The NSWLRC recommended that this exception be removed. It thought a new, general special measures “exception” would be a better way of addressing the issues raised by age-based accommodation.</w:t>
      </w:r>
      <w:r>
        <w:rPr>
          <w:rStyle w:val="FootnoteReference"/>
          <w:color w:val="auto"/>
        </w:rPr>
        <w:footnoteReference w:id="532"/>
      </w:r>
      <w:r>
        <w:t xml:space="preserve"> We discuss the concept of special measures in </w:t>
      </w:r>
      <w:r w:rsidRPr="00AD2F02">
        <w:t>chapter 11.</w:t>
      </w:r>
    </w:p>
    <w:p w14:paraId="53203496" w14:textId="77777777" w:rsidR="000835D9" w:rsidRPr="00B505B0" w:rsidRDefault="000835D9" w:rsidP="000835D9">
      <w:pPr>
        <w:pStyle w:val="NormalAutoChapter"/>
      </w:pPr>
      <w:r>
        <w:t xml:space="preserve">As we detail in </w:t>
      </w:r>
      <w:r w:rsidRPr="00AD2F02">
        <w:t>chapter 7, a related</w:t>
      </w:r>
      <w:r>
        <w:t xml:space="preserve"> exception applies across the ADA. This exception allows </w:t>
      </w:r>
      <w:r w:rsidRPr="00B505B0">
        <w:t xml:space="preserve">establishments </w:t>
      </w:r>
      <w:r>
        <w:t>that</w:t>
      </w:r>
      <w:r w:rsidRPr="00B505B0">
        <w:t xml:space="preserve"> provide “housing accommodation for aged persons” </w:t>
      </w:r>
      <w:r>
        <w:t>to limit admission to people of a particular sex, marital or domestic status or race.</w:t>
      </w:r>
      <w:r>
        <w:rPr>
          <w:rStyle w:val="FootnoteReference"/>
        </w:rPr>
        <w:footnoteReference w:id="533"/>
      </w:r>
      <w:r>
        <w:t xml:space="preserve"> </w:t>
      </w:r>
    </w:p>
    <w:p w14:paraId="158E5089" w14:textId="17450CB7" w:rsidR="000835D9" w:rsidRPr="008D5435" w:rsidRDefault="000835D9" w:rsidP="000835D9">
      <w:pPr>
        <w:pStyle w:val="Heading3"/>
      </w:pPr>
      <w:r>
        <w:t>Exception for c</w:t>
      </w:r>
      <w:r w:rsidRPr="008D5435">
        <w:t>haritable bo</w:t>
      </w:r>
      <w:r>
        <w:t>dies – disability discrimination</w:t>
      </w:r>
    </w:p>
    <w:p w14:paraId="0FB45CC8" w14:textId="77777777" w:rsidR="000835D9" w:rsidRPr="00BB67EF" w:rsidRDefault="000835D9" w:rsidP="000835D9">
      <w:pPr>
        <w:pStyle w:val="NormalAutoChapter"/>
        <w:rPr>
          <w:color w:val="auto"/>
        </w:rPr>
      </w:pPr>
      <w:r>
        <w:rPr>
          <w:color w:val="auto"/>
        </w:rPr>
        <w:t>Another exception allows c</w:t>
      </w:r>
      <w:r w:rsidRPr="00BB67EF">
        <w:rPr>
          <w:color w:val="auto"/>
        </w:rPr>
        <w:t>haritable bodies that provide accommodation to people with a particular disability</w:t>
      </w:r>
      <w:r>
        <w:rPr>
          <w:color w:val="auto"/>
        </w:rPr>
        <w:t xml:space="preserve"> to discriminate based on disability</w:t>
      </w:r>
      <w:r w:rsidRPr="00BB67EF">
        <w:rPr>
          <w:color w:val="auto"/>
        </w:rPr>
        <w:t>. This also applies to other bodies that do not distribute profits to members</w:t>
      </w:r>
      <w:r w:rsidRPr="00AD2F02">
        <w:rPr>
          <w:color w:val="auto"/>
        </w:rPr>
        <w:t>.</w:t>
      </w:r>
      <w:r w:rsidRPr="00AD2F02">
        <w:rPr>
          <w:rStyle w:val="FootnoteReference"/>
          <w:color w:val="auto"/>
        </w:rPr>
        <w:footnoteReference w:id="534"/>
      </w:r>
      <w:r w:rsidRPr="00AD2F02">
        <w:rPr>
          <w:color w:val="auto"/>
        </w:rPr>
        <w:t xml:space="preserve"> Chapter</w:t>
      </w:r>
      <w:r w:rsidRPr="00AD2F02">
        <w:t xml:space="preserve"> 7</w:t>
      </w:r>
      <w:r w:rsidRPr="00AD2F02">
        <w:rPr>
          <w:color w:val="auto"/>
        </w:rPr>
        <w:t xml:space="preserve"> has</w:t>
      </w:r>
      <w:r w:rsidRPr="00BB67EF">
        <w:rPr>
          <w:color w:val="auto"/>
        </w:rPr>
        <w:t xml:space="preserve"> more detail on general exceptions for charitable bodies.</w:t>
      </w:r>
    </w:p>
    <w:p w14:paraId="1558234D" w14:textId="27F66410" w:rsidR="000835D9" w:rsidRDefault="000835D9" w:rsidP="000835D9">
      <w:pPr>
        <w:pStyle w:val="Recommendationheading"/>
      </w:pPr>
      <w:r>
        <w:lastRenderedPageBreak/>
        <w:t>Question 6.8: Discrimination in accommodation — exceptions</w:t>
      </w:r>
    </w:p>
    <w:p w14:paraId="714EEEC0" w14:textId="1CACFE93" w:rsidR="000835D9" w:rsidRPr="000B14A9" w:rsidRDefault="000835D9" w:rsidP="000835D9">
      <w:pPr>
        <w:pStyle w:val="Recommendationnormal"/>
      </w:pPr>
      <w:r>
        <w:t>What</w:t>
      </w:r>
      <w:r w:rsidR="00F55080">
        <w:t xml:space="preserve"> changes, if any,</w:t>
      </w:r>
      <w:r>
        <w:t xml:space="preserve"> should be made to the exceptions for private households, age-based accommodation and charitable bodies in relation to discrimination in accommodation? </w:t>
      </w:r>
    </w:p>
    <w:p w14:paraId="7C2A3B46" w14:textId="77777777" w:rsidR="000835D9" w:rsidRPr="001D38E6" w:rsidRDefault="000835D9" w:rsidP="000835D9">
      <w:pPr>
        <w:pStyle w:val="Heading1"/>
      </w:pPr>
      <w:bookmarkStart w:id="259" w:name="_Toc196748351"/>
      <w:bookmarkStart w:id="260" w:name="_Toc196826884"/>
      <w:r w:rsidRPr="001D38E6">
        <w:t>Registered clubs</w:t>
      </w:r>
      <w:bookmarkEnd w:id="259"/>
      <w:bookmarkEnd w:id="260"/>
      <w:r w:rsidRPr="001D38E6">
        <w:t xml:space="preserve"> </w:t>
      </w:r>
    </w:p>
    <w:p w14:paraId="7B30F29F" w14:textId="77777777" w:rsidR="000835D9" w:rsidRPr="00F22410" w:rsidRDefault="000835D9" w:rsidP="000835D9">
      <w:pPr>
        <w:pStyle w:val="NormalAutoChapter"/>
      </w:pPr>
      <w:r>
        <w:t>The ADA prohibits discrimination by registered clubs.</w:t>
      </w:r>
      <w:r w:rsidRPr="001D38E6">
        <w:rPr>
          <w:rStyle w:val="FootnoteReference"/>
        </w:rPr>
        <w:footnoteReference w:id="535"/>
      </w:r>
      <w:r>
        <w:t xml:space="preserve"> A club is a “registered club” if it has a club licence under the </w:t>
      </w:r>
      <w:r>
        <w:rPr>
          <w:i/>
          <w:iCs/>
        </w:rPr>
        <w:t>Liquor Act 2007</w:t>
      </w:r>
      <w:r>
        <w:t xml:space="preserve"> (NSW).</w:t>
      </w:r>
      <w:r>
        <w:rPr>
          <w:rStyle w:val="FootnoteReference"/>
        </w:rPr>
        <w:footnoteReference w:id="536"/>
      </w:r>
      <w:r>
        <w:t xml:space="preserve"> </w:t>
      </w:r>
    </w:p>
    <w:p w14:paraId="1FD8CA41" w14:textId="77777777" w:rsidR="000835D9" w:rsidRPr="00366991" w:rsidRDefault="000835D9" w:rsidP="000835D9">
      <w:pPr>
        <w:pStyle w:val="NormalAutoChapter"/>
      </w:pPr>
      <w:r>
        <w:t xml:space="preserve">Under the ADA, it is unlawful for registered clubs to discriminate against potential members, based on a protected attribute: </w:t>
      </w:r>
    </w:p>
    <w:p w14:paraId="5AD3E944" w14:textId="77777777" w:rsidR="000835D9" w:rsidRPr="00366991" w:rsidRDefault="000835D9" w:rsidP="000835D9">
      <w:pPr>
        <w:pStyle w:val="Normalbullet"/>
      </w:pPr>
      <w:r>
        <w:t xml:space="preserve">by </w:t>
      </w:r>
      <w:r w:rsidRPr="00366991">
        <w:t xml:space="preserve">refusing or failing to accept a membership application, or </w:t>
      </w:r>
    </w:p>
    <w:p w14:paraId="0EA8C4C0" w14:textId="77777777" w:rsidR="000835D9" w:rsidRPr="00366991" w:rsidRDefault="000835D9" w:rsidP="000835D9">
      <w:pPr>
        <w:pStyle w:val="Normalbullet"/>
      </w:pPr>
      <w:r>
        <w:t xml:space="preserve">in the terms on which it is prepared to accept them as a member. </w:t>
      </w:r>
    </w:p>
    <w:p w14:paraId="7B90B491" w14:textId="77777777" w:rsidR="000835D9" w:rsidRDefault="000835D9" w:rsidP="000835D9">
      <w:pPr>
        <w:pStyle w:val="NormalAutoChapter"/>
        <w:spacing w:after="120"/>
      </w:pPr>
      <w:r>
        <w:t xml:space="preserve">It is also unlawful for registered clubs to discriminate against members based on a protected attribute by: </w:t>
      </w:r>
    </w:p>
    <w:p w14:paraId="796C0F11" w14:textId="77777777" w:rsidR="000835D9" w:rsidRDefault="000835D9" w:rsidP="000835D9">
      <w:pPr>
        <w:pStyle w:val="Normalbullet"/>
      </w:pPr>
      <w:r>
        <w:t xml:space="preserve">denying or limiting access to club benefits </w:t>
      </w:r>
    </w:p>
    <w:p w14:paraId="418AEAB3" w14:textId="77777777" w:rsidR="000835D9" w:rsidRDefault="000835D9" w:rsidP="000835D9">
      <w:pPr>
        <w:pStyle w:val="Normalbullet"/>
      </w:pPr>
      <w:r>
        <w:t>removing membership or varying the terms of their membership, or</w:t>
      </w:r>
    </w:p>
    <w:p w14:paraId="095AA1AF" w14:textId="77777777" w:rsidR="000835D9" w:rsidRPr="00267EB1" w:rsidRDefault="000835D9" w:rsidP="000835D9">
      <w:pPr>
        <w:pStyle w:val="Normalbullet"/>
      </w:pPr>
      <w:r>
        <w:t>subjecting them to any other detriment.</w:t>
      </w:r>
    </w:p>
    <w:p w14:paraId="74F96314" w14:textId="77777777" w:rsidR="000835D9" w:rsidRPr="001D38E6" w:rsidRDefault="000835D9" w:rsidP="000835D9">
      <w:pPr>
        <w:pStyle w:val="NormalAutoChapter"/>
      </w:pPr>
      <w:r>
        <w:t>In December 2024 there were around</w:t>
      </w:r>
      <w:r w:rsidRPr="001D38E6">
        <w:t xml:space="preserve"> 1250 registered clubs in NSW</w:t>
      </w:r>
      <w:r>
        <w:t xml:space="preserve">. This included, for instance, </w:t>
      </w:r>
      <w:r w:rsidRPr="001D38E6">
        <w:t>bowling clubs, golf clubs and RSL clubs.</w:t>
      </w:r>
      <w:r w:rsidRPr="001D38E6">
        <w:rPr>
          <w:rStyle w:val="FootnoteReference"/>
        </w:rPr>
        <w:footnoteReference w:id="537"/>
      </w:r>
      <w:r w:rsidRPr="001D38E6">
        <w:t xml:space="preserve"> </w:t>
      </w:r>
    </w:p>
    <w:p w14:paraId="1E5AF26D" w14:textId="77777777" w:rsidR="000835D9" w:rsidRPr="001D38E6" w:rsidRDefault="000835D9" w:rsidP="000835D9">
      <w:pPr>
        <w:pStyle w:val="Heading2"/>
      </w:pPr>
      <w:bookmarkStart w:id="261" w:name="_Toc196748352"/>
      <w:bookmarkStart w:id="262" w:name="_Toc196826885"/>
      <w:r>
        <w:t>Issues relating to coverage</w:t>
      </w:r>
      <w:bookmarkEnd w:id="261"/>
      <w:bookmarkEnd w:id="262"/>
      <w:r>
        <w:t xml:space="preserve"> </w:t>
      </w:r>
    </w:p>
    <w:p w14:paraId="2212F254" w14:textId="77777777" w:rsidR="000835D9" w:rsidRDefault="000835D9" w:rsidP="000835D9">
      <w:pPr>
        <w:pStyle w:val="NormalAutoChapter"/>
        <w:rPr>
          <w:color w:val="auto"/>
          <w:lang w:eastAsia="en-US"/>
        </w:rPr>
      </w:pPr>
      <w:r>
        <w:rPr>
          <w:color w:val="auto"/>
          <w:lang w:eastAsia="en-US"/>
        </w:rPr>
        <w:t>One question is whether this protected area is too limited. Limiting the duty holders to clubs that hold a liquor licence may be a way to distinguish between larger public or commercial clubs and smaller, private groups.</w:t>
      </w:r>
      <w:r w:rsidRPr="001D38E6">
        <w:rPr>
          <w:rStyle w:val="FootnoteReference"/>
          <w:color w:val="auto"/>
          <w:lang w:eastAsia="en-US"/>
        </w:rPr>
        <w:footnoteReference w:id="538"/>
      </w:r>
      <w:r>
        <w:rPr>
          <w:color w:val="auto"/>
          <w:lang w:eastAsia="en-US"/>
        </w:rPr>
        <w:t xml:space="preserve"> But there may be other ways to ensure that the ADA covers groups that are “public” in nature. </w:t>
      </w:r>
    </w:p>
    <w:p w14:paraId="4BE732DE" w14:textId="77777777" w:rsidR="000835D9" w:rsidRPr="001D38E6" w:rsidRDefault="000835D9" w:rsidP="000835D9">
      <w:pPr>
        <w:pStyle w:val="NormalAutoChapter"/>
      </w:pPr>
      <w:r>
        <w:t>In 1999, t</w:t>
      </w:r>
      <w:r w:rsidRPr="001D38E6">
        <w:t xml:space="preserve">he NSWLRC </w:t>
      </w:r>
      <w:r>
        <w:t xml:space="preserve">said the ADA should instead prohibit discrimination by </w:t>
      </w:r>
      <w:r w:rsidRPr="001D38E6">
        <w:t>“clubs and associations”</w:t>
      </w:r>
      <w:r>
        <w:t>.</w:t>
      </w:r>
      <w:r w:rsidRPr="001D38E6">
        <w:t xml:space="preserve"> </w:t>
      </w:r>
      <w:r>
        <w:t>This would include</w:t>
      </w:r>
      <w:r w:rsidRPr="001D38E6">
        <w:t xml:space="preserve"> incorporated associations and registered </w:t>
      </w:r>
      <w:r w:rsidRPr="001D38E6">
        <w:lastRenderedPageBreak/>
        <w:t>corporations</w:t>
      </w:r>
      <w:r>
        <w:t xml:space="preserve"> whose membership is open to the public</w:t>
      </w:r>
      <w:r w:rsidRPr="001D38E6">
        <w:t xml:space="preserve">. </w:t>
      </w:r>
      <w:r>
        <w:t xml:space="preserve">The NSWLRC said </w:t>
      </w:r>
      <w:r w:rsidRPr="001D38E6">
        <w:t>this w</w:t>
      </w:r>
      <w:r>
        <w:t>ould identify the “public” groups that should be covered by the ADA more accurately</w:t>
      </w:r>
      <w:r w:rsidRPr="001D38E6">
        <w:t>.</w:t>
      </w:r>
      <w:r w:rsidRPr="001D38E6">
        <w:rPr>
          <w:rStyle w:val="FootnoteReference"/>
        </w:rPr>
        <w:footnoteReference w:id="539"/>
      </w:r>
    </w:p>
    <w:p w14:paraId="7F974AE2" w14:textId="77777777" w:rsidR="000835D9" w:rsidRPr="001D38E6" w:rsidRDefault="000835D9" w:rsidP="000835D9">
      <w:pPr>
        <w:pStyle w:val="NormalAutoChapter"/>
      </w:pPr>
      <w:r>
        <w:rPr>
          <w:lang w:eastAsia="en-US"/>
        </w:rPr>
        <w:t xml:space="preserve">Another option is to use the definition of club from the </w:t>
      </w:r>
      <w:r w:rsidRPr="000E5E1F">
        <w:rPr>
          <w:i/>
          <w:iCs/>
        </w:rPr>
        <w:t>Disability Discrimination Act</w:t>
      </w:r>
      <w:r>
        <w:rPr>
          <w:lang w:eastAsia="en-US"/>
        </w:rPr>
        <w:t>.</w:t>
      </w:r>
      <w:r w:rsidRPr="001D38E6">
        <w:rPr>
          <w:lang w:eastAsia="en-US"/>
        </w:rPr>
        <w:t xml:space="preserve"> This defines a </w:t>
      </w:r>
      <w:r>
        <w:rPr>
          <w:lang w:eastAsia="en-US"/>
        </w:rPr>
        <w:t>“</w:t>
      </w:r>
      <w:r w:rsidRPr="001D38E6">
        <w:rPr>
          <w:lang w:eastAsia="en-US"/>
        </w:rPr>
        <w:t>club</w:t>
      </w:r>
      <w:r>
        <w:rPr>
          <w:lang w:eastAsia="en-US"/>
        </w:rPr>
        <w:t>”</w:t>
      </w:r>
      <w:r w:rsidRPr="001D38E6">
        <w:rPr>
          <w:lang w:eastAsia="en-US"/>
        </w:rPr>
        <w:t xml:space="preserve"> as</w:t>
      </w:r>
      <w:r>
        <w:rPr>
          <w:lang w:eastAsia="en-US"/>
        </w:rPr>
        <w:t xml:space="preserve"> </w:t>
      </w:r>
      <w:r>
        <w:t>a</w:t>
      </w:r>
      <w:r w:rsidRPr="001D38E6">
        <w:t>n association of people</w:t>
      </w:r>
    </w:p>
    <w:p w14:paraId="6A20B0F1" w14:textId="77777777" w:rsidR="000835D9" w:rsidRPr="001D38E6" w:rsidRDefault="000835D9" w:rsidP="000835D9">
      <w:pPr>
        <w:pStyle w:val="Normalbullet"/>
      </w:pPr>
      <w:r w:rsidRPr="001D38E6">
        <w:t xml:space="preserve">who associate </w:t>
      </w:r>
      <w:r>
        <w:t>f</w:t>
      </w:r>
      <w:r w:rsidRPr="001D38E6">
        <w:t>or social, literary, cultural, political, sporting, athletic or other lawful purposes, and</w:t>
      </w:r>
    </w:p>
    <w:p w14:paraId="0330FCAC" w14:textId="77777777" w:rsidR="000835D9" w:rsidRPr="001D38E6" w:rsidRDefault="000835D9" w:rsidP="000835D9">
      <w:pPr>
        <w:pStyle w:val="Normalbullet"/>
      </w:pPr>
      <w:r w:rsidRPr="001D38E6">
        <w:t>which provides and maintains its facilities</w:t>
      </w:r>
      <w:r>
        <w:t xml:space="preserve"> using t</w:t>
      </w:r>
      <w:r w:rsidRPr="001D38E6">
        <w:t>he funds of the association.</w:t>
      </w:r>
      <w:r w:rsidRPr="001D38E6">
        <w:rPr>
          <w:rStyle w:val="FootnoteReference"/>
        </w:rPr>
        <w:footnoteReference w:id="540"/>
      </w:r>
    </w:p>
    <w:p w14:paraId="095A1446" w14:textId="77777777" w:rsidR="000835D9" w:rsidRDefault="000835D9" w:rsidP="000835D9">
      <w:pPr>
        <w:pStyle w:val="NormalAutoChapter"/>
        <w:rPr>
          <w:color w:val="auto"/>
          <w:lang w:eastAsia="en-US"/>
        </w:rPr>
      </w:pPr>
      <w:r w:rsidRPr="00215CA9">
        <w:rPr>
          <w:color w:val="auto"/>
          <w:lang w:eastAsia="en-US"/>
        </w:rPr>
        <w:t>This distinguishes between the private and public sphere by treating any association that has its own facilities and raises funds to maintain them</w:t>
      </w:r>
      <w:r>
        <w:rPr>
          <w:color w:val="auto"/>
          <w:lang w:eastAsia="en-US"/>
        </w:rPr>
        <w:t>,</w:t>
      </w:r>
      <w:r w:rsidRPr="00215CA9">
        <w:rPr>
          <w:color w:val="auto"/>
          <w:lang w:eastAsia="en-US"/>
        </w:rPr>
        <w:t xml:space="preserve"> as public. </w:t>
      </w:r>
    </w:p>
    <w:p w14:paraId="5FC88757" w14:textId="77777777" w:rsidR="000835D9" w:rsidRDefault="000835D9" w:rsidP="000835D9">
      <w:pPr>
        <w:pStyle w:val="NormalAutoChapter"/>
        <w:rPr>
          <w:color w:val="auto"/>
          <w:lang w:eastAsia="en-US"/>
        </w:rPr>
      </w:pPr>
      <w:r>
        <w:rPr>
          <w:lang w:eastAsia="en-US"/>
        </w:rPr>
        <w:t xml:space="preserve">The definition in the </w:t>
      </w:r>
      <w:r w:rsidRPr="00C53829">
        <w:rPr>
          <w:i/>
          <w:iCs/>
        </w:rPr>
        <w:t>Sex Discrimination Act</w:t>
      </w:r>
      <w:r>
        <w:rPr>
          <w:i/>
          <w:iCs/>
        </w:rPr>
        <w:t xml:space="preserve"> </w:t>
      </w:r>
      <w:r>
        <w:t>additionally requires that clubs have 30 or more members, and that they sell or supply liquor.</w:t>
      </w:r>
      <w:r>
        <w:rPr>
          <w:rStyle w:val="FootnoteReference"/>
        </w:rPr>
        <w:footnoteReference w:id="541"/>
      </w:r>
      <w:r>
        <w:t xml:space="preserve"> </w:t>
      </w:r>
    </w:p>
    <w:p w14:paraId="2AFCF122" w14:textId="77777777" w:rsidR="000835D9" w:rsidRDefault="000835D9" w:rsidP="000835D9">
      <w:pPr>
        <w:pStyle w:val="NormalAutoChapter"/>
      </w:pPr>
      <w:r w:rsidRPr="00215CA9">
        <w:t xml:space="preserve">The QHRC supported </w:t>
      </w:r>
      <w:r>
        <w:t xml:space="preserve">the </w:t>
      </w:r>
      <w:r w:rsidRPr="00687F4A">
        <w:rPr>
          <w:i/>
          <w:iCs/>
        </w:rPr>
        <w:t>Disability Discrimination Act</w:t>
      </w:r>
      <w:r w:rsidRPr="00215CA9">
        <w:t xml:space="preserve"> definition</w:t>
      </w:r>
      <w:r>
        <w:t>. It thought that providing or maintaining facilities indicates that a club has “more of a public, rather than private character”, and that the sale of alcohol was an irrelevant criterion.</w:t>
      </w:r>
      <w:r>
        <w:rPr>
          <w:rStyle w:val="FootnoteReference"/>
          <w:color w:val="auto"/>
          <w:lang w:eastAsia="en-US"/>
        </w:rPr>
        <w:footnoteReference w:id="542"/>
      </w:r>
      <w:r>
        <w:t xml:space="preserve"> </w:t>
      </w:r>
      <w:r w:rsidRPr="00AA6B07">
        <w:t>However, this recommendation was</w:t>
      </w:r>
      <w:r>
        <w:t xml:space="preserve"> not </w:t>
      </w:r>
      <w:r w:rsidRPr="00AA6B07">
        <w:t>implemented in recent discrimination law reforms</w:t>
      </w:r>
      <w:r>
        <w:t xml:space="preserve"> in Queensland</w:t>
      </w:r>
      <w:r w:rsidRPr="00AA6B07">
        <w:t xml:space="preserve">. </w:t>
      </w:r>
    </w:p>
    <w:p w14:paraId="44BB7C6B" w14:textId="77777777" w:rsidR="000835D9" w:rsidRDefault="000835D9" w:rsidP="000835D9">
      <w:pPr>
        <w:pStyle w:val="NormalAutoChapter"/>
        <w:rPr>
          <w:color w:val="auto"/>
          <w:lang w:eastAsia="en-US"/>
        </w:rPr>
      </w:pPr>
      <w:r>
        <w:rPr>
          <w:color w:val="auto"/>
          <w:lang w:eastAsia="en-US"/>
        </w:rPr>
        <w:t>If the ADA was to include a broader definition of “club”, the existing general exception for “voluntary bodies” must also be considered.</w:t>
      </w:r>
      <w:r>
        <w:rPr>
          <w:rStyle w:val="FootnoteReference"/>
          <w:color w:val="auto"/>
          <w:lang w:eastAsia="en-US"/>
        </w:rPr>
        <w:footnoteReference w:id="543"/>
      </w:r>
      <w:r>
        <w:rPr>
          <w:color w:val="auto"/>
          <w:lang w:eastAsia="en-US"/>
        </w:rPr>
        <w:t xml:space="preserve"> In its current form, this broad exception may exempt certain clubs that might otherwise be covered by a broader definition of “club”. We discuss this </w:t>
      </w:r>
      <w:r w:rsidRPr="00AD2F02">
        <w:rPr>
          <w:color w:val="auto"/>
          <w:lang w:eastAsia="en-US"/>
        </w:rPr>
        <w:t>exception in chapter 7.</w:t>
      </w:r>
      <w:r>
        <w:rPr>
          <w:color w:val="auto"/>
          <w:lang w:eastAsia="en-US"/>
        </w:rPr>
        <w:t xml:space="preserve"> </w:t>
      </w:r>
    </w:p>
    <w:p w14:paraId="67A0F141" w14:textId="2C8F1184" w:rsidR="000835D9" w:rsidRDefault="000835D9" w:rsidP="000835D9">
      <w:pPr>
        <w:pStyle w:val="Recommendationheading"/>
      </w:pPr>
      <w:r>
        <w:t>Question 6.9: Discrimination by registered clubs — coverage</w:t>
      </w:r>
    </w:p>
    <w:p w14:paraId="24544965" w14:textId="5E1A4E61" w:rsidR="000835D9" w:rsidRPr="000B14A9" w:rsidRDefault="000835D9" w:rsidP="000835D9">
      <w:pPr>
        <w:pStyle w:val="Recommendationnormal"/>
      </w:pPr>
      <w:r>
        <w:t>What</w:t>
      </w:r>
      <w:r w:rsidR="00F55080">
        <w:t xml:space="preserve"> changes, if any,</w:t>
      </w:r>
      <w:r>
        <w:t xml:space="preserve"> should be made to the </w:t>
      </w:r>
      <w:r w:rsidRPr="000B14A9">
        <w:t xml:space="preserve">definition </w:t>
      </w:r>
      <w:r>
        <w:t xml:space="preserve">and coverage </w:t>
      </w:r>
      <w:r w:rsidRPr="000B14A9">
        <w:t>of the</w:t>
      </w:r>
      <w:r>
        <w:t xml:space="preserve"> protected area of “registered clubs”? </w:t>
      </w:r>
    </w:p>
    <w:p w14:paraId="5090680E" w14:textId="77777777" w:rsidR="000835D9" w:rsidRPr="003E4FC7" w:rsidRDefault="000835D9" w:rsidP="000835D9">
      <w:pPr>
        <w:pStyle w:val="Heading2"/>
      </w:pPr>
      <w:bookmarkStart w:id="263" w:name="_Toc196748353"/>
      <w:bookmarkStart w:id="264" w:name="_Toc196826886"/>
      <w:r w:rsidRPr="003E4FC7">
        <w:t>Exceptions</w:t>
      </w:r>
      <w:r>
        <w:t xml:space="preserve"> to discrimination by registered clubs</w:t>
      </w:r>
      <w:bookmarkEnd w:id="263"/>
      <w:bookmarkEnd w:id="264"/>
    </w:p>
    <w:p w14:paraId="4EF4BC0C" w14:textId="77777777" w:rsidR="000835D9" w:rsidRPr="002A77F0" w:rsidRDefault="000835D9" w:rsidP="000835D9">
      <w:pPr>
        <w:pStyle w:val="NormalAutoChapter"/>
        <w:rPr>
          <w:lang w:eastAsia="en-US"/>
        </w:rPr>
      </w:pPr>
      <w:r>
        <w:rPr>
          <w:color w:val="auto"/>
        </w:rPr>
        <w:t>E</w:t>
      </w:r>
      <w:r w:rsidRPr="00EF5A30">
        <w:rPr>
          <w:color w:val="auto"/>
        </w:rPr>
        <w:t xml:space="preserve">xceptions </w:t>
      </w:r>
      <w:r>
        <w:rPr>
          <w:color w:val="auto"/>
        </w:rPr>
        <w:t xml:space="preserve">in the ADA </w:t>
      </w:r>
      <w:r w:rsidRPr="00EF5A30">
        <w:rPr>
          <w:color w:val="auto"/>
        </w:rPr>
        <w:t xml:space="preserve">allow registered clubs to discriminate </w:t>
      </w:r>
      <w:r>
        <w:rPr>
          <w:color w:val="auto"/>
        </w:rPr>
        <w:t xml:space="preserve">lawfully </w:t>
      </w:r>
      <w:r w:rsidRPr="00EF5A30">
        <w:rPr>
          <w:color w:val="auto"/>
        </w:rPr>
        <w:t>in certain s</w:t>
      </w:r>
      <w:r>
        <w:rPr>
          <w:color w:val="auto"/>
        </w:rPr>
        <w:t>ituations</w:t>
      </w:r>
      <w:r w:rsidRPr="00EF5A30">
        <w:rPr>
          <w:color w:val="auto"/>
        </w:rPr>
        <w:t xml:space="preserve">. Below, we discuss two that apply specifically to registered clubs. </w:t>
      </w:r>
      <w:r>
        <w:t xml:space="preserve">Other wider exceptions also apply. We discuss these </w:t>
      </w:r>
      <w:r w:rsidRPr="00DF0E56">
        <w:t>in chapter 7.</w:t>
      </w:r>
      <w:r>
        <w:t xml:space="preserve"> </w:t>
      </w:r>
    </w:p>
    <w:p w14:paraId="1DDF05D5" w14:textId="77777777" w:rsidR="000835D9" w:rsidRPr="0078015D" w:rsidRDefault="000835D9" w:rsidP="000835D9">
      <w:pPr>
        <w:pStyle w:val="Heading3"/>
        <w:rPr>
          <w:color w:val="auto"/>
        </w:rPr>
      </w:pPr>
      <w:bookmarkStart w:id="265" w:name="_Toc182500779"/>
      <w:r w:rsidRPr="0078015D">
        <w:rPr>
          <w:color w:val="auto"/>
        </w:rPr>
        <w:lastRenderedPageBreak/>
        <w:t xml:space="preserve">Clubs that provide benefits to certain </w:t>
      </w:r>
      <w:r>
        <w:rPr>
          <w:color w:val="auto"/>
        </w:rPr>
        <w:t xml:space="preserve">groups </w:t>
      </w:r>
      <w:bookmarkEnd w:id="265"/>
      <w:r>
        <w:rPr>
          <w:color w:val="auto"/>
        </w:rPr>
        <w:t>of people</w:t>
      </w:r>
    </w:p>
    <w:p w14:paraId="0FEF7E52" w14:textId="77777777" w:rsidR="000835D9" w:rsidRPr="0078015D" w:rsidRDefault="000835D9" w:rsidP="000835D9">
      <w:pPr>
        <w:pStyle w:val="NormalAutoChapter"/>
        <w:rPr>
          <w:color w:val="auto"/>
        </w:rPr>
      </w:pPr>
      <w:r>
        <w:rPr>
          <w:color w:val="auto"/>
        </w:rPr>
        <w:t xml:space="preserve">There is an </w:t>
      </w:r>
      <w:r w:rsidRPr="0078015D">
        <w:rPr>
          <w:color w:val="auto"/>
        </w:rPr>
        <w:t xml:space="preserve">exception </w:t>
      </w:r>
      <w:r>
        <w:rPr>
          <w:color w:val="auto"/>
        </w:rPr>
        <w:t>for</w:t>
      </w:r>
      <w:r w:rsidRPr="0078015D">
        <w:rPr>
          <w:color w:val="auto"/>
        </w:rPr>
        <w:t xml:space="preserve"> registered clubs whose principal object is to provide benefits to people of a </w:t>
      </w:r>
      <w:r>
        <w:rPr>
          <w:color w:val="auto"/>
        </w:rPr>
        <w:t>particular</w:t>
      </w:r>
      <w:r w:rsidRPr="0078015D">
        <w:rPr>
          <w:color w:val="auto"/>
        </w:rPr>
        <w:t xml:space="preserve"> race</w:t>
      </w:r>
      <w:r>
        <w:rPr>
          <w:color w:val="auto"/>
        </w:rPr>
        <w:t xml:space="preserve"> or</w:t>
      </w:r>
      <w:r w:rsidRPr="0078015D">
        <w:rPr>
          <w:color w:val="auto"/>
        </w:rPr>
        <w:t xml:space="preserve"> age</w:t>
      </w:r>
      <w:r>
        <w:rPr>
          <w:color w:val="auto"/>
        </w:rPr>
        <w:t xml:space="preserve">, or who have a particular </w:t>
      </w:r>
      <w:r w:rsidRPr="0078015D">
        <w:rPr>
          <w:color w:val="auto"/>
        </w:rPr>
        <w:t>disabilit</w:t>
      </w:r>
      <w:r>
        <w:rPr>
          <w:color w:val="auto"/>
        </w:rPr>
        <w:t>y</w:t>
      </w:r>
      <w:r w:rsidRPr="0078015D">
        <w:rPr>
          <w:color w:val="auto"/>
        </w:rPr>
        <w:t>.</w:t>
      </w:r>
      <w:r w:rsidRPr="0078015D">
        <w:rPr>
          <w:rStyle w:val="FootnoteReference"/>
          <w:color w:val="auto"/>
        </w:rPr>
        <w:footnoteReference w:id="544"/>
      </w:r>
      <w:r w:rsidRPr="0078015D">
        <w:rPr>
          <w:color w:val="auto"/>
        </w:rPr>
        <w:t xml:space="preserve"> They can discriminate against people of other races, disabilities or ages, including in relation to who they accept as members. However, the relevant race cannot be defined by colour.</w:t>
      </w:r>
      <w:r w:rsidRPr="0078015D">
        <w:rPr>
          <w:rStyle w:val="FootnoteReference"/>
          <w:color w:val="auto"/>
        </w:rPr>
        <w:footnoteReference w:id="545"/>
      </w:r>
    </w:p>
    <w:p w14:paraId="71CDBD45" w14:textId="77777777" w:rsidR="000835D9" w:rsidRDefault="000835D9" w:rsidP="000835D9">
      <w:pPr>
        <w:pStyle w:val="NormalAutoChapter"/>
        <w:rPr>
          <w:color w:val="auto"/>
        </w:rPr>
      </w:pPr>
      <w:r w:rsidRPr="00EB479C">
        <w:rPr>
          <w:color w:val="auto"/>
          <w:shd w:val="clear" w:color="auto" w:fill="FFFFFF"/>
        </w:rPr>
        <w:t>The NSWLRC recommended</w:t>
      </w:r>
      <w:r>
        <w:rPr>
          <w:color w:val="auto"/>
          <w:shd w:val="clear" w:color="auto" w:fill="FFFFFF"/>
        </w:rPr>
        <w:t xml:space="preserve"> repealing this exception. But it supported a new exception to</w:t>
      </w:r>
      <w:r>
        <w:rPr>
          <w:color w:val="auto"/>
        </w:rPr>
        <w:t xml:space="preserve"> race discrimination for c</w:t>
      </w:r>
      <w:r w:rsidRPr="00EB479C">
        <w:rPr>
          <w:color w:val="auto"/>
        </w:rPr>
        <w:t xml:space="preserve">lubs that operate principally to </w:t>
      </w:r>
      <w:r>
        <w:rPr>
          <w:color w:val="auto"/>
        </w:rPr>
        <w:t xml:space="preserve">either </w:t>
      </w:r>
      <w:r w:rsidRPr="00EB479C">
        <w:rPr>
          <w:color w:val="auto"/>
        </w:rPr>
        <w:t xml:space="preserve">reduce </w:t>
      </w:r>
      <w:r>
        <w:rPr>
          <w:color w:val="auto"/>
        </w:rPr>
        <w:t xml:space="preserve">the </w:t>
      </w:r>
      <w:r w:rsidRPr="00EB479C">
        <w:rPr>
          <w:color w:val="auto"/>
        </w:rPr>
        <w:t xml:space="preserve">disadvantage </w:t>
      </w:r>
      <w:r>
        <w:rPr>
          <w:color w:val="auto"/>
        </w:rPr>
        <w:t>of people of</w:t>
      </w:r>
      <w:r w:rsidRPr="00EB479C">
        <w:rPr>
          <w:color w:val="auto"/>
        </w:rPr>
        <w:t xml:space="preserve"> a particular </w:t>
      </w:r>
      <w:r>
        <w:rPr>
          <w:color w:val="auto"/>
        </w:rPr>
        <w:t>culture</w:t>
      </w:r>
      <w:r w:rsidRPr="00EB479C">
        <w:rPr>
          <w:color w:val="auto"/>
        </w:rPr>
        <w:t xml:space="preserve"> or to preserve a minority culture</w:t>
      </w:r>
      <w:r>
        <w:rPr>
          <w:color w:val="auto"/>
        </w:rPr>
        <w:t>. The exception would allow such clubs to exclude</w:t>
      </w:r>
      <w:r w:rsidRPr="00EB479C">
        <w:rPr>
          <w:color w:val="auto"/>
        </w:rPr>
        <w:t xml:space="preserve"> applicants who do</w:t>
      </w:r>
      <w:r>
        <w:rPr>
          <w:color w:val="auto"/>
        </w:rPr>
        <w:t xml:space="preserve"> not </w:t>
      </w:r>
      <w:r w:rsidRPr="00EB479C">
        <w:rPr>
          <w:color w:val="auto"/>
        </w:rPr>
        <w:t xml:space="preserve">share that cultural identity. </w:t>
      </w:r>
      <w:r>
        <w:rPr>
          <w:color w:val="auto"/>
        </w:rPr>
        <w:t xml:space="preserve">The NSWLRC said this should operate in addition to a new special </w:t>
      </w:r>
      <w:proofErr w:type="gramStart"/>
      <w:r>
        <w:rPr>
          <w:color w:val="auto"/>
        </w:rPr>
        <w:t>measures</w:t>
      </w:r>
      <w:proofErr w:type="gramEnd"/>
      <w:r>
        <w:rPr>
          <w:color w:val="auto"/>
        </w:rPr>
        <w:t xml:space="preserve"> “exception”, as not all such clubs would meet the tests for a special measure.</w:t>
      </w:r>
      <w:r>
        <w:rPr>
          <w:rStyle w:val="FootnoteReference"/>
          <w:color w:val="auto"/>
        </w:rPr>
        <w:footnoteReference w:id="546"/>
      </w:r>
    </w:p>
    <w:p w14:paraId="7CE2E3B8" w14:textId="77777777" w:rsidR="000835D9" w:rsidRPr="00D5561F" w:rsidRDefault="000835D9" w:rsidP="000835D9">
      <w:pPr>
        <w:pStyle w:val="NormalAutoChapter"/>
        <w:rPr>
          <w:color w:val="auto"/>
          <w:lang w:eastAsia="en-US"/>
        </w:rPr>
      </w:pPr>
      <w:r>
        <w:rPr>
          <w:color w:val="auto"/>
          <w:lang w:eastAsia="en-US"/>
        </w:rPr>
        <w:t>If religion was added as a protected attribute,</w:t>
      </w:r>
      <w:r w:rsidRPr="006B7130">
        <w:rPr>
          <w:color w:val="auto"/>
          <w:lang w:eastAsia="en-US"/>
        </w:rPr>
        <w:t xml:space="preserve"> </w:t>
      </w:r>
      <w:r>
        <w:rPr>
          <w:color w:val="auto"/>
          <w:lang w:eastAsia="en-US"/>
        </w:rPr>
        <w:t>the NSWLRC</w:t>
      </w:r>
      <w:r w:rsidRPr="006B7130">
        <w:rPr>
          <w:color w:val="auto"/>
          <w:lang w:eastAsia="en-US"/>
        </w:rPr>
        <w:t xml:space="preserve"> recommended an exception </w:t>
      </w:r>
      <w:r>
        <w:rPr>
          <w:color w:val="auto"/>
          <w:lang w:eastAsia="en-US"/>
        </w:rPr>
        <w:t>to</w:t>
      </w:r>
      <w:r w:rsidRPr="00D5561F">
        <w:rPr>
          <w:color w:val="auto"/>
          <w:lang w:eastAsia="en-US"/>
        </w:rPr>
        <w:t xml:space="preserve"> permit </w:t>
      </w:r>
      <w:r>
        <w:rPr>
          <w:color w:val="auto"/>
          <w:lang w:eastAsia="en-US"/>
        </w:rPr>
        <w:t xml:space="preserve">religious </w:t>
      </w:r>
      <w:r w:rsidRPr="006B7130">
        <w:rPr>
          <w:color w:val="auto"/>
          <w:lang w:eastAsia="en-US"/>
        </w:rPr>
        <w:t xml:space="preserve">discrimination </w:t>
      </w:r>
      <w:r>
        <w:rPr>
          <w:color w:val="auto"/>
          <w:lang w:eastAsia="en-US"/>
        </w:rPr>
        <w:t>by</w:t>
      </w:r>
      <w:r w:rsidRPr="006B7130">
        <w:rPr>
          <w:color w:val="auto"/>
          <w:lang w:eastAsia="en-US"/>
        </w:rPr>
        <w:t xml:space="preserve"> clubs established for people of</w:t>
      </w:r>
      <w:r w:rsidRPr="00124545">
        <w:rPr>
          <w:color w:val="auto"/>
          <w:lang w:eastAsia="en-US"/>
        </w:rPr>
        <w:t xml:space="preserve"> </w:t>
      </w:r>
      <w:r>
        <w:rPr>
          <w:color w:val="auto"/>
          <w:lang w:eastAsia="en-US"/>
        </w:rPr>
        <w:t xml:space="preserve">a particular </w:t>
      </w:r>
      <w:r w:rsidRPr="00124545">
        <w:rPr>
          <w:color w:val="auto"/>
          <w:lang w:eastAsia="en-US"/>
        </w:rPr>
        <w:t>religion or belief.</w:t>
      </w:r>
      <w:r w:rsidRPr="006B7130">
        <w:rPr>
          <w:color w:val="auto"/>
          <w:lang w:eastAsia="en-US"/>
        </w:rPr>
        <w:t xml:space="preserve"> It </w:t>
      </w:r>
      <w:r>
        <w:rPr>
          <w:color w:val="auto"/>
          <w:lang w:eastAsia="en-US"/>
        </w:rPr>
        <w:t>thought they should have the same pr</w:t>
      </w:r>
      <w:r w:rsidRPr="006B7130">
        <w:rPr>
          <w:color w:val="auto"/>
          <w:lang w:eastAsia="en-US"/>
        </w:rPr>
        <w:t>otections</w:t>
      </w:r>
      <w:r>
        <w:rPr>
          <w:color w:val="auto"/>
          <w:lang w:eastAsia="en-US"/>
        </w:rPr>
        <w:t xml:space="preserve"> as cultural groups</w:t>
      </w:r>
      <w:r w:rsidRPr="006B7130">
        <w:rPr>
          <w:color w:val="auto"/>
          <w:lang w:eastAsia="en-US"/>
        </w:rPr>
        <w:t>.</w:t>
      </w:r>
      <w:r w:rsidRPr="006B7130">
        <w:rPr>
          <w:rStyle w:val="FootnoteReference"/>
          <w:color w:val="auto"/>
          <w:lang w:eastAsia="en-US"/>
        </w:rPr>
        <w:footnoteReference w:id="547"/>
      </w:r>
    </w:p>
    <w:p w14:paraId="2746FA2A" w14:textId="77777777" w:rsidR="000835D9" w:rsidRPr="00D0215A" w:rsidRDefault="000835D9" w:rsidP="000835D9">
      <w:pPr>
        <w:pStyle w:val="NormalAutoChapter"/>
        <w:rPr>
          <w:color w:val="auto"/>
        </w:rPr>
      </w:pPr>
      <w:r w:rsidRPr="00D0215A">
        <w:rPr>
          <w:color w:val="auto"/>
        </w:rPr>
        <w:t xml:space="preserve">The ACT takes a different approach. </w:t>
      </w:r>
      <w:r>
        <w:rPr>
          <w:color w:val="auto"/>
        </w:rPr>
        <w:t>It</w:t>
      </w:r>
      <w:r w:rsidRPr="00D0215A">
        <w:rPr>
          <w:color w:val="auto"/>
        </w:rPr>
        <w:t xml:space="preserve"> allows clubs to discriminate </w:t>
      </w:r>
      <w:r>
        <w:rPr>
          <w:color w:val="auto"/>
        </w:rPr>
        <w:t>against someone</w:t>
      </w:r>
      <w:r w:rsidRPr="00D0215A">
        <w:rPr>
          <w:color w:val="auto"/>
        </w:rPr>
        <w:t xml:space="preserve"> with any protected attribute, but only if:</w:t>
      </w:r>
    </w:p>
    <w:p w14:paraId="68F7DB85" w14:textId="77777777" w:rsidR="000835D9" w:rsidRPr="00D0215A" w:rsidRDefault="000835D9" w:rsidP="000835D9">
      <w:pPr>
        <w:pStyle w:val="Normalbullet"/>
      </w:pPr>
      <w:r w:rsidRPr="00D0215A">
        <w:t>the club is established to benefit people who share a protected attribute, and</w:t>
      </w:r>
    </w:p>
    <w:p w14:paraId="07AD7B59" w14:textId="77777777" w:rsidR="000835D9" w:rsidRPr="00D0215A" w:rsidRDefault="000835D9" w:rsidP="000835D9">
      <w:pPr>
        <w:pStyle w:val="Normalbullet"/>
      </w:pPr>
      <w:r w:rsidRPr="00D0215A">
        <w:t xml:space="preserve">the discrimination is </w:t>
      </w:r>
      <w:r w:rsidRPr="00D0215A">
        <w:rPr>
          <w:shd w:val="clear" w:color="auto" w:fill="FFFFFF"/>
        </w:rPr>
        <w:t>reasonable, proportionate and justifiable.</w:t>
      </w:r>
      <w:r w:rsidRPr="00D0215A">
        <w:rPr>
          <w:rStyle w:val="FootnoteReference"/>
          <w:shd w:val="clear" w:color="auto" w:fill="FFFFFF"/>
        </w:rPr>
        <w:footnoteReference w:id="548"/>
      </w:r>
      <w:r w:rsidRPr="00D0215A">
        <w:rPr>
          <w:shd w:val="clear" w:color="auto" w:fill="FFFFFF"/>
        </w:rPr>
        <w:t xml:space="preserve"> </w:t>
      </w:r>
    </w:p>
    <w:p w14:paraId="2561CCBE" w14:textId="77777777" w:rsidR="000835D9" w:rsidRPr="00150C1B" w:rsidRDefault="000835D9" w:rsidP="000835D9">
      <w:pPr>
        <w:pStyle w:val="Heading3"/>
        <w:rPr>
          <w:color w:val="auto"/>
        </w:rPr>
      </w:pPr>
      <w:bookmarkStart w:id="266" w:name="_Toc182500780"/>
      <w:r>
        <w:rPr>
          <w:color w:val="auto"/>
        </w:rPr>
        <w:t xml:space="preserve">Exceptions to sex discrimination </w:t>
      </w:r>
      <w:bookmarkEnd w:id="266"/>
    </w:p>
    <w:p w14:paraId="33F84C79" w14:textId="77777777" w:rsidR="000835D9" w:rsidRDefault="000835D9" w:rsidP="000835D9">
      <w:pPr>
        <w:pStyle w:val="NormalAutoChapter"/>
        <w:rPr>
          <w:color w:val="auto"/>
        </w:rPr>
      </w:pPr>
      <w:r>
        <w:rPr>
          <w:color w:val="auto"/>
        </w:rPr>
        <w:t>I</w:t>
      </w:r>
      <w:r w:rsidRPr="0078015D">
        <w:rPr>
          <w:color w:val="auto"/>
        </w:rPr>
        <w:t xml:space="preserve">f membership of a registered club is only available to members </w:t>
      </w:r>
      <w:r>
        <w:rPr>
          <w:color w:val="auto"/>
        </w:rPr>
        <w:t xml:space="preserve">of </w:t>
      </w:r>
      <w:r w:rsidRPr="0078015D">
        <w:rPr>
          <w:color w:val="auto"/>
        </w:rPr>
        <w:t xml:space="preserve">one sex, </w:t>
      </w:r>
      <w:r>
        <w:rPr>
          <w:color w:val="auto"/>
        </w:rPr>
        <w:t xml:space="preserve">an exception to sex discrimination allows the club to </w:t>
      </w:r>
      <w:r w:rsidRPr="0078015D">
        <w:rPr>
          <w:color w:val="auto"/>
        </w:rPr>
        <w:t xml:space="preserve">exclude </w:t>
      </w:r>
      <w:r>
        <w:rPr>
          <w:color w:val="auto"/>
        </w:rPr>
        <w:t xml:space="preserve">someone </w:t>
      </w:r>
      <w:r w:rsidRPr="0078015D">
        <w:rPr>
          <w:color w:val="auto"/>
        </w:rPr>
        <w:t>of the opposite sex.</w:t>
      </w:r>
      <w:r>
        <w:rPr>
          <w:color w:val="auto"/>
        </w:rPr>
        <w:t xml:space="preserve"> A registered club for members of one sex can admit a transgender person who identifies as that sex without affecting its status as a registered club for people of the same sex only.</w:t>
      </w:r>
      <w:r>
        <w:rPr>
          <w:rStyle w:val="FootnoteReference"/>
          <w:color w:val="auto"/>
        </w:rPr>
        <w:footnoteReference w:id="549"/>
      </w:r>
    </w:p>
    <w:p w14:paraId="579A8151" w14:textId="77777777" w:rsidR="000835D9" w:rsidRPr="00150C1B" w:rsidRDefault="000835D9" w:rsidP="000835D9">
      <w:pPr>
        <w:pStyle w:val="NormalAutoChapter"/>
        <w:rPr>
          <w:color w:val="auto"/>
          <w:lang w:eastAsia="en-US"/>
        </w:rPr>
      </w:pPr>
      <w:r w:rsidRPr="00150C1B">
        <w:rPr>
          <w:color w:val="auto"/>
        </w:rPr>
        <w:lastRenderedPageBreak/>
        <w:t xml:space="preserve">The NSWLRC </w:t>
      </w:r>
      <w:r>
        <w:rPr>
          <w:color w:val="auto"/>
        </w:rPr>
        <w:t>said this exception was discriminatory and recommended its repeal.</w:t>
      </w:r>
      <w:r w:rsidRPr="00150C1B">
        <w:rPr>
          <w:color w:val="auto"/>
        </w:rPr>
        <w:t xml:space="preserve"> In its view, organisations should apply </w:t>
      </w:r>
      <w:r>
        <w:rPr>
          <w:color w:val="auto"/>
        </w:rPr>
        <w:t xml:space="preserve">to the Anti-Discrimination Board </w:t>
      </w:r>
      <w:r w:rsidRPr="00150C1B">
        <w:rPr>
          <w:color w:val="auto"/>
        </w:rPr>
        <w:t xml:space="preserve">for an exemption </w:t>
      </w:r>
      <w:r>
        <w:rPr>
          <w:color w:val="auto"/>
        </w:rPr>
        <w:t xml:space="preserve">from the ADA </w:t>
      </w:r>
      <w:r w:rsidRPr="00150C1B">
        <w:rPr>
          <w:color w:val="auto"/>
        </w:rPr>
        <w:t>instead.</w:t>
      </w:r>
      <w:r w:rsidRPr="00150C1B">
        <w:rPr>
          <w:rStyle w:val="FootnoteReference"/>
          <w:color w:val="auto"/>
          <w:lang w:eastAsia="en-US"/>
        </w:rPr>
        <w:footnoteReference w:id="550"/>
      </w:r>
      <w:r>
        <w:rPr>
          <w:color w:val="auto"/>
        </w:rPr>
        <w:t xml:space="preserve"> </w:t>
      </w:r>
    </w:p>
    <w:p w14:paraId="5D5FE594" w14:textId="77777777" w:rsidR="000835D9" w:rsidRDefault="000835D9" w:rsidP="000835D9">
      <w:pPr>
        <w:pStyle w:val="NormalAutoChapter"/>
        <w:rPr>
          <w:color w:val="auto"/>
          <w:lang w:eastAsia="en-US"/>
        </w:rPr>
      </w:pPr>
      <w:r>
        <w:rPr>
          <w:color w:val="auto"/>
        </w:rPr>
        <w:t>A further exception</w:t>
      </w:r>
      <w:r w:rsidRPr="00AA3D48">
        <w:rPr>
          <w:color w:val="auto"/>
        </w:rPr>
        <w:t xml:space="preserve"> relates to </w:t>
      </w:r>
      <w:r>
        <w:rPr>
          <w:color w:val="auto"/>
        </w:rPr>
        <w:t xml:space="preserve">club </w:t>
      </w:r>
      <w:r w:rsidRPr="00AA3D48">
        <w:rPr>
          <w:color w:val="auto"/>
        </w:rPr>
        <w:t xml:space="preserve">benefits. </w:t>
      </w:r>
      <w:r>
        <w:rPr>
          <w:color w:val="auto"/>
        </w:rPr>
        <w:t>Registered</w:t>
      </w:r>
      <w:r w:rsidRPr="00E55961">
        <w:rPr>
          <w:color w:val="auto"/>
          <w:lang w:eastAsia="en-US"/>
        </w:rPr>
        <w:t xml:space="preserve"> clubs </w:t>
      </w:r>
      <w:r>
        <w:rPr>
          <w:color w:val="auto"/>
          <w:lang w:eastAsia="en-US"/>
        </w:rPr>
        <w:t>can</w:t>
      </w:r>
      <w:r w:rsidRPr="00E55961">
        <w:rPr>
          <w:color w:val="auto"/>
          <w:lang w:eastAsia="en-US"/>
        </w:rPr>
        <w:t xml:space="preserve"> discriminate against members </w:t>
      </w:r>
      <w:r>
        <w:rPr>
          <w:color w:val="auto"/>
          <w:lang w:eastAsia="en-US"/>
        </w:rPr>
        <w:t>based on</w:t>
      </w:r>
      <w:r w:rsidRPr="00E55961">
        <w:rPr>
          <w:color w:val="auto"/>
          <w:lang w:eastAsia="en-US"/>
        </w:rPr>
        <w:t xml:space="preserve"> sex if </w:t>
      </w:r>
      <w:r>
        <w:rPr>
          <w:color w:val="auto"/>
          <w:lang w:eastAsia="en-US"/>
        </w:rPr>
        <w:t>it is</w:t>
      </w:r>
      <w:r w:rsidRPr="00E55961">
        <w:rPr>
          <w:color w:val="auto"/>
          <w:lang w:eastAsia="en-US"/>
        </w:rPr>
        <w:t xml:space="preserve"> not practicable to offer </w:t>
      </w:r>
      <w:r>
        <w:rPr>
          <w:color w:val="auto"/>
          <w:lang w:eastAsia="en-US"/>
        </w:rPr>
        <w:t>the club’s</w:t>
      </w:r>
      <w:r w:rsidRPr="00E55961">
        <w:rPr>
          <w:color w:val="auto"/>
          <w:lang w:eastAsia="en-US"/>
        </w:rPr>
        <w:t xml:space="preserve"> benefit or services to</w:t>
      </w:r>
      <w:r>
        <w:rPr>
          <w:color w:val="auto"/>
          <w:lang w:eastAsia="en-US"/>
        </w:rPr>
        <w:t xml:space="preserve"> men and women</w:t>
      </w:r>
      <w:r w:rsidRPr="00E55961">
        <w:rPr>
          <w:color w:val="auto"/>
          <w:lang w:eastAsia="en-US"/>
        </w:rPr>
        <w:t xml:space="preserve"> simultaneously or to the same extent.</w:t>
      </w:r>
      <w:r w:rsidRPr="00AA3D48">
        <w:rPr>
          <w:rStyle w:val="FootnoteReference"/>
          <w:color w:val="auto"/>
          <w:lang w:eastAsia="en-US"/>
        </w:rPr>
        <w:footnoteReference w:id="551"/>
      </w:r>
      <w:r w:rsidRPr="00AA3D48">
        <w:rPr>
          <w:color w:val="auto"/>
          <w:lang w:eastAsia="en-US"/>
        </w:rPr>
        <w:t xml:space="preserve"> The NSWLRC </w:t>
      </w:r>
      <w:r w:rsidRPr="00970A70">
        <w:rPr>
          <w:color w:val="auto"/>
          <w:lang w:eastAsia="en-US"/>
        </w:rPr>
        <w:t xml:space="preserve">recommended </w:t>
      </w:r>
      <w:r>
        <w:rPr>
          <w:color w:val="auto"/>
          <w:lang w:eastAsia="en-US"/>
        </w:rPr>
        <w:t>keeping</w:t>
      </w:r>
      <w:r w:rsidRPr="00970A70">
        <w:rPr>
          <w:color w:val="auto"/>
          <w:lang w:eastAsia="en-US"/>
        </w:rPr>
        <w:t xml:space="preserve"> th</w:t>
      </w:r>
      <w:r>
        <w:rPr>
          <w:color w:val="auto"/>
          <w:lang w:eastAsia="en-US"/>
        </w:rPr>
        <w:t>is</w:t>
      </w:r>
      <w:r w:rsidRPr="00970A70">
        <w:rPr>
          <w:color w:val="auto"/>
          <w:lang w:eastAsia="en-US"/>
        </w:rPr>
        <w:t xml:space="preserve"> exception.</w:t>
      </w:r>
      <w:r>
        <w:rPr>
          <w:color w:val="auto"/>
          <w:lang w:eastAsia="en-US"/>
        </w:rPr>
        <w:t xml:space="preserve"> It thought there could be legitimate reasons for applying it</w:t>
      </w:r>
      <w:r w:rsidRPr="00AA3D48">
        <w:rPr>
          <w:color w:val="auto"/>
          <w:lang w:eastAsia="en-US"/>
        </w:rPr>
        <w:t>,</w:t>
      </w:r>
      <w:r>
        <w:rPr>
          <w:color w:val="auto"/>
          <w:lang w:eastAsia="en-US"/>
        </w:rPr>
        <w:t xml:space="preserve"> including where</w:t>
      </w:r>
      <w:r w:rsidRPr="00AA3D48">
        <w:rPr>
          <w:color w:val="auto"/>
          <w:lang w:eastAsia="en-US"/>
        </w:rPr>
        <w:t xml:space="preserve"> it would be </w:t>
      </w:r>
      <w:r>
        <w:rPr>
          <w:color w:val="auto"/>
          <w:lang w:eastAsia="en-US"/>
        </w:rPr>
        <w:t>inappropriate</w:t>
      </w:r>
      <w:r w:rsidRPr="00AA3D48">
        <w:rPr>
          <w:color w:val="auto"/>
          <w:lang w:eastAsia="en-US"/>
        </w:rPr>
        <w:t xml:space="preserve"> for women and men to </w:t>
      </w:r>
      <w:r>
        <w:rPr>
          <w:color w:val="auto"/>
          <w:lang w:eastAsia="en-US"/>
        </w:rPr>
        <w:t>share</w:t>
      </w:r>
      <w:r w:rsidRPr="00AA3D48">
        <w:rPr>
          <w:color w:val="auto"/>
          <w:lang w:eastAsia="en-US"/>
        </w:rPr>
        <w:t xml:space="preserve"> facilities at the same time.</w:t>
      </w:r>
      <w:r w:rsidRPr="00970A70">
        <w:rPr>
          <w:rStyle w:val="FootnoteReference"/>
          <w:color w:val="auto"/>
          <w:lang w:eastAsia="en-US"/>
        </w:rPr>
        <w:footnoteReference w:id="552"/>
      </w:r>
      <w:r>
        <w:rPr>
          <w:color w:val="auto"/>
          <w:lang w:eastAsia="en-US"/>
        </w:rPr>
        <w:t xml:space="preserve"> </w:t>
      </w:r>
      <w:r w:rsidRPr="00AA3D48">
        <w:rPr>
          <w:color w:val="auto"/>
          <w:lang w:eastAsia="en-US"/>
        </w:rPr>
        <w:t xml:space="preserve"> </w:t>
      </w:r>
    </w:p>
    <w:p w14:paraId="42F740D9" w14:textId="77777777" w:rsidR="000835D9" w:rsidRDefault="000835D9" w:rsidP="000835D9">
      <w:pPr>
        <w:pStyle w:val="Heading3"/>
      </w:pPr>
      <w:r>
        <w:t xml:space="preserve">Exception to disability discrimination </w:t>
      </w:r>
    </w:p>
    <w:p w14:paraId="227F95C2" w14:textId="77777777" w:rsidR="000835D9" w:rsidRDefault="000835D9" w:rsidP="000835D9">
      <w:pPr>
        <w:pStyle w:val="NormalAutoChapter"/>
        <w:rPr>
          <w:lang w:eastAsia="en-US"/>
        </w:rPr>
      </w:pPr>
      <w:r>
        <w:rPr>
          <w:lang w:eastAsia="en-US"/>
        </w:rPr>
        <w:t>The ADA provides an exception to disability discrimination where a person with disability requires a benefit to be provided in a special manner, and this cannot be done without causing “unjustifiable hardship” to the registered club.</w:t>
      </w:r>
      <w:r>
        <w:rPr>
          <w:rStyle w:val="FootnoteReference"/>
          <w:lang w:eastAsia="en-US"/>
        </w:rPr>
        <w:footnoteReference w:id="553"/>
      </w:r>
      <w:r>
        <w:rPr>
          <w:lang w:eastAsia="en-US"/>
        </w:rPr>
        <w:t xml:space="preserve"> We discuss the reform option of a duty to provide adjustments in </w:t>
      </w:r>
      <w:r w:rsidRPr="005A3EBE">
        <w:rPr>
          <w:lang w:eastAsia="en-US"/>
        </w:rPr>
        <w:t>chapter 11.</w:t>
      </w:r>
    </w:p>
    <w:p w14:paraId="13A0ED8D" w14:textId="1699ACC5" w:rsidR="000835D9" w:rsidRDefault="000835D9" w:rsidP="000835D9">
      <w:pPr>
        <w:pStyle w:val="Recommendationheading"/>
      </w:pPr>
      <w:r w:rsidRPr="000B14A9">
        <w:t>Question 6.</w:t>
      </w:r>
      <w:r>
        <w:t>10</w:t>
      </w:r>
      <w:r w:rsidRPr="000B14A9">
        <w:t>: Discrimination by registered clubs</w:t>
      </w:r>
      <w:r>
        <w:t xml:space="preserve"> — exceptions</w:t>
      </w:r>
    </w:p>
    <w:p w14:paraId="1FC5E4EF" w14:textId="08088260" w:rsidR="000835D9" w:rsidRPr="007F355E" w:rsidRDefault="000835D9" w:rsidP="000835D9">
      <w:pPr>
        <w:pStyle w:val="Recommendationnormal"/>
      </w:pPr>
      <w:r>
        <w:t>What</w:t>
      </w:r>
      <w:r w:rsidR="00F55080">
        <w:t xml:space="preserve"> changes, if any,</w:t>
      </w:r>
      <w:r>
        <w:t xml:space="preserve"> should be made to the exceptions for registered clubs in relation to sex, race, age and disability discrimination? </w:t>
      </w:r>
    </w:p>
    <w:p w14:paraId="05EC6CD6" w14:textId="77777777" w:rsidR="000835D9" w:rsidRPr="001D38E6" w:rsidRDefault="000835D9" w:rsidP="000835D9">
      <w:pPr>
        <w:pStyle w:val="Heading1"/>
      </w:pPr>
      <w:bookmarkStart w:id="267" w:name="_Toc196748354"/>
      <w:bookmarkStart w:id="268" w:name="_Toc196826887"/>
      <w:r>
        <w:t xml:space="preserve">Protecting all </w:t>
      </w:r>
      <w:r w:rsidRPr="001D38E6">
        <w:t>attributes in all areas</w:t>
      </w:r>
      <w:bookmarkEnd w:id="267"/>
      <w:bookmarkEnd w:id="268"/>
    </w:p>
    <w:p w14:paraId="5A17F035" w14:textId="77777777" w:rsidR="000835D9" w:rsidRDefault="000835D9" w:rsidP="000835D9">
      <w:pPr>
        <w:pStyle w:val="NormalAutoChapter"/>
        <w:rPr>
          <w:lang w:eastAsia="en-US"/>
        </w:rPr>
      </w:pPr>
      <w:r>
        <w:rPr>
          <w:lang w:eastAsia="en-US"/>
        </w:rPr>
        <w:t xml:space="preserve">So far in this chapter, we have set out the areas of public life in which discrimination is prohibited. But not all attributes are protected in all the protected areas. The ADA protects people who have a protected attribute in all areas of public life, except for carers. It only prohibits discrimination based on carer’s responsibilities </w:t>
      </w:r>
      <w:r w:rsidRPr="001D38E6">
        <w:rPr>
          <w:lang w:eastAsia="en-US"/>
        </w:rPr>
        <w:t>in work</w:t>
      </w:r>
      <w:r>
        <w:rPr>
          <w:lang w:eastAsia="en-US"/>
        </w:rPr>
        <w:t xml:space="preserve"> and not in any other area. </w:t>
      </w:r>
    </w:p>
    <w:p w14:paraId="6367105F" w14:textId="77777777" w:rsidR="000835D9" w:rsidRDefault="000835D9" w:rsidP="000835D9">
      <w:pPr>
        <w:pStyle w:val="NormalAutoChapter"/>
        <w:rPr>
          <w:lang w:eastAsia="en-US"/>
        </w:rPr>
      </w:pPr>
      <w:r>
        <w:rPr>
          <w:lang w:eastAsia="en-US"/>
        </w:rPr>
        <w:t>Federal discrimination law has a similar gap. The</w:t>
      </w:r>
      <w:r w:rsidRPr="001D38E6">
        <w:rPr>
          <w:lang w:eastAsia="en-US"/>
        </w:rPr>
        <w:t xml:space="preserve"> </w:t>
      </w:r>
      <w:r w:rsidRPr="00535437">
        <w:rPr>
          <w:i/>
          <w:iCs/>
          <w:lang w:eastAsia="en-US"/>
        </w:rPr>
        <w:t>Sex Discrimination</w:t>
      </w:r>
      <w:r>
        <w:rPr>
          <w:i/>
          <w:iCs/>
          <w:lang w:eastAsia="en-US"/>
        </w:rPr>
        <w:t xml:space="preserve"> Act</w:t>
      </w:r>
      <w:r w:rsidRPr="00535437">
        <w:rPr>
          <w:i/>
          <w:iCs/>
          <w:lang w:eastAsia="en-US"/>
        </w:rPr>
        <w:t xml:space="preserve"> </w:t>
      </w:r>
      <w:r w:rsidRPr="001D38E6">
        <w:rPr>
          <w:lang w:eastAsia="en-US"/>
        </w:rPr>
        <w:t>only prohib</w:t>
      </w:r>
      <w:r>
        <w:rPr>
          <w:lang w:eastAsia="en-US"/>
        </w:rPr>
        <w:t>its</w:t>
      </w:r>
      <w:r w:rsidRPr="001D38E6">
        <w:rPr>
          <w:lang w:eastAsia="en-US"/>
        </w:rPr>
        <w:t xml:space="preserve"> discrimination </w:t>
      </w:r>
      <w:r>
        <w:rPr>
          <w:lang w:eastAsia="en-US"/>
        </w:rPr>
        <w:t xml:space="preserve">based on family </w:t>
      </w:r>
      <w:r w:rsidRPr="001D38E6">
        <w:rPr>
          <w:lang w:eastAsia="en-US"/>
        </w:rPr>
        <w:t xml:space="preserve">responsibilities </w:t>
      </w:r>
      <w:r>
        <w:rPr>
          <w:lang w:eastAsia="en-US"/>
        </w:rPr>
        <w:t xml:space="preserve">at </w:t>
      </w:r>
      <w:r w:rsidRPr="001D38E6">
        <w:rPr>
          <w:lang w:eastAsia="en-US"/>
        </w:rPr>
        <w:t>work.</w:t>
      </w:r>
      <w:r w:rsidRPr="001D38E6">
        <w:rPr>
          <w:rStyle w:val="FootnoteReference"/>
          <w:lang w:eastAsia="en-US"/>
        </w:rPr>
        <w:footnoteReference w:id="554"/>
      </w:r>
      <w:r w:rsidRPr="001D38E6">
        <w:rPr>
          <w:lang w:eastAsia="en-US"/>
        </w:rPr>
        <w:t xml:space="preserve"> </w:t>
      </w:r>
      <w:r>
        <w:rPr>
          <w:lang w:eastAsia="en-US"/>
        </w:rPr>
        <w:t>Some other discrimination laws protect all attributes in all areas (unless an exception applies).</w:t>
      </w:r>
      <w:r>
        <w:rPr>
          <w:rStyle w:val="FootnoteReference"/>
          <w:lang w:eastAsia="en-US"/>
        </w:rPr>
        <w:footnoteReference w:id="555"/>
      </w:r>
      <w:r>
        <w:rPr>
          <w:lang w:eastAsia="en-US"/>
        </w:rPr>
        <w:t xml:space="preserve"> </w:t>
      </w:r>
    </w:p>
    <w:p w14:paraId="03EBF4AB" w14:textId="77777777" w:rsidR="000835D9" w:rsidRDefault="000835D9" w:rsidP="000835D9">
      <w:pPr>
        <w:pStyle w:val="NormalAutoChapter"/>
        <w:rPr>
          <w:lang w:eastAsia="en-US"/>
        </w:rPr>
      </w:pPr>
      <w:r>
        <w:lastRenderedPageBreak/>
        <w:t>In its 1999 report, the NSWLRC supported limiting the protections for carers. It was only aware of discrimination based on caring responsibilities in the work context. However, it said the law should be revised if discrimination against carers became a problem in other areas.</w:t>
      </w:r>
      <w:r>
        <w:rPr>
          <w:rStyle w:val="FootnoteReference"/>
          <w:lang w:eastAsia="en-US"/>
        </w:rPr>
        <w:footnoteReference w:id="556"/>
      </w:r>
      <w:r>
        <w:t xml:space="preserve"> </w:t>
      </w:r>
    </w:p>
    <w:p w14:paraId="0E15E3AB" w14:textId="77777777" w:rsidR="000835D9" w:rsidRDefault="000835D9" w:rsidP="000835D9">
      <w:pPr>
        <w:pStyle w:val="NormalAutoChapter"/>
        <w:rPr>
          <w:lang w:eastAsia="en-US"/>
        </w:rPr>
      </w:pPr>
      <w:r>
        <w:t>It could be time to revise this assessment.</w:t>
      </w:r>
      <w:r>
        <w:rPr>
          <w:rStyle w:val="FootnoteReference"/>
        </w:rPr>
        <w:footnoteReference w:id="557"/>
      </w:r>
      <w:r>
        <w:t xml:space="preserve"> </w:t>
      </w:r>
      <w:r>
        <w:rPr>
          <w:lang w:eastAsia="en-US"/>
        </w:rPr>
        <w:t xml:space="preserve">The AHRC supported prohibiting discrimination based on </w:t>
      </w:r>
      <w:r w:rsidRPr="001D38E6">
        <w:rPr>
          <w:lang w:eastAsia="en-US"/>
        </w:rPr>
        <w:t>family responsibilities in all</w:t>
      </w:r>
      <w:r>
        <w:rPr>
          <w:lang w:eastAsia="en-US"/>
        </w:rPr>
        <w:t xml:space="preserve"> protected</w:t>
      </w:r>
      <w:r w:rsidRPr="001D38E6">
        <w:rPr>
          <w:lang w:eastAsia="en-US"/>
        </w:rPr>
        <w:t xml:space="preserve"> areas of</w:t>
      </w:r>
      <w:r>
        <w:rPr>
          <w:lang w:eastAsia="en-US"/>
        </w:rPr>
        <w:t xml:space="preserve"> public</w:t>
      </w:r>
      <w:r w:rsidRPr="001D38E6">
        <w:rPr>
          <w:lang w:eastAsia="en-US"/>
        </w:rPr>
        <w:t xml:space="preserve"> lif</w:t>
      </w:r>
      <w:r>
        <w:rPr>
          <w:lang w:eastAsia="en-US"/>
        </w:rPr>
        <w:t>e. In its view, t</w:t>
      </w:r>
      <w:r w:rsidRPr="001D38E6">
        <w:rPr>
          <w:lang w:eastAsia="en-US"/>
        </w:rPr>
        <w:t>his would</w:t>
      </w:r>
      <w:r>
        <w:rPr>
          <w:lang w:eastAsia="en-US"/>
        </w:rPr>
        <w:t xml:space="preserve"> be more consistent and less complex than </w:t>
      </w:r>
      <w:r w:rsidRPr="001D38E6">
        <w:rPr>
          <w:lang w:eastAsia="en-US"/>
        </w:rPr>
        <w:t>having different protections for different attributes.</w:t>
      </w:r>
      <w:r w:rsidRPr="001D38E6">
        <w:rPr>
          <w:rStyle w:val="FootnoteReference"/>
          <w:lang w:eastAsia="en-US"/>
        </w:rPr>
        <w:footnoteReference w:id="558"/>
      </w:r>
      <w:r>
        <w:rPr>
          <w:lang w:eastAsia="en-US"/>
        </w:rPr>
        <w:t xml:space="preserve"> The LRCWA also recommended consistency across the protected attributes, unless an exception applies.</w:t>
      </w:r>
      <w:r w:rsidRPr="001D38E6">
        <w:rPr>
          <w:rStyle w:val="FootnoteReference"/>
          <w:lang w:eastAsia="en-US"/>
        </w:rPr>
        <w:footnoteReference w:id="559"/>
      </w:r>
    </w:p>
    <w:p w14:paraId="78CBDCA7" w14:textId="77777777" w:rsidR="000835D9" w:rsidRPr="000B14A9" w:rsidRDefault="000835D9" w:rsidP="000835D9">
      <w:pPr>
        <w:pStyle w:val="Recommendationheading"/>
      </w:pPr>
      <w:r w:rsidRPr="000B14A9">
        <w:t>Question 6.</w:t>
      </w:r>
      <w:r>
        <w:t>11</w:t>
      </w:r>
      <w:r w:rsidRPr="000B14A9">
        <w:t>: Discrimination based on carer’s responsibilities</w:t>
      </w:r>
    </w:p>
    <w:p w14:paraId="3FDCE216" w14:textId="77777777" w:rsidR="000835D9" w:rsidRPr="00B84470" w:rsidRDefault="000835D9" w:rsidP="000835D9">
      <w:pPr>
        <w:pStyle w:val="Recommendationhanging1"/>
      </w:pPr>
      <w:r w:rsidRPr="00B84470">
        <w:t>(1)</w:t>
      </w:r>
      <w:r w:rsidRPr="00B84470">
        <w:tab/>
        <w:t xml:space="preserve">Should discrimination based on carer’s responsibilities be prohibited in all protected areas of public life? If not, what areas should apply and why? </w:t>
      </w:r>
    </w:p>
    <w:p w14:paraId="17DA43BB" w14:textId="77777777" w:rsidR="000835D9" w:rsidRPr="00B84470" w:rsidRDefault="000835D9" w:rsidP="000835D9">
      <w:pPr>
        <w:pStyle w:val="Recommendationhanging1"/>
      </w:pPr>
      <w:r w:rsidRPr="00B84470">
        <w:t>(2)</w:t>
      </w:r>
      <w:r w:rsidRPr="00B84470">
        <w:tab/>
        <w:t xml:space="preserve">In general, should discrimination be prohibited in all protected areas for all protected attributes? Why or why not? </w:t>
      </w:r>
    </w:p>
    <w:p w14:paraId="2B651954" w14:textId="77777777" w:rsidR="000835D9" w:rsidRPr="001D38E6" w:rsidRDefault="000835D9" w:rsidP="000835D9">
      <w:pPr>
        <w:pStyle w:val="Heading1"/>
      </w:pPr>
      <w:bookmarkStart w:id="269" w:name="_Toc196748355"/>
      <w:bookmarkStart w:id="270" w:name="_Toc196826888"/>
      <w:r>
        <w:t>Other potential protected areas</w:t>
      </w:r>
      <w:bookmarkEnd w:id="269"/>
      <w:bookmarkEnd w:id="270"/>
      <w:r>
        <w:t xml:space="preserve"> </w:t>
      </w:r>
    </w:p>
    <w:p w14:paraId="60896E6D" w14:textId="77777777" w:rsidR="000835D9" w:rsidRDefault="000835D9" w:rsidP="000835D9">
      <w:pPr>
        <w:pStyle w:val="NormalAutoChapter"/>
      </w:pPr>
      <w:r>
        <w:t xml:space="preserve">Many preliminary submissions suggested that the ADA should cover additional areas of public life. We outline some options below. First, we set out one option to ensure </w:t>
      </w:r>
      <w:r w:rsidRPr="009A2313">
        <w:rPr>
          <w:color w:val="auto"/>
          <w:lang w:eastAsia="en-US"/>
        </w:rPr>
        <w:t>the ADA</w:t>
      </w:r>
      <w:r>
        <w:rPr>
          <w:color w:val="auto"/>
          <w:lang w:eastAsia="en-US"/>
        </w:rPr>
        <w:t xml:space="preserve"> is flexible enough </w:t>
      </w:r>
      <w:r w:rsidRPr="009A2313">
        <w:rPr>
          <w:color w:val="auto"/>
          <w:lang w:eastAsia="en-US"/>
        </w:rPr>
        <w:t>to respond to new areas</w:t>
      </w:r>
      <w:r>
        <w:rPr>
          <w:color w:val="auto"/>
          <w:lang w:eastAsia="en-US"/>
        </w:rPr>
        <w:t xml:space="preserve"> as they arise</w:t>
      </w:r>
      <w:r w:rsidRPr="009A2313">
        <w:rPr>
          <w:color w:val="auto"/>
          <w:lang w:eastAsia="en-US"/>
        </w:rPr>
        <w:t>.</w:t>
      </w:r>
    </w:p>
    <w:p w14:paraId="135E2D4F" w14:textId="77777777" w:rsidR="000835D9" w:rsidRDefault="000835D9" w:rsidP="000835D9">
      <w:pPr>
        <w:pStyle w:val="Heading2"/>
      </w:pPr>
      <w:bookmarkStart w:id="271" w:name="_Toc196748356"/>
      <w:bookmarkStart w:id="272" w:name="_Toc196826889"/>
      <w:r>
        <w:t>A broader application to all areas of public life</w:t>
      </w:r>
      <w:bookmarkEnd w:id="271"/>
      <w:bookmarkEnd w:id="272"/>
    </w:p>
    <w:p w14:paraId="1EFCDDC8" w14:textId="77777777" w:rsidR="000835D9" w:rsidRDefault="000835D9" w:rsidP="000835D9">
      <w:pPr>
        <w:pStyle w:val="NormalAutoChapter"/>
        <w:rPr>
          <w:lang w:eastAsia="en-US"/>
        </w:rPr>
      </w:pPr>
      <w:r>
        <w:t>Like most Australian discrimination laws, the ADA does not apply to all conduct that occurs “in public”. It only applies in the areas we outline above.</w:t>
      </w:r>
    </w:p>
    <w:p w14:paraId="65D51054" w14:textId="77777777" w:rsidR="000835D9" w:rsidRDefault="000835D9" w:rsidP="000835D9">
      <w:pPr>
        <w:pStyle w:val="NormalAutoChapter"/>
        <w:rPr>
          <w:lang w:eastAsia="en-US"/>
        </w:rPr>
      </w:pPr>
      <w:r>
        <w:t xml:space="preserve">A different </w:t>
      </w:r>
      <w:r w:rsidRPr="001D38E6">
        <w:t xml:space="preserve">approach could be </w:t>
      </w:r>
      <w:r>
        <w:t xml:space="preserve">a non-exhaustive list that prohibits discrimination in </w:t>
      </w:r>
      <w:r w:rsidRPr="00EE5D06">
        <w:t>any</w:t>
      </w:r>
      <w:r>
        <w:t xml:space="preserve"> area of public life. This might enable the ADA to evolve to meet society’s needs, without requiring legislative change each time another area is identified. </w:t>
      </w:r>
    </w:p>
    <w:p w14:paraId="39E05C14" w14:textId="77777777" w:rsidR="000835D9" w:rsidRPr="001D38E6" w:rsidRDefault="000835D9" w:rsidP="000835D9">
      <w:pPr>
        <w:pStyle w:val="NormalAutoChapter"/>
      </w:pPr>
      <w:r>
        <w:t xml:space="preserve">The </w:t>
      </w:r>
      <w:r w:rsidRPr="00200E3C">
        <w:rPr>
          <w:i/>
          <w:iCs/>
        </w:rPr>
        <w:t>Racial Discrimination Act</w:t>
      </w:r>
      <w:r>
        <w:t xml:space="preserve"> provides one model. It prohibits racial </w:t>
      </w:r>
      <w:r w:rsidRPr="001D38E6">
        <w:t xml:space="preserve">discrimination “in the political, economic, social, cultural or any other field of public life”. </w:t>
      </w:r>
      <w:r>
        <w:t xml:space="preserve">Without limiting that definition, the Act specifically prohibits discrimination in relation to </w:t>
      </w:r>
      <w:r w:rsidRPr="001D38E6">
        <w:lastRenderedPageBreak/>
        <w:t>land</w:t>
      </w:r>
      <w:r>
        <w:t>,</w:t>
      </w:r>
      <w:r w:rsidRPr="001D38E6">
        <w:t xml:space="preserve"> housing and other accommodation</w:t>
      </w:r>
      <w:r>
        <w:t xml:space="preserve">, </w:t>
      </w:r>
      <w:r w:rsidRPr="001D38E6">
        <w:t>access to places and facilities</w:t>
      </w:r>
      <w:r>
        <w:t xml:space="preserve">, the </w:t>
      </w:r>
      <w:r w:rsidRPr="001D38E6">
        <w:t>provision of goods and services</w:t>
      </w:r>
      <w:r>
        <w:t xml:space="preserve">, the right to join </w:t>
      </w:r>
      <w:r w:rsidRPr="001D38E6">
        <w:t>trade unions</w:t>
      </w:r>
      <w:r>
        <w:t>, and employment.</w:t>
      </w:r>
      <w:r w:rsidRPr="001D38E6">
        <w:rPr>
          <w:rStyle w:val="FootnoteReference"/>
        </w:rPr>
        <w:footnoteReference w:id="560"/>
      </w:r>
    </w:p>
    <w:p w14:paraId="6F3944E1" w14:textId="77777777" w:rsidR="000835D9" w:rsidRDefault="000835D9" w:rsidP="000835D9">
      <w:pPr>
        <w:pStyle w:val="NormalAutoChapter"/>
      </w:pPr>
      <w:r>
        <w:t>Proposals to change other laws to prohibit discrimination in “any area of public life” have been unsuccessful.</w:t>
      </w:r>
      <w:r w:rsidRPr="001D38E6">
        <w:rPr>
          <w:rStyle w:val="FootnoteReference"/>
        </w:rPr>
        <w:footnoteReference w:id="561"/>
      </w:r>
      <w:r>
        <w:t xml:space="preserve"> Concerns have been raised that this approach is less clear than identifying specific areas of application.</w:t>
      </w:r>
      <w:r>
        <w:rPr>
          <w:rStyle w:val="FootnoteReference"/>
        </w:rPr>
        <w:footnoteReference w:id="562"/>
      </w:r>
      <w:r>
        <w:t xml:space="preserve"> A related view is some emerging areas may not fit neatly in the public or private spheres.</w:t>
      </w:r>
      <w:r>
        <w:rPr>
          <w:rStyle w:val="FootnoteReference"/>
        </w:rPr>
        <w:footnoteReference w:id="563"/>
      </w:r>
    </w:p>
    <w:p w14:paraId="03144EDF" w14:textId="77777777" w:rsidR="000835D9" w:rsidRPr="00642C0A" w:rsidRDefault="000835D9" w:rsidP="000835D9">
      <w:pPr>
        <w:pStyle w:val="NormalAutoChapter"/>
        <w:rPr>
          <w:color w:val="auto"/>
          <w:lang w:eastAsia="en-US"/>
        </w:rPr>
      </w:pPr>
      <w:r>
        <w:rPr>
          <w:color w:val="auto"/>
          <w:lang w:eastAsia="en-US"/>
        </w:rPr>
        <w:t>The NSWLRC did not support this approach. It preferred the ADA’s approach of prohibiting discrimination in defined areas, rather than in all areas of public life.</w:t>
      </w:r>
      <w:r>
        <w:rPr>
          <w:rStyle w:val="FootnoteReference"/>
          <w:color w:val="auto"/>
          <w:lang w:eastAsia="en-US"/>
        </w:rPr>
        <w:footnoteReference w:id="564"/>
      </w:r>
    </w:p>
    <w:p w14:paraId="3D22807A" w14:textId="77777777" w:rsidR="000835D9" w:rsidRPr="00EC791E" w:rsidRDefault="000835D9" w:rsidP="000835D9">
      <w:pPr>
        <w:pStyle w:val="Heading2"/>
      </w:pPr>
      <w:bookmarkStart w:id="274" w:name="_Toc196748357"/>
      <w:bookmarkStart w:id="275" w:name="_Toc196826890"/>
      <w:r w:rsidRPr="00EC791E">
        <w:t xml:space="preserve">Disposal of </w:t>
      </w:r>
      <w:r>
        <w:t xml:space="preserve">interests in </w:t>
      </w:r>
      <w:r w:rsidRPr="00EC791E">
        <w:t>land</w:t>
      </w:r>
      <w:bookmarkEnd w:id="274"/>
      <w:bookmarkEnd w:id="275"/>
      <w:r w:rsidRPr="00EC791E">
        <w:t xml:space="preserve"> </w:t>
      </w:r>
    </w:p>
    <w:p w14:paraId="6FA79C64" w14:textId="77777777" w:rsidR="000835D9" w:rsidRPr="00C44696" w:rsidRDefault="000835D9" w:rsidP="000835D9">
      <w:pPr>
        <w:pStyle w:val="NormalAutoChapter"/>
      </w:pPr>
      <w:r>
        <w:t xml:space="preserve">Some other state and territory discrimination laws </w:t>
      </w:r>
      <w:r w:rsidRPr="001D38E6">
        <w:t>prohibit discrimination in the disposal of interests in land</w:t>
      </w:r>
      <w:r>
        <w:t>, including the sale or transfer of property.</w:t>
      </w:r>
      <w:r w:rsidRPr="009F2C7D">
        <w:rPr>
          <w:rStyle w:val="FootnoteReference"/>
          <w:color w:val="auto"/>
        </w:rPr>
        <w:footnoteReference w:id="565"/>
      </w:r>
      <w:r w:rsidRPr="009F2C7D">
        <w:rPr>
          <w:color w:val="auto"/>
        </w:rPr>
        <w:t xml:space="preserve"> </w:t>
      </w:r>
    </w:p>
    <w:p w14:paraId="0C279188" w14:textId="77777777" w:rsidR="000835D9" w:rsidRPr="00D46F4A" w:rsidRDefault="000835D9" w:rsidP="000835D9">
      <w:pPr>
        <w:pStyle w:val="NormalAutoChapter"/>
      </w:pPr>
      <w:r>
        <w:rPr>
          <w:color w:val="auto"/>
        </w:rPr>
        <w:t>The ADA does not cover this area. However, people in NSW are protected by federal discrimination law under which it is unlawful to discriminate based on disability, sex or age:</w:t>
      </w:r>
    </w:p>
    <w:p w14:paraId="6506C2C7" w14:textId="77777777" w:rsidR="000835D9" w:rsidRPr="001D38E6" w:rsidRDefault="000835D9" w:rsidP="000835D9">
      <w:pPr>
        <w:pStyle w:val="Normalbullet"/>
      </w:pPr>
      <w:r>
        <w:t xml:space="preserve">by </w:t>
      </w:r>
      <w:r w:rsidRPr="001D38E6">
        <w:t>refusing or failing to distribute an interest in land, or</w:t>
      </w:r>
    </w:p>
    <w:p w14:paraId="4F6B4B39" w14:textId="77777777" w:rsidR="000835D9" w:rsidRPr="00FF38B8" w:rsidRDefault="000835D9" w:rsidP="000835D9">
      <w:pPr>
        <w:pStyle w:val="Normalbullet"/>
      </w:pPr>
      <w:r w:rsidRPr="00FF38B8">
        <w:t xml:space="preserve">in the terms or conditions </w:t>
      </w:r>
      <w:r>
        <w:t>on</w:t>
      </w:r>
      <w:r w:rsidRPr="00FF38B8">
        <w:t xml:space="preserve"> which the interest in land is offered.</w:t>
      </w:r>
      <w:r w:rsidRPr="00FF38B8">
        <w:rPr>
          <w:rStyle w:val="FootnoteReference"/>
        </w:rPr>
        <w:footnoteReference w:id="566"/>
      </w:r>
    </w:p>
    <w:p w14:paraId="62319801" w14:textId="77777777" w:rsidR="000835D9" w:rsidRPr="00D46F4A" w:rsidRDefault="000835D9" w:rsidP="000835D9">
      <w:pPr>
        <w:pStyle w:val="NormalAutoChapter"/>
        <w:rPr>
          <w:color w:val="auto"/>
        </w:rPr>
      </w:pPr>
      <w:r w:rsidRPr="00460C30">
        <w:rPr>
          <w:color w:val="auto"/>
        </w:rPr>
        <w:t>In 1999</w:t>
      </w:r>
      <w:r>
        <w:rPr>
          <w:color w:val="auto"/>
        </w:rPr>
        <w:t>,</w:t>
      </w:r>
      <w:r w:rsidRPr="00460C30">
        <w:rPr>
          <w:color w:val="auto"/>
        </w:rPr>
        <w:t xml:space="preserve"> the NSWLRC recommended </w:t>
      </w:r>
      <w:r>
        <w:rPr>
          <w:color w:val="auto"/>
        </w:rPr>
        <w:t xml:space="preserve">adding </w:t>
      </w:r>
      <w:r w:rsidRPr="00D46F4A">
        <w:rPr>
          <w:color w:val="auto"/>
        </w:rPr>
        <w:t xml:space="preserve">disposal of interests in land </w:t>
      </w:r>
      <w:r>
        <w:rPr>
          <w:color w:val="auto"/>
        </w:rPr>
        <w:t xml:space="preserve">to the ADA </w:t>
      </w:r>
      <w:r w:rsidRPr="00D46F4A">
        <w:rPr>
          <w:color w:val="auto"/>
        </w:rPr>
        <w:t>as an area of public life. It warned that permitting discrimination in this area could enable apartheid.</w:t>
      </w:r>
      <w:r w:rsidRPr="00D46F4A">
        <w:rPr>
          <w:rStyle w:val="FootnoteReference"/>
          <w:color w:val="auto"/>
        </w:rPr>
        <w:footnoteReference w:id="567"/>
      </w:r>
      <w:r>
        <w:rPr>
          <w:color w:val="auto"/>
        </w:rPr>
        <w:t xml:space="preserve"> </w:t>
      </w:r>
    </w:p>
    <w:p w14:paraId="23A15773" w14:textId="77777777" w:rsidR="000835D9" w:rsidRDefault="000835D9" w:rsidP="000835D9">
      <w:pPr>
        <w:pStyle w:val="Heading2"/>
      </w:pPr>
      <w:bookmarkStart w:id="276" w:name="_Toc196748358"/>
      <w:bookmarkStart w:id="277" w:name="_Toc196826891"/>
      <w:r>
        <w:lastRenderedPageBreak/>
        <w:t>Government functions and the administration of laws</w:t>
      </w:r>
      <w:bookmarkEnd w:id="276"/>
      <w:bookmarkEnd w:id="277"/>
    </w:p>
    <w:p w14:paraId="7FA49EA1" w14:textId="77777777" w:rsidR="000835D9" w:rsidRPr="00F82AE4" w:rsidRDefault="000835D9" w:rsidP="000835D9">
      <w:pPr>
        <w:pStyle w:val="NormalAutoChapter"/>
        <w:rPr>
          <w:lang w:eastAsia="en-US"/>
        </w:rPr>
      </w:pPr>
      <w:r>
        <w:rPr>
          <w:lang w:eastAsia="en-US"/>
        </w:rPr>
        <w:t xml:space="preserve">The ADA only protects against </w:t>
      </w:r>
      <w:r w:rsidRPr="003D5FCB">
        <w:rPr>
          <w:color w:val="auto"/>
        </w:rPr>
        <w:t>discrimination in state laws and programs</w:t>
      </w:r>
      <w:r>
        <w:rPr>
          <w:color w:val="auto"/>
        </w:rPr>
        <w:t xml:space="preserve"> when these are </w:t>
      </w:r>
      <w:r w:rsidRPr="003D5FCB">
        <w:rPr>
          <w:color w:val="auto"/>
        </w:rPr>
        <w:t>considered a “service”</w:t>
      </w:r>
      <w:r>
        <w:rPr>
          <w:color w:val="auto"/>
        </w:rPr>
        <w:t xml:space="preserve"> under the “provision of goods and services” area</w:t>
      </w:r>
      <w:r w:rsidRPr="003D5FCB">
        <w:rPr>
          <w:color w:val="auto"/>
        </w:rPr>
        <w:t>.</w:t>
      </w:r>
      <w:r>
        <w:rPr>
          <w:rStyle w:val="FootnoteReference"/>
          <w:color w:val="auto"/>
        </w:rPr>
        <w:footnoteReference w:id="568"/>
      </w:r>
      <w:r w:rsidRPr="003D5FCB">
        <w:rPr>
          <w:color w:val="auto"/>
        </w:rPr>
        <w:t xml:space="preserve"> However, </w:t>
      </w:r>
      <w:r>
        <w:rPr>
          <w:color w:val="auto"/>
        </w:rPr>
        <w:t xml:space="preserve">some preliminary submissions said </w:t>
      </w:r>
      <w:r w:rsidRPr="003D5FCB">
        <w:rPr>
          <w:color w:val="auto"/>
        </w:rPr>
        <w:t xml:space="preserve">it </w:t>
      </w:r>
      <w:r>
        <w:rPr>
          <w:color w:val="auto"/>
        </w:rPr>
        <w:t>is sometimes un</w:t>
      </w:r>
      <w:r w:rsidRPr="003D5FCB">
        <w:rPr>
          <w:color w:val="auto"/>
        </w:rPr>
        <w:t>clear when a government agency</w:t>
      </w:r>
      <w:r>
        <w:rPr>
          <w:color w:val="auto"/>
        </w:rPr>
        <w:t xml:space="preserve"> </w:t>
      </w:r>
      <w:r w:rsidRPr="003D5FCB">
        <w:rPr>
          <w:color w:val="auto"/>
        </w:rPr>
        <w:t>is providing a “service” for th</w:t>
      </w:r>
      <w:r>
        <w:rPr>
          <w:color w:val="auto"/>
        </w:rPr>
        <w:t>is</w:t>
      </w:r>
      <w:r w:rsidRPr="003D5FCB">
        <w:rPr>
          <w:color w:val="auto"/>
        </w:rPr>
        <w:t xml:space="preserve"> purpose.</w:t>
      </w:r>
      <w:r w:rsidRPr="001D38E6">
        <w:rPr>
          <w:rStyle w:val="FootnoteReference"/>
          <w:color w:val="auto"/>
        </w:rPr>
        <w:footnoteReference w:id="569"/>
      </w:r>
      <w:r>
        <w:rPr>
          <w:color w:val="auto"/>
        </w:rPr>
        <w:t xml:space="preserve"> </w:t>
      </w:r>
    </w:p>
    <w:p w14:paraId="69668E1B" w14:textId="77777777" w:rsidR="000835D9" w:rsidRPr="00350808" w:rsidRDefault="000835D9" w:rsidP="000835D9">
      <w:pPr>
        <w:pStyle w:val="NormalAutoChapter"/>
        <w:rPr>
          <w:lang w:eastAsia="en-US"/>
        </w:rPr>
      </w:pPr>
      <w:r w:rsidRPr="00C73754">
        <w:rPr>
          <w:color w:val="auto"/>
        </w:rPr>
        <w:t xml:space="preserve">For example, </w:t>
      </w:r>
      <w:r w:rsidRPr="00C73754">
        <w:rPr>
          <w:color w:val="263238"/>
        </w:rPr>
        <w:t xml:space="preserve">police conducting the initial investigation of a complaint </w:t>
      </w:r>
      <w:r>
        <w:rPr>
          <w:color w:val="263238"/>
        </w:rPr>
        <w:t xml:space="preserve">has been found to be a </w:t>
      </w:r>
      <w:r w:rsidRPr="00C73754">
        <w:rPr>
          <w:color w:val="263238"/>
        </w:rPr>
        <w:t>“service” to victims. But whether the later stages of an investigation, including decisions about whether to arrest or prosecute, are “services” depends on each case.</w:t>
      </w:r>
      <w:r>
        <w:rPr>
          <w:rStyle w:val="FootnoteReference"/>
          <w:color w:val="263238"/>
        </w:rPr>
        <w:footnoteReference w:id="570"/>
      </w:r>
      <w:r w:rsidRPr="00C73754">
        <w:rPr>
          <w:color w:val="263238"/>
        </w:rPr>
        <w:t xml:space="preserve"> </w:t>
      </w:r>
    </w:p>
    <w:p w14:paraId="1E669952" w14:textId="77777777" w:rsidR="000835D9" w:rsidRPr="006678D2" w:rsidRDefault="000835D9" w:rsidP="000835D9">
      <w:pPr>
        <w:pStyle w:val="NormalAutoChapter"/>
        <w:rPr>
          <w:color w:val="auto"/>
        </w:rPr>
      </w:pPr>
      <w:r>
        <w:rPr>
          <w:color w:val="auto"/>
        </w:rPr>
        <w:t>S</w:t>
      </w:r>
      <w:r w:rsidRPr="00387885">
        <w:rPr>
          <w:color w:val="auto"/>
        </w:rPr>
        <w:t xml:space="preserve">ome </w:t>
      </w:r>
      <w:r>
        <w:rPr>
          <w:color w:val="auto"/>
        </w:rPr>
        <w:t>think</w:t>
      </w:r>
      <w:r w:rsidRPr="00387885">
        <w:rPr>
          <w:color w:val="auto"/>
        </w:rPr>
        <w:t xml:space="preserve"> </w:t>
      </w:r>
      <w:r>
        <w:rPr>
          <w:color w:val="auto"/>
        </w:rPr>
        <w:t>the ADA should expressly protect against discrimination in the administration of</w:t>
      </w:r>
      <w:r w:rsidRPr="00387885">
        <w:rPr>
          <w:color w:val="auto"/>
        </w:rPr>
        <w:t xml:space="preserve"> state laws and programs.</w:t>
      </w:r>
      <w:r w:rsidRPr="00387885">
        <w:rPr>
          <w:rStyle w:val="FootnoteReference"/>
          <w:color w:val="auto"/>
        </w:rPr>
        <w:footnoteReference w:id="571"/>
      </w:r>
      <w:r w:rsidRPr="00387885">
        <w:rPr>
          <w:color w:val="auto"/>
        </w:rPr>
        <w:t xml:space="preserve"> </w:t>
      </w:r>
      <w:r w:rsidRPr="001D38E6">
        <w:t xml:space="preserve">Many other discrimination laws </w:t>
      </w:r>
      <w:r>
        <w:t>do this</w:t>
      </w:r>
      <w:r w:rsidRPr="001D38E6">
        <w:t>.</w:t>
      </w:r>
      <w:r w:rsidRPr="001D38E6">
        <w:rPr>
          <w:rStyle w:val="FootnoteReference"/>
        </w:rPr>
        <w:footnoteReference w:id="572"/>
      </w:r>
      <w:r>
        <w:t xml:space="preserve"> </w:t>
      </w:r>
      <w:r w:rsidRPr="00387885">
        <w:rPr>
          <w:color w:val="auto"/>
        </w:rPr>
        <w:t>Th</w:t>
      </w:r>
      <w:r>
        <w:rPr>
          <w:color w:val="auto"/>
        </w:rPr>
        <w:t xml:space="preserve">e </w:t>
      </w:r>
      <w:r>
        <w:t xml:space="preserve">ADA itself prohibits sexual harassment in </w:t>
      </w:r>
      <w:r w:rsidRPr="001D38E6">
        <w:t>the administration of state laws and programs.</w:t>
      </w:r>
      <w:r w:rsidRPr="001D38E6">
        <w:rPr>
          <w:rStyle w:val="FootnoteReference"/>
        </w:rPr>
        <w:footnoteReference w:id="573"/>
      </w:r>
    </w:p>
    <w:p w14:paraId="6114ADC3" w14:textId="77777777" w:rsidR="000835D9" w:rsidRDefault="000835D9" w:rsidP="000835D9">
      <w:pPr>
        <w:pStyle w:val="NormalAutoChapter"/>
      </w:pPr>
      <w:r>
        <w:t>Similarly, i</w:t>
      </w:r>
      <w:r w:rsidRPr="001D38E6">
        <w:t>n 1999</w:t>
      </w:r>
      <w:r>
        <w:t>,</w:t>
      </w:r>
      <w:r w:rsidRPr="001D38E6">
        <w:t xml:space="preserve"> the NSWLRC</w:t>
      </w:r>
      <w:r>
        <w:t xml:space="preserve"> said that the government should have to comply with its own discrimination standards. It</w:t>
      </w:r>
      <w:r w:rsidRPr="001D38E6">
        <w:t xml:space="preserve"> recommended the </w:t>
      </w:r>
      <w:r>
        <w:t xml:space="preserve">ADA prohibit discrimination in the </w:t>
      </w:r>
      <w:r w:rsidRPr="001D38E6">
        <w:t xml:space="preserve">administration of state and local government laws and programs, </w:t>
      </w:r>
      <w:r>
        <w:t xml:space="preserve">and the </w:t>
      </w:r>
      <w:r w:rsidRPr="001D38E6">
        <w:t>functions and powers of local government</w:t>
      </w:r>
      <w:r>
        <w:t>.</w:t>
      </w:r>
      <w:r w:rsidRPr="001D38E6">
        <w:rPr>
          <w:rStyle w:val="FootnoteReference"/>
        </w:rPr>
        <w:footnoteReference w:id="574"/>
      </w:r>
      <w:r w:rsidRPr="001D38E6">
        <w:t xml:space="preserve"> </w:t>
      </w:r>
    </w:p>
    <w:p w14:paraId="715AFCE9" w14:textId="77777777" w:rsidR="000835D9" w:rsidRDefault="000835D9" w:rsidP="000835D9">
      <w:pPr>
        <w:pStyle w:val="NormalAutoChapter"/>
      </w:pPr>
      <w:r>
        <w:t xml:space="preserve">Another option could be to expand the definition of services to clearly include the </w:t>
      </w:r>
      <w:r w:rsidRPr="001D38E6">
        <w:t>administration of state and local government laws and programs</w:t>
      </w:r>
      <w:r>
        <w:t>.</w:t>
      </w:r>
    </w:p>
    <w:p w14:paraId="4AA56623" w14:textId="77777777" w:rsidR="000835D9" w:rsidRPr="0055299F" w:rsidRDefault="000835D9" w:rsidP="000835D9">
      <w:pPr>
        <w:pStyle w:val="Heading2"/>
      </w:pPr>
      <w:bookmarkStart w:id="280" w:name="_Toc196748359"/>
      <w:bookmarkStart w:id="281" w:name="_Toc196826892"/>
      <w:r w:rsidRPr="0055299F">
        <w:t>Requests for information</w:t>
      </w:r>
      <w:bookmarkEnd w:id="280"/>
      <w:bookmarkEnd w:id="281"/>
      <w:r w:rsidRPr="0055299F">
        <w:t xml:space="preserve"> </w:t>
      </w:r>
    </w:p>
    <w:p w14:paraId="464C3158" w14:textId="77777777" w:rsidR="000835D9" w:rsidRPr="00826DFB" w:rsidRDefault="000835D9" w:rsidP="000835D9">
      <w:pPr>
        <w:pStyle w:val="NormalAutoChapter"/>
        <w:rPr>
          <w:color w:val="auto"/>
        </w:rPr>
      </w:pPr>
      <w:r>
        <w:t>The ADA does not</w:t>
      </w:r>
      <w:r w:rsidDel="007165D3">
        <w:t xml:space="preserve"> </w:t>
      </w:r>
      <w:r>
        <w:t>protect against discriminatory requests for information. Some other states and territories do.</w:t>
      </w:r>
      <w:r>
        <w:rPr>
          <w:rStyle w:val="FootnoteReference"/>
        </w:rPr>
        <w:footnoteReference w:id="575"/>
      </w:r>
      <w:r>
        <w:t xml:space="preserve"> For example, in Queensland, requesting a birth </w:t>
      </w:r>
      <w:r>
        <w:lastRenderedPageBreak/>
        <w:t>date in a job application form has been found to be unlawful if it would be sufficient to ask if an applicant is over 18.</w:t>
      </w:r>
      <w:r>
        <w:rPr>
          <w:rStyle w:val="FootnoteReference"/>
        </w:rPr>
        <w:footnoteReference w:id="576"/>
      </w:r>
      <w:r>
        <w:t xml:space="preserve"> </w:t>
      </w:r>
    </w:p>
    <w:p w14:paraId="740DD4A2" w14:textId="77777777" w:rsidR="000835D9" w:rsidRPr="006C358A" w:rsidRDefault="000835D9" w:rsidP="000835D9">
      <w:pPr>
        <w:pStyle w:val="NormalAutoChapter"/>
        <w:rPr>
          <w:color w:val="auto"/>
        </w:rPr>
      </w:pPr>
      <w:r>
        <w:t xml:space="preserve">This area is also covered in federal discrimination law in relation to age, disability, and sex discrimination. This provides a measure of protection for people in NSW, but only in relation to those attributes. Under federal law, it is unlawful for a duty holder to request information </w:t>
      </w:r>
      <w:r w:rsidRPr="001D38E6">
        <w:t xml:space="preserve">from </w:t>
      </w:r>
      <w:r>
        <w:t xml:space="preserve">someone with a protected attribute </w:t>
      </w:r>
      <w:r w:rsidRPr="001D38E6">
        <w:t>if</w:t>
      </w:r>
      <w:r>
        <w:t xml:space="preserve"> the duty holder</w:t>
      </w:r>
      <w:r w:rsidRPr="001D38E6">
        <w:t>:</w:t>
      </w:r>
    </w:p>
    <w:p w14:paraId="51A3389F" w14:textId="77777777" w:rsidR="000835D9" w:rsidRDefault="000835D9" w:rsidP="000835D9">
      <w:pPr>
        <w:pStyle w:val="Normalbullet"/>
      </w:pPr>
      <w:r>
        <w:t xml:space="preserve">requires the information in connection with an act that constitutes unlawful discrimination </w:t>
      </w:r>
    </w:p>
    <w:p w14:paraId="7DC009A5" w14:textId="77777777" w:rsidR="000835D9" w:rsidRPr="007165D3" w:rsidRDefault="000835D9" w:rsidP="000835D9">
      <w:pPr>
        <w:pStyle w:val="Normalbullet"/>
      </w:pPr>
      <w:r w:rsidRPr="00923451">
        <w:t>n</w:t>
      </w:r>
      <w:r w:rsidRPr="007165D3">
        <w:t>eed</w:t>
      </w:r>
      <w:r w:rsidRPr="00923451">
        <w:t>s</w:t>
      </w:r>
      <w:r w:rsidRPr="007165D3">
        <w:t xml:space="preserve"> the information to discriminate against </w:t>
      </w:r>
      <w:r w:rsidRPr="00923451">
        <w:t>that person, and</w:t>
      </w:r>
    </w:p>
    <w:p w14:paraId="4B3EEFA2" w14:textId="77777777" w:rsidR="000835D9" w:rsidRDefault="000835D9" w:rsidP="000835D9">
      <w:pPr>
        <w:pStyle w:val="Normalbullet"/>
      </w:pPr>
      <w:r w:rsidRPr="007165D3">
        <w:t>would</w:t>
      </w:r>
      <w:r>
        <w:t xml:space="preserve"> </w:t>
      </w:r>
      <w:r w:rsidRPr="007165D3">
        <w:t>n</w:t>
      </w:r>
      <w:r>
        <w:t>o</w:t>
      </w:r>
      <w:r w:rsidRPr="007165D3">
        <w:t>t request the information from someone without that attribute</w:t>
      </w:r>
      <w:r>
        <w:t xml:space="preserve"> in the same circumstances.</w:t>
      </w:r>
      <w:r w:rsidRPr="001D38E6">
        <w:rPr>
          <w:rStyle w:val="FootnoteReference"/>
        </w:rPr>
        <w:footnoteReference w:id="577"/>
      </w:r>
    </w:p>
    <w:p w14:paraId="487BFAE2" w14:textId="77777777" w:rsidR="000835D9" w:rsidRDefault="000835D9" w:rsidP="000835D9">
      <w:pPr>
        <w:pStyle w:val="NormalAutoChapter"/>
      </w:pPr>
      <w:r>
        <w:t>The ACT provides another approach. The ACT prohibits requests for information in connection with an act that constitutes unlawful discrimination.</w:t>
      </w:r>
      <w:r w:rsidRPr="001D38E6">
        <w:rPr>
          <w:rStyle w:val="FootnoteReference"/>
          <w:color w:val="auto"/>
        </w:rPr>
        <w:footnoteReference w:id="578"/>
      </w:r>
      <w:r>
        <w:t xml:space="preserve"> However, unlike federal law, the ACT does not require a comparison with what the duty holder would have done to someone without that attribute. This might make the test simpler and easier to prove.</w:t>
      </w:r>
    </w:p>
    <w:p w14:paraId="5754928E" w14:textId="77777777" w:rsidR="000835D9" w:rsidRPr="001D38E6" w:rsidRDefault="000835D9" w:rsidP="000835D9">
      <w:pPr>
        <w:pStyle w:val="NormalAutoChapter"/>
      </w:pPr>
      <w:r>
        <w:t xml:space="preserve">Queensland takes a broader approach. It is </w:t>
      </w:r>
      <w:r w:rsidRPr="001D38E6">
        <w:t xml:space="preserve">unlawful to request information on which discrimination </w:t>
      </w:r>
      <w:r>
        <w:t xml:space="preserve">“might” </w:t>
      </w:r>
      <w:r w:rsidRPr="001D38E6">
        <w:t>be based.</w:t>
      </w:r>
      <w:r>
        <w:t xml:space="preserve"> However, it is a defence if the</w:t>
      </w:r>
      <w:r w:rsidRPr="001D38E6">
        <w:t xml:space="preserve"> respondent can prove the information was reasonably required for a </w:t>
      </w:r>
      <w:r>
        <w:t xml:space="preserve">non-discriminatory </w:t>
      </w:r>
      <w:r w:rsidRPr="001D38E6">
        <w:t>purpose.</w:t>
      </w:r>
      <w:r w:rsidRPr="001D38E6">
        <w:rPr>
          <w:rStyle w:val="FootnoteReference"/>
        </w:rPr>
        <w:footnoteReference w:id="579"/>
      </w:r>
      <w:r w:rsidRPr="001D38E6">
        <w:t xml:space="preserve"> </w:t>
      </w:r>
    </w:p>
    <w:p w14:paraId="62874559" w14:textId="77777777" w:rsidR="000835D9" w:rsidRDefault="000835D9" w:rsidP="000835D9">
      <w:pPr>
        <w:pStyle w:val="NormalAutoChapter"/>
      </w:pPr>
      <w:r>
        <w:t>This approach can capture a wider range of conduct than the federal law. This is because there is no requirement that the information be intended to be used for a discriminatory purpose. The LRCWA supported this model</w:t>
      </w:r>
      <w:r w:rsidRPr="001D38E6">
        <w:t>.</w:t>
      </w:r>
      <w:r w:rsidRPr="001D38E6">
        <w:rPr>
          <w:rStyle w:val="FootnoteReference"/>
        </w:rPr>
        <w:footnoteReference w:id="580"/>
      </w:r>
    </w:p>
    <w:p w14:paraId="7A7C5985" w14:textId="72DA4146" w:rsidR="000835D9" w:rsidRPr="001D38E6" w:rsidRDefault="000835D9" w:rsidP="000835D9">
      <w:pPr>
        <w:pStyle w:val="Heading2"/>
      </w:pPr>
      <w:bookmarkStart w:id="283" w:name="_Toc196748360"/>
      <w:bookmarkStart w:id="284" w:name="_Toc196826893"/>
      <w:r w:rsidRPr="001D38E6">
        <w:t xml:space="preserve">Sport </w:t>
      </w:r>
      <w:r>
        <w:t>and other competitions</w:t>
      </w:r>
      <w:bookmarkEnd w:id="283"/>
      <w:bookmarkEnd w:id="284"/>
    </w:p>
    <w:p w14:paraId="0F833CA1" w14:textId="77777777" w:rsidR="000835D9" w:rsidRDefault="000835D9" w:rsidP="000835D9">
      <w:pPr>
        <w:pStyle w:val="NormalAutoChapter"/>
        <w:rPr>
          <w:color w:val="auto"/>
        </w:rPr>
      </w:pPr>
      <w:r w:rsidRPr="0011163D">
        <w:rPr>
          <w:color w:val="auto"/>
        </w:rPr>
        <w:t>The ADA does not expressly include sport as an area of public life</w:t>
      </w:r>
      <w:r>
        <w:rPr>
          <w:color w:val="auto"/>
        </w:rPr>
        <w:t xml:space="preserve"> in which discrimination is prohibited. This is different to sexual harassment, in which the ADA’s protections extend to people engaged in sporting activities</w:t>
      </w:r>
      <w:r w:rsidRPr="0011163D">
        <w:rPr>
          <w:color w:val="auto"/>
        </w:rPr>
        <w:t>.</w:t>
      </w:r>
      <w:r>
        <w:rPr>
          <w:rStyle w:val="FootnoteReference"/>
          <w:color w:val="auto"/>
        </w:rPr>
        <w:footnoteReference w:id="581"/>
      </w:r>
      <w:r>
        <w:rPr>
          <w:color w:val="auto"/>
        </w:rPr>
        <w:t xml:space="preserve"> </w:t>
      </w:r>
    </w:p>
    <w:p w14:paraId="38B9A2F6" w14:textId="77777777" w:rsidR="000835D9" w:rsidRDefault="000835D9" w:rsidP="000835D9">
      <w:pPr>
        <w:pStyle w:val="NormalAutoChapter"/>
        <w:rPr>
          <w:color w:val="auto"/>
        </w:rPr>
      </w:pPr>
      <w:r>
        <w:rPr>
          <w:color w:val="auto"/>
        </w:rPr>
        <w:lastRenderedPageBreak/>
        <w:t>In relation to discrimination, p</w:t>
      </w:r>
      <w:r w:rsidRPr="0011163D">
        <w:rPr>
          <w:color w:val="auto"/>
        </w:rPr>
        <w:t xml:space="preserve">articipation </w:t>
      </w:r>
      <w:r>
        <w:rPr>
          <w:color w:val="auto"/>
        </w:rPr>
        <w:t>in sport</w:t>
      </w:r>
      <w:r w:rsidRPr="0011163D">
        <w:rPr>
          <w:color w:val="auto"/>
        </w:rPr>
        <w:t xml:space="preserve"> may </w:t>
      </w:r>
      <w:r>
        <w:rPr>
          <w:color w:val="auto"/>
        </w:rPr>
        <w:t>be covered</w:t>
      </w:r>
      <w:r w:rsidRPr="0011163D">
        <w:rPr>
          <w:color w:val="auto"/>
        </w:rPr>
        <w:t xml:space="preserve"> indirectly </w:t>
      </w:r>
      <w:r>
        <w:rPr>
          <w:color w:val="auto"/>
        </w:rPr>
        <w:t>by other areas of public life in some cases. For instance, when it is a</w:t>
      </w:r>
      <w:r w:rsidRPr="0011163D">
        <w:rPr>
          <w:color w:val="auto"/>
        </w:rPr>
        <w:t xml:space="preserve"> benefit provided by a registered club.</w:t>
      </w:r>
      <w:r w:rsidRPr="001D38E6">
        <w:rPr>
          <w:rStyle w:val="FootnoteReference"/>
          <w:color w:val="auto"/>
        </w:rPr>
        <w:footnoteReference w:id="582"/>
      </w:r>
      <w:r w:rsidRPr="0011163D">
        <w:rPr>
          <w:color w:val="auto"/>
        </w:rPr>
        <w:t xml:space="preserve"> </w:t>
      </w:r>
    </w:p>
    <w:p w14:paraId="44AD933B" w14:textId="77777777" w:rsidR="000835D9" w:rsidRDefault="000835D9" w:rsidP="000835D9">
      <w:pPr>
        <w:pStyle w:val="NormalAutoChapter"/>
      </w:pPr>
      <w:r>
        <w:rPr>
          <w:color w:val="auto"/>
        </w:rPr>
        <w:t>Also, sport may also be considered a “service” if it relates to “</w:t>
      </w:r>
      <w:r w:rsidRPr="00E40816">
        <w:rPr>
          <w:color w:val="auto"/>
        </w:rPr>
        <w:t>entertainment, recreation or refreshment</w:t>
      </w:r>
      <w:r>
        <w:rPr>
          <w:color w:val="auto"/>
        </w:rPr>
        <w:t>”.</w:t>
      </w:r>
      <w:r>
        <w:rPr>
          <w:rStyle w:val="FootnoteReference"/>
          <w:color w:val="auto"/>
        </w:rPr>
        <w:footnoteReference w:id="583"/>
      </w:r>
      <w:r>
        <w:rPr>
          <w:color w:val="auto"/>
        </w:rPr>
        <w:t xml:space="preserve"> Similar terms in t</w:t>
      </w:r>
      <w:r w:rsidRPr="001C4D00">
        <w:rPr>
          <w:color w:val="auto"/>
        </w:rPr>
        <w:t xml:space="preserve">he </w:t>
      </w:r>
      <w:r w:rsidRPr="00497A4B">
        <w:rPr>
          <w:i/>
          <w:iCs/>
          <w:color w:val="auto"/>
        </w:rPr>
        <w:t>Sex Discrimination Act</w:t>
      </w:r>
      <w:r w:rsidRPr="001C4D00">
        <w:rPr>
          <w:color w:val="auto"/>
        </w:rPr>
        <w:t xml:space="preserve"> </w:t>
      </w:r>
      <w:r>
        <w:rPr>
          <w:color w:val="auto"/>
        </w:rPr>
        <w:t>have been found to include the facilitation of participation in a sailing event</w:t>
      </w:r>
      <w:r w:rsidRPr="001C4D00">
        <w:rPr>
          <w:color w:val="auto"/>
        </w:rPr>
        <w:t>.</w:t>
      </w:r>
      <w:r>
        <w:rPr>
          <w:rStyle w:val="FootnoteReference"/>
          <w:color w:val="auto"/>
        </w:rPr>
        <w:footnoteReference w:id="584"/>
      </w:r>
      <w:r>
        <w:t xml:space="preserve"> </w:t>
      </w:r>
    </w:p>
    <w:p w14:paraId="51F60C6F" w14:textId="77777777" w:rsidR="000835D9" w:rsidRDefault="000835D9" w:rsidP="000835D9">
      <w:pPr>
        <w:pStyle w:val="NormalAutoChapter"/>
      </w:pPr>
      <w:r>
        <w:rPr>
          <w:color w:val="auto"/>
        </w:rPr>
        <w:t>However, there could be benefits to expressly clarifying that sport is a protected area.</w:t>
      </w:r>
      <w:r>
        <w:t xml:space="preserve"> One option could be to expressly list sports as a “service”, which forms part of the goods and services area of public life. The NT and Queensland take this approach.</w:t>
      </w:r>
      <w:r>
        <w:rPr>
          <w:rStyle w:val="FootnoteReference"/>
        </w:rPr>
        <w:footnoteReference w:id="585"/>
      </w:r>
      <w:r>
        <w:t xml:space="preserve"> </w:t>
      </w:r>
    </w:p>
    <w:p w14:paraId="6747DB88" w14:textId="77777777" w:rsidR="000835D9" w:rsidRDefault="000835D9" w:rsidP="000835D9">
      <w:pPr>
        <w:pStyle w:val="NormalAutoChapter"/>
      </w:pPr>
      <w:r>
        <w:t xml:space="preserve">Another option could be to recognise sport as a distinct protected area. The ACT, Victoria and the </w:t>
      </w:r>
      <w:r w:rsidRPr="00DD6F31">
        <w:rPr>
          <w:i/>
          <w:iCs/>
        </w:rPr>
        <w:t>Disability Discrimination Act</w:t>
      </w:r>
      <w:r>
        <w:t xml:space="preserve"> take this approach.</w:t>
      </w:r>
      <w:r w:rsidRPr="001D38E6">
        <w:rPr>
          <w:rStyle w:val="FootnoteReference"/>
        </w:rPr>
        <w:footnoteReference w:id="586"/>
      </w:r>
      <w:r>
        <w:t xml:space="preserve"> In the </w:t>
      </w:r>
      <w:r w:rsidRPr="001D38E6">
        <w:t>ACT</w:t>
      </w:r>
      <w:r>
        <w:t>, for example,</w:t>
      </w:r>
      <w:r w:rsidRPr="001D38E6">
        <w:t xml:space="preserve"> </w:t>
      </w:r>
      <w:r>
        <w:t>people responsib</w:t>
      </w:r>
      <w:r w:rsidRPr="001D38E6">
        <w:t xml:space="preserve">le for </w:t>
      </w:r>
      <w:r>
        <w:t>running “</w:t>
      </w:r>
      <w:r w:rsidRPr="001D38E6">
        <w:t>formally organised</w:t>
      </w:r>
      <w:r>
        <w:t>”</w:t>
      </w:r>
      <w:r w:rsidRPr="001D38E6">
        <w:t xml:space="preserve"> sporting activities </w:t>
      </w:r>
      <w:r>
        <w:t xml:space="preserve">cannot </w:t>
      </w:r>
      <w:r w:rsidRPr="001D38E6">
        <w:t xml:space="preserve">discriminate against </w:t>
      </w:r>
      <w:r>
        <w:t>someone with a protected attribute in relation to their participation in those activities</w:t>
      </w:r>
      <w:r w:rsidRPr="001D38E6">
        <w:t>.</w:t>
      </w:r>
      <w:r>
        <w:t xml:space="preserve"> </w:t>
      </w:r>
    </w:p>
    <w:p w14:paraId="4ABDEF1C" w14:textId="77777777" w:rsidR="000835D9" w:rsidRPr="000835D9" w:rsidRDefault="000835D9" w:rsidP="000835D9">
      <w:pPr>
        <w:pStyle w:val="NormalAutoChapter"/>
        <w:rPr>
          <w:strike/>
          <w:color w:val="000000" w:themeColor="text1"/>
        </w:rPr>
      </w:pPr>
      <w:r w:rsidRPr="000835D9">
        <w:rPr>
          <w:color w:val="000000" w:themeColor="text1"/>
        </w:rPr>
        <w:t>Examples of “formally organised” sporting activities include basketball competitions organised by a private school, and dodgeball league matches. It does not cover informally organised sport, such as a backyard cricket match.</w:t>
      </w:r>
      <w:r w:rsidRPr="000835D9">
        <w:rPr>
          <w:rStyle w:val="FootnoteReference"/>
          <w:color w:val="000000" w:themeColor="text1"/>
        </w:rPr>
        <w:footnoteReference w:id="587"/>
      </w:r>
    </w:p>
    <w:p w14:paraId="738AE4ED" w14:textId="77777777" w:rsidR="000835D9" w:rsidRPr="0092248B" w:rsidRDefault="000835D9" w:rsidP="000835D9">
      <w:pPr>
        <w:pStyle w:val="NormalAutoChapter"/>
        <w:rPr>
          <w:color w:val="auto"/>
        </w:rPr>
      </w:pPr>
      <w:r w:rsidRPr="00E54086">
        <w:rPr>
          <w:color w:val="auto"/>
        </w:rPr>
        <w:t xml:space="preserve">Other </w:t>
      </w:r>
      <w:r>
        <w:rPr>
          <w:color w:val="auto"/>
        </w:rPr>
        <w:t xml:space="preserve">discrimination </w:t>
      </w:r>
      <w:r w:rsidRPr="00E54086">
        <w:rPr>
          <w:color w:val="auto"/>
        </w:rPr>
        <w:t xml:space="preserve">laws </w:t>
      </w:r>
      <w:r>
        <w:rPr>
          <w:color w:val="auto"/>
        </w:rPr>
        <w:t>do not</w:t>
      </w:r>
      <w:r w:rsidRPr="00E54086">
        <w:rPr>
          <w:color w:val="auto"/>
        </w:rPr>
        <w:t xml:space="preserve"> </w:t>
      </w:r>
      <w:r>
        <w:rPr>
          <w:color w:val="auto"/>
        </w:rPr>
        <w:t>distinguish</w:t>
      </w:r>
      <w:r w:rsidRPr="00E54086">
        <w:rPr>
          <w:color w:val="auto"/>
        </w:rPr>
        <w:t xml:space="preserve"> between formal and informal sp</w:t>
      </w:r>
      <w:r>
        <w:rPr>
          <w:color w:val="auto"/>
        </w:rPr>
        <w:t>orting activities</w:t>
      </w:r>
      <w:r w:rsidRPr="0092248B">
        <w:rPr>
          <w:color w:val="auto"/>
        </w:rPr>
        <w:t>. In Victoria, a person must not discriminate against someone by:</w:t>
      </w:r>
    </w:p>
    <w:p w14:paraId="327D5D8C" w14:textId="77777777" w:rsidR="000835D9" w:rsidRPr="002050D7" w:rsidRDefault="000835D9" w:rsidP="000835D9">
      <w:pPr>
        <w:pStyle w:val="Normalbullet"/>
      </w:pPr>
      <w:r w:rsidRPr="002050D7">
        <w:t>refusing or failing to select them in a sporting team, or</w:t>
      </w:r>
    </w:p>
    <w:p w14:paraId="0E7A8AAC" w14:textId="77777777" w:rsidR="000835D9" w:rsidRDefault="000835D9" w:rsidP="000835D9">
      <w:pPr>
        <w:pStyle w:val="Normalbullet"/>
      </w:pPr>
      <w:r w:rsidRPr="002050D7">
        <w:t xml:space="preserve">excluding them from </w:t>
      </w:r>
      <w:r>
        <w:t>participating in a sport activity.</w:t>
      </w:r>
      <w:r>
        <w:rPr>
          <w:rStyle w:val="FootnoteReference"/>
        </w:rPr>
        <w:footnoteReference w:id="588"/>
      </w:r>
    </w:p>
    <w:p w14:paraId="0E268E8D" w14:textId="77777777" w:rsidR="000835D9" w:rsidRPr="001D38E6" w:rsidRDefault="000835D9" w:rsidP="000835D9">
      <w:pPr>
        <w:pStyle w:val="NormalAutoChapter"/>
      </w:pPr>
      <w:r w:rsidRPr="00AD20BB">
        <w:rPr>
          <w:color w:val="auto"/>
        </w:rPr>
        <w:t>A related issue is whether non-sporting competitions should be recognised as a protected area. Only the ACT prohibits discrimination in other,</w:t>
      </w:r>
      <w:r>
        <w:t xml:space="preserve"> </w:t>
      </w:r>
      <w:r w:rsidRPr="001D38E6">
        <w:t>formally organised competitio</w:t>
      </w:r>
      <w:r>
        <w:t>ns.</w:t>
      </w:r>
      <w:r w:rsidRPr="001D38E6">
        <w:t xml:space="preserve"> </w:t>
      </w:r>
      <w:r>
        <w:t xml:space="preserve">Examples of this might include a radio singing contest, a children’s </w:t>
      </w:r>
      <w:r w:rsidRPr="001D38E6">
        <w:t>chess competition</w:t>
      </w:r>
      <w:r>
        <w:t xml:space="preserve"> or a not-for-profit short film festival.</w:t>
      </w:r>
      <w:r w:rsidRPr="001D38E6">
        <w:rPr>
          <w:rStyle w:val="FootnoteReference"/>
        </w:rPr>
        <w:footnoteReference w:id="589"/>
      </w:r>
      <w:r w:rsidRPr="001D38E6">
        <w:t xml:space="preserve"> </w:t>
      </w:r>
    </w:p>
    <w:p w14:paraId="7837752F" w14:textId="77777777" w:rsidR="000835D9" w:rsidRPr="001D38E6" w:rsidRDefault="000835D9" w:rsidP="000835D9">
      <w:pPr>
        <w:pStyle w:val="NormalAutoChapter"/>
      </w:pPr>
      <w:r>
        <w:lastRenderedPageBreak/>
        <w:t xml:space="preserve">The ADA currently </w:t>
      </w:r>
      <w:r>
        <w:rPr>
          <w:color w:val="auto"/>
        </w:rPr>
        <w:t>excludes certain conduct relating to sport from the protections against discrimination (and where relevant, vilification).</w:t>
      </w:r>
      <w:r>
        <w:rPr>
          <w:rStyle w:val="FootnoteReference"/>
          <w:color w:val="auto"/>
        </w:rPr>
        <w:footnoteReference w:id="590"/>
      </w:r>
      <w:r>
        <w:rPr>
          <w:color w:val="auto"/>
        </w:rPr>
        <w:t xml:space="preserve"> Exceptions for sport also apply in other discrimination laws across Australia, including those that expressly protect against discrimination in sport. We consider exceptions relating to sport in more detail in </w:t>
      </w:r>
      <w:r w:rsidRPr="005A3EBE">
        <w:rPr>
          <w:color w:val="auto"/>
        </w:rPr>
        <w:t>chapter 7.</w:t>
      </w:r>
    </w:p>
    <w:p w14:paraId="02979499" w14:textId="77777777" w:rsidR="000835D9" w:rsidRDefault="000835D9" w:rsidP="000835D9">
      <w:pPr>
        <w:pStyle w:val="Heading2"/>
      </w:pPr>
      <w:bookmarkStart w:id="286" w:name="_Toc196748361"/>
      <w:bookmarkStart w:id="287" w:name="_Toc196826894"/>
      <w:r w:rsidRPr="000F03C1">
        <w:t>Strata committees and owners</w:t>
      </w:r>
      <w:r>
        <w:t>’</w:t>
      </w:r>
      <w:r w:rsidRPr="000F03C1">
        <w:t xml:space="preserve"> corporations</w:t>
      </w:r>
      <w:bookmarkEnd w:id="286"/>
      <w:bookmarkEnd w:id="287"/>
      <w:r w:rsidRPr="000F03C1">
        <w:t xml:space="preserve"> </w:t>
      </w:r>
    </w:p>
    <w:p w14:paraId="0C2C6343" w14:textId="77777777" w:rsidR="000835D9" w:rsidRDefault="000835D9" w:rsidP="000835D9">
      <w:pPr>
        <w:pStyle w:val="NormalAutoChapter"/>
      </w:pPr>
      <w:r>
        <w:t xml:space="preserve">The ADA does not cover the acts of </w:t>
      </w:r>
      <w:r w:rsidRPr="001D38E6">
        <w:t>strata committees and owners</w:t>
      </w:r>
      <w:r>
        <w:t>’</w:t>
      </w:r>
      <w:r w:rsidRPr="001D38E6">
        <w:t xml:space="preserve"> corporations</w:t>
      </w:r>
      <w:r>
        <w:t>, unless they are a “service”.</w:t>
      </w:r>
      <w:r w:rsidRPr="001D38E6">
        <w:rPr>
          <w:rStyle w:val="FootnoteReference"/>
          <w:lang w:eastAsia="en-US"/>
        </w:rPr>
        <w:footnoteReference w:id="591"/>
      </w:r>
      <w:r w:rsidRPr="001D38E6">
        <w:t xml:space="preserve"> </w:t>
      </w:r>
      <w:r>
        <w:t>While some of their functions may be considered a service, no court or tribunal has said that general strata management is a service.</w:t>
      </w:r>
      <w:r>
        <w:rPr>
          <w:rStyle w:val="FootnoteReference"/>
        </w:rPr>
        <w:footnoteReference w:id="592"/>
      </w:r>
      <w:r>
        <w:t xml:space="preserve"> No other state, territory or federal discrimination law provides a general protection against discrimination by strata committees or owners’ corporations.</w:t>
      </w:r>
    </w:p>
    <w:p w14:paraId="1DE8C53B" w14:textId="77777777" w:rsidR="000835D9" w:rsidRDefault="000835D9" w:rsidP="000835D9">
      <w:pPr>
        <w:pStyle w:val="NormalAutoChapter"/>
      </w:pPr>
      <w:r>
        <w:t xml:space="preserve">Some argue this should be addressed in the ADA. Many people own or live in strata and community-titled property. Strata committees and owners’ corporations can have a significant impact on people’s lives. Owners’ corporations control the common property in a </w:t>
      </w:r>
      <w:proofErr w:type="gramStart"/>
      <w:r>
        <w:t>strata</w:t>
      </w:r>
      <w:proofErr w:type="gramEnd"/>
      <w:r>
        <w:t xml:space="preserve"> titled property, which includes shared areas, entrance ways and stairs. </w:t>
      </w:r>
    </w:p>
    <w:p w14:paraId="05E32246" w14:textId="77777777" w:rsidR="000835D9" w:rsidRDefault="000835D9" w:rsidP="000835D9">
      <w:pPr>
        <w:pStyle w:val="NormalAutoChapter"/>
      </w:pPr>
      <w:r>
        <w:t xml:space="preserve">A person with disability may require an alteration to common property to get to their apartment, like a ramp or a device to open a door automatically. Currently, alterations to common property must be agreed through a </w:t>
      </w:r>
      <w:r w:rsidRPr="00AB48DA">
        <w:t>special resolution</w:t>
      </w:r>
      <w:r w:rsidRPr="00992A67">
        <w:rPr>
          <w:color w:val="auto"/>
        </w:rPr>
        <w:t>. This requires the support of 75% of voters.</w:t>
      </w:r>
      <w:r w:rsidRPr="00992A67">
        <w:rPr>
          <w:rStyle w:val="FootnoteReference"/>
          <w:color w:val="auto"/>
        </w:rPr>
        <w:footnoteReference w:id="593"/>
      </w:r>
      <w:r w:rsidRPr="00992A67">
        <w:rPr>
          <w:color w:val="auto"/>
        </w:rPr>
        <w:t xml:space="preserve"> </w:t>
      </w:r>
      <w:r>
        <w:t>But because owners’ corporations are not generally subject to the ADA, failing to provide an adjustment is not considered unlawful discrimination.</w:t>
      </w:r>
    </w:p>
    <w:p w14:paraId="75A68459" w14:textId="77777777" w:rsidR="000835D9" w:rsidRDefault="000835D9" w:rsidP="000835D9">
      <w:pPr>
        <w:pStyle w:val="NormalAutoChapter"/>
      </w:pPr>
      <w:r>
        <w:t>In Victoria, owners’ corporations must allow an owner or an occupier with a disability to make reasonable adjustments to common property to meet their needs, if certain conditions are met.</w:t>
      </w:r>
      <w:r>
        <w:rPr>
          <w:rStyle w:val="FootnoteReference"/>
        </w:rPr>
        <w:footnoteReference w:id="594"/>
      </w:r>
      <w:r>
        <w:t xml:space="preserve"> However, this only protects people with disability and not people with other attributes. For example, it would not address issues with body corporates banning breastfeeding on common property, children from using a shared swimming pool, or owners from displaying gay pride flags on their balconies.</w:t>
      </w:r>
      <w:r>
        <w:rPr>
          <w:rStyle w:val="FootnoteReference"/>
          <w:szCs w:val="22"/>
        </w:rPr>
        <w:footnoteReference w:id="595"/>
      </w:r>
      <w:r>
        <w:t xml:space="preserve"> </w:t>
      </w:r>
    </w:p>
    <w:p w14:paraId="10303346" w14:textId="77777777" w:rsidR="000835D9" w:rsidRDefault="000835D9" w:rsidP="000835D9">
      <w:pPr>
        <w:pStyle w:val="NormalAutoChapter"/>
      </w:pPr>
      <w:r>
        <w:lastRenderedPageBreak/>
        <w:t>One way the ADA could address this gap would be to extend its coverage to services and facilities associated with land and accommodation. This could include services provided by strata schemes to owners and residents. This would go further than the Victorian approach and would apply to individually owned lots too.</w:t>
      </w:r>
      <w:r>
        <w:rPr>
          <w:rStyle w:val="FootnoteReference"/>
        </w:rPr>
        <w:footnoteReference w:id="596"/>
      </w:r>
      <w:r>
        <w:t xml:space="preserve"> It could also protect people with other attributes, not just disability. </w:t>
      </w:r>
    </w:p>
    <w:p w14:paraId="242BB3B6" w14:textId="77777777" w:rsidR="000835D9" w:rsidRPr="000B14A9" w:rsidRDefault="000835D9" w:rsidP="000835D9">
      <w:pPr>
        <w:pStyle w:val="Recommendationheading"/>
      </w:pPr>
      <w:r w:rsidRPr="000B14A9">
        <w:t>Question 6.1</w:t>
      </w:r>
      <w:r>
        <w:t>2</w:t>
      </w:r>
      <w:r w:rsidRPr="000B14A9">
        <w:t>: Additional areas of public life</w:t>
      </w:r>
    </w:p>
    <w:p w14:paraId="3B9A1832" w14:textId="77777777" w:rsidR="000835D9" w:rsidRPr="00B84470" w:rsidRDefault="000835D9" w:rsidP="000835D9">
      <w:pPr>
        <w:pStyle w:val="Recommendationhanging1"/>
      </w:pPr>
      <w:r>
        <w:t>(</w:t>
      </w:r>
      <w:r w:rsidRPr="00B84470">
        <w:t>1)</w:t>
      </w:r>
      <w:r w:rsidRPr="00B84470">
        <w:tab/>
        <w:t>Should the ADA apply generally “in any area of public life”? Why or why not?</w:t>
      </w:r>
    </w:p>
    <w:p w14:paraId="219F1028" w14:textId="77777777" w:rsidR="000835D9" w:rsidRPr="00B84470" w:rsidRDefault="000835D9" w:rsidP="000835D9">
      <w:pPr>
        <w:pStyle w:val="Recommendationhanging1"/>
      </w:pPr>
      <w:r w:rsidRPr="00B84470">
        <w:t>(2)</w:t>
      </w:r>
      <w:r w:rsidRPr="00B84470">
        <w:tab/>
        <w:t>Should the ADA specifically cover any additional protected areas? Why or why not? If yes, what area(s) should be added and why?</w:t>
      </w:r>
    </w:p>
    <w:bookmarkEnd w:id="221"/>
    <w:p w14:paraId="6E3B87C6" w14:textId="0EFF7434" w:rsidR="00C72168" w:rsidRDefault="00C72168" w:rsidP="000835D9">
      <w:pPr>
        <w:pStyle w:val="NormalAutoChapter"/>
        <w:numPr>
          <w:ilvl w:val="0"/>
          <w:numId w:val="0"/>
        </w:numPr>
        <w:rPr>
          <w:lang w:eastAsia="en-US"/>
        </w:rPr>
      </w:pPr>
      <w:r>
        <w:rPr>
          <w:lang w:eastAsia="en-US"/>
        </w:rPr>
        <w:br w:type="page"/>
      </w:r>
    </w:p>
    <w:p w14:paraId="79199D91" w14:textId="77777777" w:rsidR="000835D9" w:rsidRPr="001D38E6" w:rsidRDefault="000835D9" w:rsidP="000835D9">
      <w:pPr>
        <w:pStyle w:val="NormalAutoChapter"/>
        <w:numPr>
          <w:ilvl w:val="0"/>
          <w:numId w:val="0"/>
        </w:numPr>
        <w:rPr>
          <w:lang w:eastAsia="en-US"/>
        </w:rPr>
      </w:pPr>
    </w:p>
    <w:p w14:paraId="3A070BCC" w14:textId="77777777" w:rsidR="000835D9" w:rsidRDefault="000835D9" w:rsidP="00F41119">
      <w:pPr>
        <w:sectPr w:rsidR="000835D9" w:rsidSect="00744F61">
          <w:footnotePr>
            <w:numRestart w:val="eachSect"/>
          </w:footnotePr>
          <w:pgSz w:w="11906" w:h="16838" w:code="9"/>
          <w:pgMar w:top="1701" w:right="1304" w:bottom="1021" w:left="1304" w:header="567" w:footer="567" w:gutter="0"/>
          <w:cols w:space="708"/>
          <w:docGrid w:linePitch="360"/>
        </w:sectPr>
      </w:pPr>
    </w:p>
    <w:p w14:paraId="65F6C217" w14:textId="77777777" w:rsidR="006A1316" w:rsidRDefault="006A1316" w:rsidP="006A1316">
      <w:pPr>
        <w:pStyle w:val="ChapterHeading"/>
      </w:pPr>
      <w:bookmarkStart w:id="289" w:name="_Toc196826895"/>
      <w:r>
        <w:lastRenderedPageBreak/>
        <w:t>Wider exceptions</w:t>
      </w:r>
      <w:bookmarkEnd w:id="289"/>
      <w:r>
        <w:t xml:space="preserve"> </w:t>
      </w:r>
    </w:p>
    <w:p w14:paraId="4680D807" w14:textId="77777777" w:rsidR="006A1316" w:rsidRDefault="006A1316" w:rsidP="00B55200">
      <w:pPr>
        <w:pStyle w:val="InBriefHeading"/>
        <w:spacing w:after="0"/>
      </w:pPr>
      <w:r>
        <w:t>In brief</w:t>
      </w:r>
    </w:p>
    <w:p w14:paraId="57EC5F0E" w14:textId="77777777" w:rsidR="006A1316" w:rsidRPr="00815EFA" w:rsidRDefault="006A1316" w:rsidP="00B55200">
      <w:pPr>
        <w:pStyle w:val="InBriefText"/>
        <w:spacing w:before="0"/>
      </w:pPr>
      <w:r w:rsidRPr="004B4ABC">
        <w:t>Th</w:t>
      </w:r>
      <w:r>
        <w:t xml:space="preserve">e </w:t>
      </w:r>
      <w:r w:rsidRPr="00D16AEA">
        <w:rPr>
          <w:i/>
          <w:iCs/>
        </w:rPr>
        <w:t>Anti-Discrimination Act 1977</w:t>
      </w:r>
      <w:r>
        <w:t xml:space="preserve"> (NSW) contains many exceptions, s</w:t>
      </w:r>
      <w:r w:rsidRPr="00776194">
        <w:t xml:space="preserve">ome of </w:t>
      </w:r>
      <w:r>
        <w:t>which apply across the Act. Others</w:t>
      </w:r>
      <w:r w:rsidRPr="00776194">
        <w:t xml:space="preserve"> only apply to discrimination, but across a range of protected areas and attributes.</w:t>
      </w:r>
      <w:r>
        <w:t xml:space="preserve"> We ask if these exceptions are appropriate and outline some possible reform options.</w:t>
      </w:r>
    </w:p>
    <w:bookmarkStart w:id="290" w:name="_Hlk196319718"/>
    <w:p w14:paraId="2207861D" w14:textId="6A1A31C1" w:rsidR="006A1316" w:rsidRPr="00B55200" w:rsidRDefault="006A1316" w:rsidP="006A1316">
      <w:pPr>
        <w:pStyle w:val="TOC2"/>
        <w:rPr>
          <w:rFonts w:eastAsiaTheme="minorEastAsia" w:cstheme="minorBidi"/>
          <w:b w:val="0"/>
          <w:color w:val="auto"/>
          <w:kern w:val="2"/>
          <w:sz w:val="24"/>
          <w:u w:val="none"/>
          <w:lang w:eastAsia="en-AU"/>
          <w14:ligatures w14:val="standardContextual"/>
        </w:rPr>
      </w:pPr>
      <w:r>
        <w:fldChar w:fldCharType="begin"/>
      </w:r>
      <w:r>
        <w:instrText xml:space="preserve"> TOC \h \z \t "Heading 1,2,Heading 2,3,Heading - Major,1,Heading default,1,Title page 1,1" </w:instrText>
      </w:r>
      <w:r>
        <w:fldChar w:fldCharType="separate"/>
      </w:r>
      <w:hyperlink w:anchor="_Toc196742759" w:history="1">
        <w:r w:rsidRPr="00B55200">
          <w:rPr>
            <w:rStyle w:val="Hyperlink"/>
            <w:rFonts w:ascii="Public Sans" w:hAnsi="Public Sans"/>
          </w:rPr>
          <w:t>Religious bodies</w:t>
        </w:r>
        <w:r w:rsidRPr="00B55200">
          <w:rPr>
            <w:webHidden/>
          </w:rPr>
          <w:tab/>
        </w:r>
        <w:r w:rsidRPr="00B55200">
          <w:rPr>
            <w:webHidden/>
          </w:rPr>
          <w:fldChar w:fldCharType="begin"/>
        </w:r>
        <w:r w:rsidRPr="00B55200">
          <w:rPr>
            <w:webHidden/>
          </w:rPr>
          <w:instrText xml:space="preserve"> PAGEREF _Toc196742759 \h </w:instrText>
        </w:r>
        <w:r w:rsidRPr="00B55200">
          <w:rPr>
            <w:webHidden/>
          </w:rPr>
        </w:r>
        <w:r w:rsidRPr="00B55200">
          <w:rPr>
            <w:webHidden/>
          </w:rPr>
          <w:fldChar w:fldCharType="separate"/>
        </w:r>
        <w:r w:rsidR="00F44BFC">
          <w:rPr>
            <w:webHidden/>
          </w:rPr>
          <w:t>130</w:t>
        </w:r>
        <w:r w:rsidRPr="00B55200">
          <w:rPr>
            <w:webHidden/>
          </w:rPr>
          <w:fldChar w:fldCharType="end"/>
        </w:r>
      </w:hyperlink>
    </w:p>
    <w:p w14:paraId="15B0BAD7" w14:textId="640E01A2" w:rsidR="006A1316" w:rsidRPr="00B55200" w:rsidRDefault="006A1316" w:rsidP="006A1316">
      <w:pPr>
        <w:pStyle w:val="TOC3"/>
        <w:rPr>
          <w:rFonts w:eastAsiaTheme="minorEastAsia" w:cstheme="minorBidi"/>
          <w:color w:val="auto"/>
          <w:kern w:val="2"/>
          <w:sz w:val="24"/>
          <w:u w:val="none"/>
          <w:lang w:eastAsia="en-AU"/>
          <w14:ligatures w14:val="standardContextual"/>
        </w:rPr>
      </w:pPr>
      <w:hyperlink w:anchor="_Toc196742760" w:history="1">
        <w:r w:rsidRPr="00B55200">
          <w:rPr>
            <w:rStyle w:val="Hyperlink"/>
            <w:rFonts w:ascii="Public Sans" w:hAnsi="Public Sans"/>
          </w:rPr>
          <w:t>Training and appointing religious personnel</w:t>
        </w:r>
        <w:r w:rsidRPr="00B55200">
          <w:rPr>
            <w:webHidden/>
          </w:rPr>
          <w:tab/>
        </w:r>
        <w:r w:rsidRPr="00B55200">
          <w:rPr>
            <w:webHidden/>
          </w:rPr>
          <w:fldChar w:fldCharType="begin"/>
        </w:r>
        <w:r w:rsidRPr="00B55200">
          <w:rPr>
            <w:webHidden/>
          </w:rPr>
          <w:instrText xml:space="preserve"> PAGEREF _Toc196742760 \h </w:instrText>
        </w:r>
        <w:r w:rsidRPr="00B55200">
          <w:rPr>
            <w:webHidden/>
          </w:rPr>
        </w:r>
        <w:r w:rsidRPr="00B55200">
          <w:rPr>
            <w:webHidden/>
          </w:rPr>
          <w:fldChar w:fldCharType="separate"/>
        </w:r>
        <w:r w:rsidR="00F44BFC">
          <w:rPr>
            <w:webHidden/>
          </w:rPr>
          <w:t>132</w:t>
        </w:r>
        <w:r w:rsidRPr="00B55200">
          <w:rPr>
            <w:webHidden/>
          </w:rPr>
          <w:fldChar w:fldCharType="end"/>
        </w:r>
      </w:hyperlink>
    </w:p>
    <w:p w14:paraId="37FC7557" w14:textId="22391D48" w:rsidR="006A1316" w:rsidRPr="00B55200" w:rsidRDefault="006A1316" w:rsidP="006A1316">
      <w:pPr>
        <w:pStyle w:val="TOC3"/>
        <w:rPr>
          <w:rFonts w:eastAsiaTheme="minorEastAsia" w:cstheme="minorBidi"/>
          <w:color w:val="auto"/>
          <w:kern w:val="2"/>
          <w:sz w:val="24"/>
          <w:u w:val="none"/>
          <w:lang w:eastAsia="en-AU"/>
          <w14:ligatures w14:val="standardContextual"/>
        </w:rPr>
      </w:pPr>
      <w:hyperlink w:anchor="_Toc196742761" w:history="1">
        <w:r w:rsidRPr="00B55200">
          <w:rPr>
            <w:rStyle w:val="Hyperlink"/>
            <w:rFonts w:ascii="Public Sans" w:hAnsi="Public Sans"/>
          </w:rPr>
          <w:t>Appointing any other person in any capacity</w:t>
        </w:r>
        <w:r w:rsidRPr="00B55200">
          <w:rPr>
            <w:webHidden/>
          </w:rPr>
          <w:tab/>
        </w:r>
        <w:r w:rsidRPr="00B55200">
          <w:rPr>
            <w:webHidden/>
          </w:rPr>
          <w:fldChar w:fldCharType="begin"/>
        </w:r>
        <w:r w:rsidRPr="00B55200">
          <w:rPr>
            <w:webHidden/>
          </w:rPr>
          <w:instrText xml:space="preserve"> PAGEREF _Toc196742761 \h </w:instrText>
        </w:r>
        <w:r w:rsidRPr="00B55200">
          <w:rPr>
            <w:webHidden/>
          </w:rPr>
        </w:r>
        <w:r w:rsidRPr="00B55200">
          <w:rPr>
            <w:webHidden/>
          </w:rPr>
          <w:fldChar w:fldCharType="separate"/>
        </w:r>
        <w:r w:rsidR="00F44BFC">
          <w:rPr>
            <w:webHidden/>
          </w:rPr>
          <w:t>133</w:t>
        </w:r>
        <w:r w:rsidRPr="00B55200">
          <w:rPr>
            <w:webHidden/>
          </w:rPr>
          <w:fldChar w:fldCharType="end"/>
        </w:r>
      </w:hyperlink>
    </w:p>
    <w:p w14:paraId="6B2E5D06" w14:textId="1D707006" w:rsidR="006A1316" w:rsidRPr="00B55200" w:rsidRDefault="006A1316" w:rsidP="006A1316">
      <w:pPr>
        <w:pStyle w:val="TOC3"/>
        <w:rPr>
          <w:rFonts w:eastAsiaTheme="minorEastAsia" w:cstheme="minorBidi"/>
          <w:color w:val="auto"/>
          <w:kern w:val="2"/>
          <w:sz w:val="24"/>
          <w:u w:val="none"/>
          <w:lang w:eastAsia="en-AU"/>
          <w14:ligatures w14:val="standardContextual"/>
        </w:rPr>
      </w:pPr>
      <w:hyperlink w:anchor="_Toc196742762" w:history="1">
        <w:r w:rsidRPr="00B55200">
          <w:rPr>
            <w:rStyle w:val="Hyperlink"/>
            <w:rFonts w:ascii="Public Sans" w:hAnsi="Public Sans"/>
          </w:rPr>
          <w:t>Other acts or practices of religious bodies</w:t>
        </w:r>
        <w:r w:rsidRPr="00B55200">
          <w:rPr>
            <w:webHidden/>
          </w:rPr>
          <w:tab/>
        </w:r>
        <w:r w:rsidRPr="00B55200">
          <w:rPr>
            <w:webHidden/>
          </w:rPr>
          <w:fldChar w:fldCharType="begin"/>
        </w:r>
        <w:r w:rsidRPr="00B55200">
          <w:rPr>
            <w:webHidden/>
          </w:rPr>
          <w:instrText xml:space="preserve"> PAGEREF _Toc196742762 \h </w:instrText>
        </w:r>
        <w:r w:rsidRPr="00B55200">
          <w:rPr>
            <w:webHidden/>
          </w:rPr>
        </w:r>
        <w:r w:rsidRPr="00B55200">
          <w:rPr>
            <w:webHidden/>
          </w:rPr>
          <w:fldChar w:fldCharType="separate"/>
        </w:r>
        <w:r w:rsidR="00F44BFC">
          <w:rPr>
            <w:webHidden/>
          </w:rPr>
          <w:t>135</w:t>
        </w:r>
        <w:r w:rsidRPr="00B55200">
          <w:rPr>
            <w:webHidden/>
          </w:rPr>
          <w:fldChar w:fldCharType="end"/>
        </w:r>
      </w:hyperlink>
    </w:p>
    <w:p w14:paraId="6CB3A7E3" w14:textId="2579700C" w:rsidR="006A1316" w:rsidRPr="00B55200" w:rsidRDefault="006A1316" w:rsidP="006A1316">
      <w:pPr>
        <w:pStyle w:val="TOC3"/>
        <w:rPr>
          <w:rFonts w:eastAsiaTheme="minorEastAsia" w:cstheme="minorBidi"/>
          <w:color w:val="auto"/>
          <w:kern w:val="2"/>
          <w:sz w:val="24"/>
          <w:u w:val="none"/>
          <w:lang w:eastAsia="en-AU"/>
          <w14:ligatures w14:val="standardContextual"/>
        </w:rPr>
      </w:pPr>
      <w:hyperlink w:anchor="_Toc196742763" w:history="1">
        <w:r w:rsidRPr="00B55200">
          <w:rPr>
            <w:rStyle w:val="Hyperlink"/>
            <w:rFonts w:ascii="Public Sans" w:hAnsi="Public Sans"/>
          </w:rPr>
          <w:t>Harassment, vilification and victimisation by religious bodies</w:t>
        </w:r>
        <w:r w:rsidRPr="00B55200">
          <w:rPr>
            <w:webHidden/>
          </w:rPr>
          <w:tab/>
        </w:r>
        <w:r w:rsidRPr="00B55200">
          <w:rPr>
            <w:webHidden/>
          </w:rPr>
          <w:fldChar w:fldCharType="begin"/>
        </w:r>
        <w:r w:rsidRPr="00B55200">
          <w:rPr>
            <w:webHidden/>
          </w:rPr>
          <w:instrText xml:space="preserve"> PAGEREF _Toc196742763 \h </w:instrText>
        </w:r>
        <w:r w:rsidRPr="00B55200">
          <w:rPr>
            <w:webHidden/>
          </w:rPr>
        </w:r>
        <w:r w:rsidRPr="00B55200">
          <w:rPr>
            <w:webHidden/>
          </w:rPr>
          <w:fldChar w:fldCharType="separate"/>
        </w:r>
        <w:r w:rsidR="00F44BFC">
          <w:rPr>
            <w:webHidden/>
          </w:rPr>
          <w:t>140</w:t>
        </w:r>
        <w:r w:rsidRPr="00B55200">
          <w:rPr>
            <w:webHidden/>
          </w:rPr>
          <w:fldChar w:fldCharType="end"/>
        </w:r>
      </w:hyperlink>
    </w:p>
    <w:p w14:paraId="433CA148" w14:textId="3E254A72" w:rsidR="006A1316" w:rsidRPr="00B55200" w:rsidRDefault="006A1316" w:rsidP="006A1316">
      <w:pPr>
        <w:pStyle w:val="TOC2"/>
        <w:rPr>
          <w:rFonts w:eastAsiaTheme="minorEastAsia" w:cstheme="minorBidi"/>
          <w:b w:val="0"/>
          <w:color w:val="auto"/>
          <w:kern w:val="2"/>
          <w:sz w:val="24"/>
          <w:u w:val="none"/>
          <w:lang w:eastAsia="en-AU"/>
          <w14:ligatures w14:val="standardContextual"/>
        </w:rPr>
      </w:pPr>
      <w:hyperlink w:anchor="_Toc196742764" w:history="1">
        <w:r w:rsidRPr="00B55200">
          <w:rPr>
            <w:rStyle w:val="Hyperlink"/>
            <w:rFonts w:ascii="Public Sans" w:hAnsi="Public Sans"/>
          </w:rPr>
          <w:t>Adoption services</w:t>
        </w:r>
        <w:r w:rsidRPr="00B55200">
          <w:rPr>
            <w:webHidden/>
          </w:rPr>
          <w:tab/>
        </w:r>
        <w:r w:rsidRPr="00B55200">
          <w:rPr>
            <w:webHidden/>
          </w:rPr>
          <w:fldChar w:fldCharType="begin"/>
        </w:r>
        <w:r w:rsidRPr="00B55200">
          <w:rPr>
            <w:webHidden/>
          </w:rPr>
          <w:instrText xml:space="preserve"> PAGEREF _Toc196742764 \h </w:instrText>
        </w:r>
        <w:r w:rsidRPr="00B55200">
          <w:rPr>
            <w:webHidden/>
          </w:rPr>
        </w:r>
        <w:r w:rsidRPr="00B55200">
          <w:rPr>
            <w:webHidden/>
          </w:rPr>
          <w:fldChar w:fldCharType="separate"/>
        </w:r>
        <w:r w:rsidR="00F44BFC">
          <w:rPr>
            <w:webHidden/>
          </w:rPr>
          <w:t>141</w:t>
        </w:r>
        <w:r w:rsidRPr="00B55200">
          <w:rPr>
            <w:webHidden/>
          </w:rPr>
          <w:fldChar w:fldCharType="end"/>
        </w:r>
      </w:hyperlink>
    </w:p>
    <w:p w14:paraId="08041DB4" w14:textId="6C45DFB8" w:rsidR="006A1316" w:rsidRPr="00B55200" w:rsidRDefault="006A1316" w:rsidP="006A1316">
      <w:pPr>
        <w:pStyle w:val="TOC2"/>
        <w:rPr>
          <w:rFonts w:eastAsiaTheme="minorEastAsia" w:cstheme="minorBidi"/>
          <w:b w:val="0"/>
          <w:color w:val="auto"/>
          <w:kern w:val="2"/>
          <w:sz w:val="24"/>
          <w:u w:val="none"/>
          <w:lang w:eastAsia="en-AU"/>
          <w14:ligatures w14:val="standardContextual"/>
        </w:rPr>
      </w:pPr>
      <w:hyperlink w:anchor="_Toc196742765" w:history="1">
        <w:r w:rsidRPr="00B55200">
          <w:rPr>
            <w:rStyle w:val="Hyperlink"/>
            <w:rFonts w:ascii="Public Sans" w:hAnsi="Public Sans"/>
          </w:rPr>
          <w:t>Private educational authorities</w:t>
        </w:r>
        <w:r w:rsidRPr="00B55200">
          <w:rPr>
            <w:webHidden/>
          </w:rPr>
          <w:tab/>
        </w:r>
        <w:r w:rsidRPr="00B55200">
          <w:rPr>
            <w:webHidden/>
          </w:rPr>
          <w:fldChar w:fldCharType="begin"/>
        </w:r>
        <w:r w:rsidRPr="00B55200">
          <w:rPr>
            <w:webHidden/>
          </w:rPr>
          <w:instrText xml:space="preserve"> PAGEREF _Toc196742765 \h </w:instrText>
        </w:r>
        <w:r w:rsidRPr="00B55200">
          <w:rPr>
            <w:webHidden/>
          </w:rPr>
        </w:r>
        <w:r w:rsidRPr="00B55200">
          <w:rPr>
            <w:webHidden/>
          </w:rPr>
          <w:fldChar w:fldCharType="separate"/>
        </w:r>
        <w:r w:rsidR="00F44BFC">
          <w:rPr>
            <w:webHidden/>
          </w:rPr>
          <w:t>142</w:t>
        </w:r>
        <w:r w:rsidRPr="00B55200">
          <w:rPr>
            <w:webHidden/>
          </w:rPr>
          <w:fldChar w:fldCharType="end"/>
        </w:r>
      </w:hyperlink>
    </w:p>
    <w:p w14:paraId="20F42E00" w14:textId="74CA4262" w:rsidR="006A1316" w:rsidRPr="00B55200" w:rsidRDefault="006A1316" w:rsidP="006A1316">
      <w:pPr>
        <w:pStyle w:val="TOC3"/>
        <w:rPr>
          <w:rFonts w:eastAsiaTheme="minorEastAsia" w:cstheme="minorBidi"/>
          <w:color w:val="auto"/>
          <w:kern w:val="2"/>
          <w:sz w:val="24"/>
          <w:u w:val="none"/>
          <w:lang w:eastAsia="en-AU"/>
          <w14:ligatures w14:val="standardContextual"/>
        </w:rPr>
      </w:pPr>
      <w:hyperlink w:anchor="_Toc196742766" w:history="1">
        <w:r w:rsidRPr="00B55200">
          <w:rPr>
            <w:rStyle w:val="Hyperlink"/>
            <w:rFonts w:ascii="Public Sans" w:hAnsi="Public Sans"/>
          </w:rPr>
          <w:t>The exceptions cover a wide range of educational bodies</w:t>
        </w:r>
        <w:r w:rsidRPr="00B55200">
          <w:rPr>
            <w:webHidden/>
          </w:rPr>
          <w:tab/>
        </w:r>
        <w:r w:rsidRPr="00B55200">
          <w:rPr>
            <w:webHidden/>
          </w:rPr>
          <w:fldChar w:fldCharType="begin"/>
        </w:r>
        <w:r w:rsidRPr="00B55200">
          <w:rPr>
            <w:webHidden/>
          </w:rPr>
          <w:instrText xml:space="preserve"> PAGEREF _Toc196742766 \h </w:instrText>
        </w:r>
        <w:r w:rsidRPr="00B55200">
          <w:rPr>
            <w:webHidden/>
          </w:rPr>
        </w:r>
        <w:r w:rsidRPr="00B55200">
          <w:rPr>
            <w:webHidden/>
          </w:rPr>
          <w:fldChar w:fldCharType="separate"/>
        </w:r>
        <w:r w:rsidR="00F44BFC">
          <w:rPr>
            <w:webHidden/>
          </w:rPr>
          <w:t>144</w:t>
        </w:r>
        <w:r w:rsidRPr="00B55200">
          <w:rPr>
            <w:webHidden/>
          </w:rPr>
          <w:fldChar w:fldCharType="end"/>
        </w:r>
      </w:hyperlink>
    </w:p>
    <w:p w14:paraId="529584E6" w14:textId="538B37DB" w:rsidR="006A1316" w:rsidRPr="00B55200" w:rsidRDefault="006A1316" w:rsidP="006A1316">
      <w:pPr>
        <w:pStyle w:val="TOC3"/>
        <w:rPr>
          <w:rFonts w:eastAsiaTheme="minorEastAsia" w:cstheme="minorBidi"/>
          <w:color w:val="auto"/>
          <w:kern w:val="2"/>
          <w:sz w:val="24"/>
          <w:u w:val="none"/>
          <w:lang w:eastAsia="en-AU"/>
          <w14:ligatures w14:val="standardContextual"/>
        </w:rPr>
      </w:pPr>
      <w:hyperlink w:anchor="_Toc196742767" w:history="1">
        <w:r w:rsidRPr="00B55200">
          <w:rPr>
            <w:rStyle w:val="Hyperlink"/>
            <w:rFonts w:ascii="Public Sans" w:hAnsi="Public Sans"/>
          </w:rPr>
          <w:t>Discrimination in work</w:t>
        </w:r>
        <w:r w:rsidRPr="00B55200">
          <w:rPr>
            <w:webHidden/>
          </w:rPr>
          <w:tab/>
        </w:r>
        <w:r w:rsidRPr="00B55200">
          <w:rPr>
            <w:webHidden/>
          </w:rPr>
          <w:fldChar w:fldCharType="begin"/>
        </w:r>
        <w:r w:rsidRPr="00B55200">
          <w:rPr>
            <w:webHidden/>
          </w:rPr>
          <w:instrText xml:space="preserve"> PAGEREF _Toc196742767 \h </w:instrText>
        </w:r>
        <w:r w:rsidRPr="00B55200">
          <w:rPr>
            <w:webHidden/>
          </w:rPr>
        </w:r>
        <w:r w:rsidRPr="00B55200">
          <w:rPr>
            <w:webHidden/>
          </w:rPr>
          <w:fldChar w:fldCharType="separate"/>
        </w:r>
        <w:r w:rsidR="00F44BFC">
          <w:rPr>
            <w:webHidden/>
          </w:rPr>
          <w:t>145</w:t>
        </w:r>
        <w:r w:rsidRPr="00B55200">
          <w:rPr>
            <w:webHidden/>
          </w:rPr>
          <w:fldChar w:fldCharType="end"/>
        </w:r>
      </w:hyperlink>
    </w:p>
    <w:p w14:paraId="4D184FA9" w14:textId="2C03FCF6" w:rsidR="006A1316" w:rsidRPr="00B55200" w:rsidRDefault="006A1316" w:rsidP="006A1316">
      <w:pPr>
        <w:pStyle w:val="TOC3"/>
        <w:rPr>
          <w:rFonts w:eastAsiaTheme="minorEastAsia" w:cstheme="minorBidi"/>
          <w:color w:val="auto"/>
          <w:kern w:val="2"/>
          <w:sz w:val="24"/>
          <w:u w:val="none"/>
          <w:lang w:eastAsia="en-AU"/>
          <w14:ligatures w14:val="standardContextual"/>
        </w:rPr>
      </w:pPr>
      <w:hyperlink w:anchor="_Toc196742768" w:history="1">
        <w:r w:rsidRPr="00B55200">
          <w:rPr>
            <w:rStyle w:val="Hyperlink"/>
            <w:rFonts w:ascii="Public Sans" w:hAnsi="Public Sans"/>
          </w:rPr>
          <w:t>Discrimination in education</w:t>
        </w:r>
        <w:r w:rsidRPr="00B55200">
          <w:rPr>
            <w:webHidden/>
          </w:rPr>
          <w:tab/>
        </w:r>
        <w:r w:rsidRPr="00B55200">
          <w:rPr>
            <w:webHidden/>
          </w:rPr>
          <w:fldChar w:fldCharType="begin"/>
        </w:r>
        <w:r w:rsidRPr="00B55200">
          <w:rPr>
            <w:webHidden/>
          </w:rPr>
          <w:instrText xml:space="preserve"> PAGEREF _Toc196742768 \h </w:instrText>
        </w:r>
        <w:r w:rsidRPr="00B55200">
          <w:rPr>
            <w:webHidden/>
          </w:rPr>
        </w:r>
        <w:r w:rsidRPr="00B55200">
          <w:rPr>
            <w:webHidden/>
          </w:rPr>
          <w:fldChar w:fldCharType="separate"/>
        </w:r>
        <w:r w:rsidR="00F44BFC">
          <w:rPr>
            <w:webHidden/>
          </w:rPr>
          <w:t>150</w:t>
        </w:r>
        <w:r w:rsidRPr="00B55200">
          <w:rPr>
            <w:webHidden/>
          </w:rPr>
          <w:fldChar w:fldCharType="end"/>
        </w:r>
      </w:hyperlink>
    </w:p>
    <w:p w14:paraId="38B4D3A5" w14:textId="5CF4AE0B" w:rsidR="006A1316" w:rsidRPr="00B55200" w:rsidRDefault="006A1316" w:rsidP="006A1316">
      <w:pPr>
        <w:pStyle w:val="TOC2"/>
        <w:rPr>
          <w:rFonts w:eastAsiaTheme="minorEastAsia" w:cstheme="minorBidi"/>
          <w:b w:val="0"/>
          <w:color w:val="auto"/>
          <w:kern w:val="2"/>
          <w:sz w:val="24"/>
          <w:u w:val="none"/>
          <w:lang w:eastAsia="en-AU"/>
          <w14:ligatures w14:val="standardContextual"/>
        </w:rPr>
      </w:pPr>
      <w:hyperlink w:anchor="_Toc196742769" w:history="1">
        <w:r w:rsidRPr="00B55200">
          <w:rPr>
            <w:rStyle w:val="Hyperlink"/>
            <w:rFonts w:ascii="Public Sans" w:hAnsi="Public Sans"/>
          </w:rPr>
          <w:t>Sport</w:t>
        </w:r>
        <w:r w:rsidRPr="00B55200">
          <w:rPr>
            <w:webHidden/>
          </w:rPr>
          <w:tab/>
        </w:r>
        <w:r w:rsidRPr="00B55200">
          <w:rPr>
            <w:webHidden/>
          </w:rPr>
          <w:fldChar w:fldCharType="begin"/>
        </w:r>
        <w:r w:rsidRPr="00B55200">
          <w:rPr>
            <w:webHidden/>
          </w:rPr>
          <w:instrText xml:space="preserve"> PAGEREF _Toc196742769 \h </w:instrText>
        </w:r>
        <w:r w:rsidRPr="00B55200">
          <w:rPr>
            <w:webHidden/>
          </w:rPr>
        </w:r>
        <w:r w:rsidRPr="00B55200">
          <w:rPr>
            <w:webHidden/>
          </w:rPr>
          <w:fldChar w:fldCharType="separate"/>
        </w:r>
        <w:r w:rsidR="00F44BFC">
          <w:rPr>
            <w:webHidden/>
          </w:rPr>
          <w:t>154</w:t>
        </w:r>
        <w:r w:rsidRPr="00B55200">
          <w:rPr>
            <w:webHidden/>
          </w:rPr>
          <w:fldChar w:fldCharType="end"/>
        </w:r>
      </w:hyperlink>
    </w:p>
    <w:p w14:paraId="0C284533" w14:textId="0A78B1ED" w:rsidR="006A1316" w:rsidRPr="00B55200" w:rsidRDefault="006A1316" w:rsidP="006A1316">
      <w:pPr>
        <w:pStyle w:val="TOC3"/>
        <w:rPr>
          <w:rFonts w:eastAsiaTheme="minorEastAsia" w:cstheme="minorBidi"/>
          <w:color w:val="auto"/>
          <w:kern w:val="2"/>
          <w:sz w:val="24"/>
          <w:u w:val="none"/>
          <w:lang w:eastAsia="en-AU"/>
          <w14:ligatures w14:val="standardContextual"/>
        </w:rPr>
      </w:pPr>
      <w:hyperlink w:anchor="_Toc196742770" w:history="1">
        <w:r w:rsidRPr="00B55200">
          <w:rPr>
            <w:rStyle w:val="Hyperlink"/>
            <w:rFonts w:ascii="Public Sans" w:hAnsi="Public Sans"/>
          </w:rPr>
          <w:t>Sex discrimination exception</w:t>
        </w:r>
        <w:r w:rsidRPr="00B55200">
          <w:rPr>
            <w:webHidden/>
          </w:rPr>
          <w:tab/>
        </w:r>
        <w:r w:rsidRPr="00B55200">
          <w:rPr>
            <w:webHidden/>
          </w:rPr>
          <w:fldChar w:fldCharType="begin"/>
        </w:r>
        <w:r w:rsidRPr="00B55200">
          <w:rPr>
            <w:webHidden/>
          </w:rPr>
          <w:instrText xml:space="preserve"> PAGEREF _Toc196742770 \h </w:instrText>
        </w:r>
        <w:r w:rsidRPr="00B55200">
          <w:rPr>
            <w:webHidden/>
          </w:rPr>
        </w:r>
        <w:r w:rsidRPr="00B55200">
          <w:rPr>
            <w:webHidden/>
          </w:rPr>
          <w:fldChar w:fldCharType="separate"/>
        </w:r>
        <w:r w:rsidR="00F44BFC">
          <w:rPr>
            <w:webHidden/>
          </w:rPr>
          <w:t>154</w:t>
        </w:r>
        <w:r w:rsidRPr="00B55200">
          <w:rPr>
            <w:webHidden/>
          </w:rPr>
          <w:fldChar w:fldCharType="end"/>
        </w:r>
      </w:hyperlink>
    </w:p>
    <w:p w14:paraId="7FF36A59" w14:textId="041BC5C8" w:rsidR="006A1316" w:rsidRPr="00B55200" w:rsidRDefault="006A1316" w:rsidP="006A1316">
      <w:pPr>
        <w:pStyle w:val="TOC3"/>
        <w:rPr>
          <w:rFonts w:eastAsiaTheme="minorEastAsia" w:cstheme="minorBidi"/>
          <w:color w:val="auto"/>
          <w:kern w:val="2"/>
          <w:sz w:val="24"/>
          <w:u w:val="none"/>
          <w:lang w:eastAsia="en-AU"/>
          <w14:ligatures w14:val="standardContextual"/>
        </w:rPr>
      </w:pPr>
      <w:hyperlink w:anchor="_Toc196742771" w:history="1">
        <w:r w:rsidRPr="00B55200">
          <w:rPr>
            <w:rStyle w:val="Hyperlink"/>
            <w:rFonts w:ascii="Public Sans" w:hAnsi="Public Sans"/>
          </w:rPr>
          <w:t>Transgender discrimination and vilification exception</w:t>
        </w:r>
        <w:r w:rsidRPr="00B55200">
          <w:rPr>
            <w:webHidden/>
          </w:rPr>
          <w:tab/>
        </w:r>
        <w:r w:rsidRPr="00B55200">
          <w:rPr>
            <w:webHidden/>
          </w:rPr>
          <w:fldChar w:fldCharType="begin"/>
        </w:r>
        <w:r w:rsidRPr="00B55200">
          <w:rPr>
            <w:webHidden/>
          </w:rPr>
          <w:instrText xml:space="preserve"> PAGEREF _Toc196742771 \h </w:instrText>
        </w:r>
        <w:r w:rsidRPr="00B55200">
          <w:rPr>
            <w:webHidden/>
          </w:rPr>
        </w:r>
        <w:r w:rsidRPr="00B55200">
          <w:rPr>
            <w:webHidden/>
          </w:rPr>
          <w:fldChar w:fldCharType="separate"/>
        </w:r>
        <w:r w:rsidR="00F44BFC">
          <w:rPr>
            <w:webHidden/>
          </w:rPr>
          <w:t>155</w:t>
        </w:r>
        <w:r w:rsidRPr="00B55200">
          <w:rPr>
            <w:webHidden/>
          </w:rPr>
          <w:fldChar w:fldCharType="end"/>
        </w:r>
      </w:hyperlink>
    </w:p>
    <w:p w14:paraId="3843DAB5" w14:textId="0181D3BF" w:rsidR="006A1316" w:rsidRPr="00B55200" w:rsidRDefault="006A1316" w:rsidP="006A1316">
      <w:pPr>
        <w:pStyle w:val="TOC3"/>
        <w:rPr>
          <w:rFonts w:eastAsiaTheme="minorEastAsia" w:cstheme="minorBidi"/>
          <w:color w:val="auto"/>
          <w:kern w:val="2"/>
          <w:sz w:val="24"/>
          <w:u w:val="none"/>
          <w:lang w:eastAsia="en-AU"/>
          <w14:ligatures w14:val="standardContextual"/>
        </w:rPr>
      </w:pPr>
      <w:hyperlink w:anchor="_Toc196742772" w:history="1">
        <w:r w:rsidRPr="00B55200">
          <w:rPr>
            <w:rStyle w:val="Hyperlink"/>
            <w:rFonts w:ascii="Public Sans" w:hAnsi="Public Sans"/>
          </w:rPr>
          <w:t>Disability discrimination exception</w:t>
        </w:r>
        <w:r w:rsidRPr="00B55200">
          <w:rPr>
            <w:webHidden/>
          </w:rPr>
          <w:tab/>
        </w:r>
        <w:r w:rsidRPr="00B55200">
          <w:rPr>
            <w:webHidden/>
          </w:rPr>
          <w:fldChar w:fldCharType="begin"/>
        </w:r>
        <w:r w:rsidRPr="00B55200">
          <w:rPr>
            <w:webHidden/>
          </w:rPr>
          <w:instrText xml:space="preserve"> PAGEREF _Toc196742772 \h </w:instrText>
        </w:r>
        <w:r w:rsidRPr="00B55200">
          <w:rPr>
            <w:webHidden/>
          </w:rPr>
        </w:r>
        <w:r w:rsidRPr="00B55200">
          <w:rPr>
            <w:webHidden/>
          </w:rPr>
          <w:fldChar w:fldCharType="separate"/>
        </w:r>
        <w:r w:rsidR="00F44BFC">
          <w:rPr>
            <w:webHidden/>
          </w:rPr>
          <w:t>156</w:t>
        </w:r>
        <w:r w:rsidRPr="00B55200">
          <w:rPr>
            <w:webHidden/>
          </w:rPr>
          <w:fldChar w:fldCharType="end"/>
        </w:r>
      </w:hyperlink>
    </w:p>
    <w:p w14:paraId="1E2A2DB1" w14:textId="1106B9F8" w:rsidR="006A1316" w:rsidRPr="00B55200" w:rsidRDefault="006A1316" w:rsidP="006A1316">
      <w:pPr>
        <w:pStyle w:val="TOC3"/>
        <w:rPr>
          <w:rFonts w:eastAsiaTheme="minorEastAsia" w:cstheme="minorBidi"/>
          <w:color w:val="auto"/>
          <w:kern w:val="2"/>
          <w:sz w:val="24"/>
          <w:u w:val="none"/>
          <w:lang w:eastAsia="en-AU"/>
          <w14:ligatures w14:val="standardContextual"/>
        </w:rPr>
      </w:pPr>
      <w:hyperlink w:anchor="_Toc196742773" w:history="1">
        <w:r w:rsidRPr="00B55200">
          <w:rPr>
            <w:rStyle w:val="Hyperlink"/>
            <w:rFonts w:ascii="Public Sans" w:hAnsi="Public Sans"/>
          </w:rPr>
          <w:t>Age discrimination exception</w:t>
        </w:r>
        <w:r w:rsidRPr="00B55200">
          <w:rPr>
            <w:webHidden/>
          </w:rPr>
          <w:tab/>
        </w:r>
        <w:r w:rsidRPr="00B55200">
          <w:rPr>
            <w:webHidden/>
          </w:rPr>
          <w:fldChar w:fldCharType="begin"/>
        </w:r>
        <w:r w:rsidRPr="00B55200">
          <w:rPr>
            <w:webHidden/>
          </w:rPr>
          <w:instrText xml:space="preserve"> PAGEREF _Toc196742773 \h </w:instrText>
        </w:r>
        <w:r w:rsidRPr="00B55200">
          <w:rPr>
            <w:webHidden/>
          </w:rPr>
        </w:r>
        <w:r w:rsidRPr="00B55200">
          <w:rPr>
            <w:webHidden/>
          </w:rPr>
          <w:fldChar w:fldCharType="separate"/>
        </w:r>
        <w:r w:rsidR="00F44BFC">
          <w:rPr>
            <w:webHidden/>
          </w:rPr>
          <w:t>157</w:t>
        </w:r>
        <w:r w:rsidRPr="00B55200">
          <w:rPr>
            <w:webHidden/>
          </w:rPr>
          <w:fldChar w:fldCharType="end"/>
        </w:r>
      </w:hyperlink>
    </w:p>
    <w:p w14:paraId="5327B445" w14:textId="3FD5F21B" w:rsidR="006A1316" w:rsidRPr="00B55200" w:rsidRDefault="006A1316" w:rsidP="006A1316">
      <w:pPr>
        <w:pStyle w:val="TOC3"/>
        <w:rPr>
          <w:rFonts w:eastAsiaTheme="minorEastAsia" w:cstheme="minorBidi"/>
          <w:color w:val="auto"/>
          <w:kern w:val="2"/>
          <w:sz w:val="24"/>
          <w:u w:val="none"/>
          <w:lang w:eastAsia="en-AU"/>
          <w14:ligatures w14:val="standardContextual"/>
        </w:rPr>
      </w:pPr>
      <w:hyperlink w:anchor="_Toc196742774" w:history="1">
        <w:r w:rsidRPr="00B55200">
          <w:rPr>
            <w:rStyle w:val="Hyperlink"/>
            <w:rFonts w:ascii="Public Sans" w:hAnsi="Public Sans"/>
          </w:rPr>
          <w:t>Racial discrimination and vilification exception</w:t>
        </w:r>
        <w:r w:rsidRPr="00B55200">
          <w:rPr>
            <w:webHidden/>
          </w:rPr>
          <w:tab/>
        </w:r>
        <w:r w:rsidRPr="00B55200">
          <w:rPr>
            <w:webHidden/>
          </w:rPr>
          <w:fldChar w:fldCharType="begin"/>
        </w:r>
        <w:r w:rsidRPr="00B55200">
          <w:rPr>
            <w:webHidden/>
          </w:rPr>
          <w:instrText xml:space="preserve"> PAGEREF _Toc196742774 \h </w:instrText>
        </w:r>
        <w:r w:rsidRPr="00B55200">
          <w:rPr>
            <w:webHidden/>
          </w:rPr>
        </w:r>
        <w:r w:rsidRPr="00B55200">
          <w:rPr>
            <w:webHidden/>
          </w:rPr>
          <w:fldChar w:fldCharType="separate"/>
        </w:r>
        <w:r w:rsidR="00F44BFC">
          <w:rPr>
            <w:webHidden/>
          </w:rPr>
          <w:t>158</w:t>
        </w:r>
        <w:r w:rsidRPr="00B55200">
          <w:rPr>
            <w:webHidden/>
          </w:rPr>
          <w:fldChar w:fldCharType="end"/>
        </w:r>
      </w:hyperlink>
    </w:p>
    <w:p w14:paraId="353B9428" w14:textId="13F45915" w:rsidR="006A1316" w:rsidRPr="00B55200" w:rsidRDefault="006A1316" w:rsidP="006A1316">
      <w:pPr>
        <w:pStyle w:val="TOC2"/>
        <w:rPr>
          <w:rFonts w:eastAsiaTheme="minorEastAsia" w:cstheme="minorBidi"/>
          <w:b w:val="0"/>
          <w:color w:val="auto"/>
          <w:kern w:val="2"/>
          <w:sz w:val="24"/>
          <w:u w:val="none"/>
          <w:lang w:eastAsia="en-AU"/>
          <w14:ligatures w14:val="standardContextual"/>
        </w:rPr>
      </w:pPr>
      <w:hyperlink w:anchor="_Toc196742775" w:history="1">
        <w:r w:rsidRPr="00B55200">
          <w:rPr>
            <w:rStyle w:val="Hyperlink"/>
            <w:rFonts w:ascii="Public Sans" w:hAnsi="Public Sans"/>
          </w:rPr>
          <w:t>Charitable benefits</w:t>
        </w:r>
        <w:r w:rsidRPr="00B55200">
          <w:rPr>
            <w:webHidden/>
          </w:rPr>
          <w:tab/>
        </w:r>
        <w:r w:rsidRPr="00B55200">
          <w:rPr>
            <w:webHidden/>
          </w:rPr>
          <w:fldChar w:fldCharType="begin"/>
        </w:r>
        <w:r w:rsidRPr="00B55200">
          <w:rPr>
            <w:webHidden/>
          </w:rPr>
          <w:instrText xml:space="preserve"> PAGEREF _Toc196742775 \h </w:instrText>
        </w:r>
        <w:r w:rsidRPr="00B55200">
          <w:rPr>
            <w:webHidden/>
          </w:rPr>
        </w:r>
        <w:r w:rsidRPr="00B55200">
          <w:rPr>
            <w:webHidden/>
          </w:rPr>
          <w:fldChar w:fldCharType="separate"/>
        </w:r>
        <w:r w:rsidR="00F44BFC">
          <w:rPr>
            <w:webHidden/>
          </w:rPr>
          <w:t>159</w:t>
        </w:r>
        <w:r w:rsidRPr="00B55200">
          <w:rPr>
            <w:webHidden/>
          </w:rPr>
          <w:fldChar w:fldCharType="end"/>
        </w:r>
      </w:hyperlink>
    </w:p>
    <w:p w14:paraId="49AF9B3F" w14:textId="4232CC7F" w:rsidR="006A1316" w:rsidRPr="00B55200" w:rsidRDefault="006A1316" w:rsidP="006A1316">
      <w:pPr>
        <w:pStyle w:val="TOC2"/>
        <w:rPr>
          <w:rFonts w:eastAsiaTheme="minorEastAsia" w:cstheme="minorBidi"/>
          <w:b w:val="0"/>
          <w:color w:val="auto"/>
          <w:kern w:val="2"/>
          <w:sz w:val="24"/>
          <w:u w:val="none"/>
          <w:lang w:eastAsia="en-AU"/>
          <w14:ligatures w14:val="standardContextual"/>
        </w:rPr>
      </w:pPr>
      <w:hyperlink w:anchor="_Toc196742776" w:history="1">
        <w:r w:rsidRPr="00B55200">
          <w:rPr>
            <w:rStyle w:val="Hyperlink"/>
            <w:rFonts w:ascii="Public Sans" w:hAnsi="Public Sans"/>
          </w:rPr>
          <w:t>Voluntary bodies</w:t>
        </w:r>
        <w:r w:rsidRPr="00B55200">
          <w:rPr>
            <w:webHidden/>
          </w:rPr>
          <w:tab/>
        </w:r>
        <w:r w:rsidRPr="00B55200">
          <w:rPr>
            <w:webHidden/>
          </w:rPr>
          <w:fldChar w:fldCharType="begin"/>
        </w:r>
        <w:r w:rsidRPr="00B55200">
          <w:rPr>
            <w:webHidden/>
          </w:rPr>
          <w:instrText xml:space="preserve"> PAGEREF _Toc196742776 \h </w:instrText>
        </w:r>
        <w:r w:rsidRPr="00B55200">
          <w:rPr>
            <w:webHidden/>
          </w:rPr>
        </w:r>
        <w:r w:rsidRPr="00B55200">
          <w:rPr>
            <w:webHidden/>
          </w:rPr>
          <w:fldChar w:fldCharType="separate"/>
        </w:r>
        <w:r w:rsidR="00F44BFC">
          <w:rPr>
            <w:webHidden/>
          </w:rPr>
          <w:t>160</w:t>
        </w:r>
        <w:r w:rsidRPr="00B55200">
          <w:rPr>
            <w:webHidden/>
          </w:rPr>
          <w:fldChar w:fldCharType="end"/>
        </w:r>
      </w:hyperlink>
    </w:p>
    <w:p w14:paraId="70E39C1F" w14:textId="60BF2513" w:rsidR="006A1316" w:rsidRPr="00B55200" w:rsidRDefault="006A1316" w:rsidP="006A1316">
      <w:pPr>
        <w:pStyle w:val="TOC2"/>
        <w:rPr>
          <w:rFonts w:eastAsiaTheme="minorEastAsia" w:cstheme="minorBidi"/>
          <w:b w:val="0"/>
          <w:color w:val="auto"/>
          <w:kern w:val="2"/>
          <w:sz w:val="24"/>
          <w:u w:val="none"/>
          <w:lang w:eastAsia="en-AU"/>
          <w14:ligatures w14:val="standardContextual"/>
        </w:rPr>
      </w:pPr>
      <w:hyperlink w:anchor="_Toc196742777" w:history="1">
        <w:r w:rsidRPr="00B55200">
          <w:rPr>
            <w:rStyle w:val="Hyperlink"/>
            <w:rFonts w:ascii="Public Sans" w:hAnsi="Public Sans"/>
          </w:rPr>
          <w:t>Aged care accommodation providers</w:t>
        </w:r>
        <w:r w:rsidRPr="00B55200">
          <w:rPr>
            <w:webHidden/>
          </w:rPr>
          <w:tab/>
        </w:r>
        <w:r w:rsidRPr="00B55200">
          <w:rPr>
            <w:webHidden/>
          </w:rPr>
          <w:fldChar w:fldCharType="begin"/>
        </w:r>
        <w:r w:rsidRPr="00B55200">
          <w:rPr>
            <w:webHidden/>
          </w:rPr>
          <w:instrText xml:space="preserve"> PAGEREF _Toc196742777 \h </w:instrText>
        </w:r>
        <w:r w:rsidRPr="00B55200">
          <w:rPr>
            <w:webHidden/>
          </w:rPr>
        </w:r>
        <w:r w:rsidRPr="00B55200">
          <w:rPr>
            <w:webHidden/>
          </w:rPr>
          <w:fldChar w:fldCharType="separate"/>
        </w:r>
        <w:r w:rsidR="00F44BFC">
          <w:rPr>
            <w:webHidden/>
          </w:rPr>
          <w:t>161</w:t>
        </w:r>
        <w:r w:rsidRPr="00B55200">
          <w:rPr>
            <w:webHidden/>
          </w:rPr>
          <w:fldChar w:fldCharType="end"/>
        </w:r>
      </w:hyperlink>
    </w:p>
    <w:p w14:paraId="66E9421A" w14:textId="779094F2" w:rsidR="006A1316" w:rsidRPr="00B55200" w:rsidRDefault="006A1316" w:rsidP="006A1316">
      <w:pPr>
        <w:pStyle w:val="TOC2"/>
        <w:rPr>
          <w:rFonts w:eastAsiaTheme="minorEastAsia" w:cstheme="minorBidi"/>
          <w:b w:val="0"/>
          <w:color w:val="auto"/>
          <w:kern w:val="2"/>
          <w:sz w:val="24"/>
          <w:u w:val="none"/>
          <w:lang w:eastAsia="en-AU"/>
          <w14:ligatures w14:val="standardContextual"/>
        </w:rPr>
      </w:pPr>
      <w:hyperlink w:anchor="_Toc196742778" w:history="1">
        <w:r w:rsidRPr="00B55200">
          <w:rPr>
            <w:rStyle w:val="Hyperlink"/>
            <w:rFonts w:ascii="Public Sans" w:hAnsi="Public Sans"/>
          </w:rPr>
          <w:t>Acts done under statutory authority</w:t>
        </w:r>
        <w:r w:rsidRPr="00B55200">
          <w:rPr>
            <w:webHidden/>
          </w:rPr>
          <w:tab/>
        </w:r>
        <w:r w:rsidRPr="00B55200">
          <w:rPr>
            <w:webHidden/>
          </w:rPr>
          <w:fldChar w:fldCharType="begin"/>
        </w:r>
        <w:r w:rsidRPr="00B55200">
          <w:rPr>
            <w:webHidden/>
          </w:rPr>
          <w:instrText xml:space="preserve"> PAGEREF _Toc196742778 \h </w:instrText>
        </w:r>
        <w:r w:rsidRPr="00B55200">
          <w:rPr>
            <w:webHidden/>
          </w:rPr>
        </w:r>
        <w:r w:rsidRPr="00B55200">
          <w:rPr>
            <w:webHidden/>
          </w:rPr>
          <w:fldChar w:fldCharType="separate"/>
        </w:r>
        <w:r w:rsidR="00F44BFC">
          <w:rPr>
            <w:webHidden/>
          </w:rPr>
          <w:t>162</w:t>
        </w:r>
        <w:r w:rsidRPr="00B55200">
          <w:rPr>
            <w:webHidden/>
          </w:rPr>
          <w:fldChar w:fldCharType="end"/>
        </w:r>
      </w:hyperlink>
    </w:p>
    <w:p w14:paraId="1D99CE91" w14:textId="77777777" w:rsidR="006A1316" w:rsidRDefault="006A1316" w:rsidP="006A1316">
      <w:pPr>
        <w:pStyle w:val="TOC4"/>
      </w:pPr>
      <w:r>
        <w:fldChar w:fldCharType="end"/>
      </w:r>
      <w:bookmarkEnd w:id="290"/>
    </w:p>
    <w:p w14:paraId="30965277" w14:textId="77777777" w:rsidR="006A1316" w:rsidRPr="00BF4017" w:rsidRDefault="006A1316" w:rsidP="006A1316">
      <w:pPr>
        <w:pStyle w:val="NormalAutoChapter"/>
        <w:tabs>
          <w:tab w:val="clear" w:pos="720"/>
          <w:tab w:val="num" w:pos="1146"/>
        </w:tabs>
        <w:rPr>
          <w:color w:val="auto"/>
        </w:rPr>
      </w:pPr>
      <w:r w:rsidRPr="00BF4017">
        <w:rPr>
          <w:color w:val="auto"/>
        </w:rPr>
        <w:t xml:space="preserve">In the </w:t>
      </w:r>
      <w:r>
        <w:rPr>
          <w:color w:val="auto"/>
        </w:rPr>
        <w:t xml:space="preserve">previous </w:t>
      </w:r>
      <w:r w:rsidRPr="00BF4017">
        <w:rPr>
          <w:color w:val="auto"/>
        </w:rPr>
        <w:t xml:space="preserve">chapter, we consider the areas in which the </w:t>
      </w:r>
      <w:r w:rsidRPr="00BF4017">
        <w:rPr>
          <w:i/>
          <w:iCs/>
          <w:color w:val="auto"/>
        </w:rPr>
        <w:t>Anti-Discrimination Act 1977</w:t>
      </w:r>
      <w:r w:rsidRPr="00BF4017">
        <w:rPr>
          <w:color w:val="auto"/>
        </w:rPr>
        <w:t xml:space="preserve"> (NSW) (ADA) makes it unlawful to discriminate based on a protected attribute. </w:t>
      </w:r>
      <w:r>
        <w:rPr>
          <w:color w:val="auto"/>
          <w:lang w:eastAsia="en-US"/>
        </w:rPr>
        <w:t>T</w:t>
      </w:r>
      <w:r w:rsidRPr="00BF4017">
        <w:rPr>
          <w:color w:val="auto"/>
          <w:lang w:eastAsia="en-US"/>
        </w:rPr>
        <w:t>he coverage is not absolute, even with</w:t>
      </w:r>
      <w:r>
        <w:rPr>
          <w:color w:val="auto"/>
          <w:lang w:eastAsia="en-US"/>
        </w:rPr>
        <w:t>in</w:t>
      </w:r>
      <w:r w:rsidRPr="00BF4017">
        <w:rPr>
          <w:color w:val="auto"/>
          <w:lang w:eastAsia="en-US"/>
        </w:rPr>
        <w:t xml:space="preserve"> these areas. </w:t>
      </w:r>
      <w:r>
        <w:rPr>
          <w:color w:val="auto"/>
          <w:lang w:eastAsia="en-US"/>
        </w:rPr>
        <w:t>T</w:t>
      </w:r>
      <w:r w:rsidRPr="00BF4017">
        <w:rPr>
          <w:color w:val="auto"/>
          <w:lang w:eastAsia="en-US"/>
        </w:rPr>
        <w:t xml:space="preserve">he protections </w:t>
      </w:r>
      <w:r>
        <w:rPr>
          <w:color w:val="auto"/>
          <w:lang w:eastAsia="en-US"/>
        </w:rPr>
        <w:t xml:space="preserve">in </w:t>
      </w:r>
      <w:r w:rsidRPr="00BF4017">
        <w:rPr>
          <w:color w:val="auto"/>
          <w:lang w:eastAsia="en-US"/>
        </w:rPr>
        <w:t xml:space="preserve">the ADA are </w:t>
      </w:r>
      <w:r>
        <w:rPr>
          <w:color w:val="auto"/>
          <w:lang w:eastAsia="en-US"/>
        </w:rPr>
        <w:t>limited by</w:t>
      </w:r>
      <w:r w:rsidRPr="00BF4017">
        <w:rPr>
          <w:color w:val="auto"/>
          <w:lang w:eastAsia="en-US"/>
        </w:rPr>
        <w:t xml:space="preserve"> exceptions </w:t>
      </w:r>
      <w:r>
        <w:rPr>
          <w:color w:val="auto"/>
          <w:lang w:eastAsia="en-US"/>
        </w:rPr>
        <w:t>that</w:t>
      </w:r>
      <w:r w:rsidRPr="00BF4017">
        <w:rPr>
          <w:color w:val="auto"/>
          <w:lang w:eastAsia="en-US"/>
        </w:rPr>
        <w:t xml:space="preserve"> make otherwise unlawful acts</w:t>
      </w:r>
      <w:r>
        <w:rPr>
          <w:color w:val="auto"/>
          <w:lang w:eastAsia="en-US"/>
        </w:rPr>
        <w:t>, lawful</w:t>
      </w:r>
      <w:r w:rsidRPr="00BF4017">
        <w:rPr>
          <w:color w:val="auto"/>
          <w:lang w:eastAsia="en-US"/>
        </w:rPr>
        <w:t xml:space="preserve">. </w:t>
      </w:r>
    </w:p>
    <w:p w14:paraId="11E66524" w14:textId="77777777" w:rsidR="006A1316" w:rsidRPr="00BF4017" w:rsidRDefault="006A1316" w:rsidP="006A1316">
      <w:pPr>
        <w:pStyle w:val="NormalAutoChapter"/>
        <w:tabs>
          <w:tab w:val="clear" w:pos="720"/>
          <w:tab w:val="num" w:pos="1146"/>
        </w:tabs>
        <w:rPr>
          <w:color w:val="auto"/>
        </w:rPr>
      </w:pPr>
      <w:r>
        <w:rPr>
          <w:color w:val="auto"/>
        </w:rPr>
        <w:lastRenderedPageBreak/>
        <w:t>T</w:t>
      </w:r>
      <w:r w:rsidRPr="00BF4017">
        <w:rPr>
          <w:color w:val="auto"/>
        </w:rPr>
        <w:t xml:space="preserve">he exceptions in the ADA are complex. Some apply specifically to certain attributes. </w:t>
      </w:r>
      <w:r>
        <w:rPr>
          <w:color w:val="auto"/>
        </w:rPr>
        <w:t xml:space="preserve">We discuss most of these attribute-specific exceptions in </w:t>
      </w:r>
      <w:r w:rsidRPr="008D2827">
        <w:rPr>
          <w:color w:val="auto"/>
        </w:rPr>
        <w:t>chapter 4</w:t>
      </w:r>
      <w:r w:rsidRPr="004A2504">
        <w:rPr>
          <w:color w:val="auto"/>
        </w:rPr>
        <w:t>.</w:t>
      </w:r>
      <w:r>
        <w:rPr>
          <w:color w:val="auto"/>
        </w:rPr>
        <w:t xml:space="preserve"> </w:t>
      </w:r>
      <w:r w:rsidRPr="00BF4017">
        <w:rPr>
          <w:color w:val="auto"/>
        </w:rPr>
        <w:t>Other</w:t>
      </w:r>
      <w:r>
        <w:rPr>
          <w:color w:val="auto"/>
        </w:rPr>
        <w:t xml:space="preserve"> exceptions </w:t>
      </w:r>
      <w:r w:rsidRPr="00BF4017">
        <w:rPr>
          <w:color w:val="auto"/>
        </w:rPr>
        <w:t xml:space="preserve">apply to </w:t>
      </w:r>
      <w:r>
        <w:rPr>
          <w:color w:val="auto"/>
        </w:rPr>
        <w:t xml:space="preserve">protected </w:t>
      </w:r>
      <w:r w:rsidRPr="00BF4017">
        <w:rPr>
          <w:color w:val="auto"/>
        </w:rPr>
        <w:t>areas in which discrimination would otherwise be unlawful,</w:t>
      </w:r>
      <w:r>
        <w:rPr>
          <w:color w:val="auto"/>
        </w:rPr>
        <w:t xml:space="preserve"> like work. We address most of these </w:t>
      </w:r>
      <w:r w:rsidRPr="004A2504">
        <w:rPr>
          <w:color w:val="auto"/>
        </w:rPr>
        <w:t xml:space="preserve">in </w:t>
      </w:r>
      <w:r w:rsidRPr="008D2827">
        <w:rPr>
          <w:color w:val="auto"/>
        </w:rPr>
        <w:t>chapter 6.</w:t>
      </w:r>
      <w:r w:rsidRPr="00BF4017">
        <w:rPr>
          <w:color w:val="auto"/>
        </w:rPr>
        <w:t xml:space="preserve"> </w:t>
      </w:r>
    </w:p>
    <w:p w14:paraId="4EC2DB9C" w14:textId="77777777" w:rsidR="006A1316" w:rsidRDefault="006A1316" w:rsidP="006A1316">
      <w:pPr>
        <w:pStyle w:val="NormalAutoChapter"/>
        <w:tabs>
          <w:tab w:val="clear" w:pos="720"/>
          <w:tab w:val="num" w:pos="1146"/>
        </w:tabs>
      </w:pPr>
      <w:r>
        <w:rPr>
          <w:color w:val="auto"/>
          <w:lang w:eastAsia="en-US"/>
        </w:rPr>
        <w:t>The ADA contains broader exceptions too</w:t>
      </w:r>
      <w:r w:rsidRPr="00BF4017">
        <w:rPr>
          <w:color w:val="auto"/>
          <w:lang w:eastAsia="en-US"/>
        </w:rPr>
        <w:t>.</w:t>
      </w:r>
      <w:r>
        <w:rPr>
          <w:color w:val="auto"/>
          <w:lang w:eastAsia="en-US"/>
        </w:rPr>
        <w:t xml:space="preserve"> </w:t>
      </w:r>
      <w:r>
        <w:t xml:space="preserve">Some of these apply </w:t>
      </w:r>
      <w:r w:rsidRPr="00BF4017">
        <w:t xml:space="preserve">across the entire ADA, including to the prohibitions on </w:t>
      </w:r>
      <w:r>
        <w:t xml:space="preserve">discrimination, </w:t>
      </w:r>
      <w:r w:rsidRPr="00BF4017">
        <w:t>vilification, harassment</w:t>
      </w:r>
      <w:r>
        <w:t xml:space="preserve">, </w:t>
      </w:r>
      <w:r w:rsidRPr="00BF4017">
        <w:t>victimisation</w:t>
      </w:r>
      <w:r>
        <w:t xml:space="preserve"> and unlawful advertisements. Some apply to both discrimination and vilification. Others only apply to discrimination, but across a range of protected areas and attributes.</w:t>
      </w:r>
    </w:p>
    <w:p w14:paraId="246FDF18" w14:textId="77777777" w:rsidR="006A1316" w:rsidRPr="00C61738" w:rsidRDefault="006A1316" w:rsidP="006A1316">
      <w:pPr>
        <w:pStyle w:val="NormalAutoChapter"/>
        <w:tabs>
          <w:tab w:val="clear" w:pos="720"/>
          <w:tab w:val="num" w:pos="1146"/>
        </w:tabs>
      </w:pPr>
      <w:r w:rsidRPr="00C61738">
        <w:rPr>
          <w:color w:val="auto"/>
          <w:lang w:eastAsia="en-US"/>
        </w:rPr>
        <w:t xml:space="preserve">In this chapter, we consider the exceptions </w:t>
      </w:r>
      <w:r>
        <w:rPr>
          <w:color w:val="auto"/>
          <w:lang w:eastAsia="en-US"/>
        </w:rPr>
        <w:t>relating to</w:t>
      </w:r>
      <w:r w:rsidRPr="00C61738">
        <w:rPr>
          <w:color w:val="auto"/>
          <w:lang w:eastAsia="en-US"/>
        </w:rPr>
        <w:t>:</w:t>
      </w:r>
    </w:p>
    <w:p w14:paraId="72CE5303" w14:textId="77777777" w:rsidR="006A1316" w:rsidRDefault="006A1316" w:rsidP="006A1316">
      <w:pPr>
        <w:pStyle w:val="Normalbullet"/>
      </w:pPr>
      <w:r>
        <w:t>religious bodies and faith-based organisations</w:t>
      </w:r>
    </w:p>
    <w:p w14:paraId="70539C3D" w14:textId="77777777" w:rsidR="006A1316" w:rsidRPr="00D80D87" w:rsidRDefault="006A1316" w:rsidP="006A1316">
      <w:pPr>
        <w:pStyle w:val="Normalbullet"/>
      </w:pPr>
      <w:r w:rsidRPr="00D80D87">
        <w:t>adoption services</w:t>
      </w:r>
    </w:p>
    <w:p w14:paraId="529DBDA1" w14:textId="77777777" w:rsidR="006A1316" w:rsidRDefault="006A1316" w:rsidP="006A1316">
      <w:pPr>
        <w:pStyle w:val="Normalbullet"/>
      </w:pPr>
      <w:r>
        <w:t xml:space="preserve">private educational authorities, including religious educational authorities </w:t>
      </w:r>
    </w:p>
    <w:p w14:paraId="0880B1DE" w14:textId="77777777" w:rsidR="006A1316" w:rsidRDefault="006A1316" w:rsidP="006A1316">
      <w:pPr>
        <w:pStyle w:val="Normalbullet"/>
      </w:pPr>
      <w:r>
        <w:t>sport</w:t>
      </w:r>
    </w:p>
    <w:p w14:paraId="4C344619" w14:textId="77777777" w:rsidR="006A1316" w:rsidRDefault="006A1316" w:rsidP="006A1316">
      <w:pPr>
        <w:pStyle w:val="Normalbullet"/>
      </w:pPr>
      <w:r>
        <w:t>charities</w:t>
      </w:r>
    </w:p>
    <w:p w14:paraId="0C720C9E" w14:textId="77777777" w:rsidR="006A1316" w:rsidRDefault="006A1316" w:rsidP="006A1316">
      <w:pPr>
        <w:pStyle w:val="Normalbullet"/>
      </w:pPr>
      <w:r>
        <w:t>voluntary bodies</w:t>
      </w:r>
    </w:p>
    <w:p w14:paraId="0E5AD395" w14:textId="77777777" w:rsidR="006A1316" w:rsidRDefault="006A1316" w:rsidP="006A1316">
      <w:pPr>
        <w:pStyle w:val="Normalbullet"/>
      </w:pPr>
      <w:r>
        <w:t>aged care accommodation, and</w:t>
      </w:r>
    </w:p>
    <w:p w14:paraId="4D73A7DC" w14:textId="77777777" w:rsidR="006A1316" w:rsidRPr="00BF4017" w:rsidRDefault="006A1316" w:rsidP="006A1316">
      <w:pPr>
        <w:pStyle w:val="Normalbullet"/>
      </w:pPr>
      <w:r>
        <w:t>acts done under statutory authority.</w:t>
      </w:r>
    </w:p>
    <w:p w14:paraId="68FB8D9E" w14:textId="77777777" w:rsidR="006A1316" w:rsidRDefault="006A1316" w:rsidP="006A1316">
      <w:pPr>
        <w:pStyle w:val="Heading1"/>
      </w:pPr>
      <w:bookmarkStart w:id="291" w:name="_Toc196742759"/>
      <w:bookmarkStart w:id="292" w:name="_Toc196826896"/>
      <w:r>
        <w:t>Religious bodies</w:t>
      </w:r>
      <w:bookmarkEnd w:id="291"/>
      <w:bookmarkEnd w:id="292"/>
    </w:p>
    <w:p w14:paraId="1574D96B" w14:textId="77777777" w:rsidR="006A1316" w:rsidRPr="002A0160" w:rsidRDefault="006A1316" w:rsidP="006A1316">
      <w:pPr>
        <w:pStyle w:val="NormalAutoChapter"/>
        <w:tabs>
          <w:tab w:val="clear" w:pos="720"/>
          <w:tab w:val="num" w:pos="1146"/>
        </w:tabs>
        <w:rPr>
          <w:color w:val="auto"/>
        </w:rPr>
      </w:pPr>
      <w:r>
        <w:rPr>
          <w:lang w:eastAsia="en-US"/>
        </w:rPr>
        <w:t xml:space="preserve">One of the most controversial issues in discrimination law is whether and, if so when, religious bodies should be granted exceptions that allow them to discriminate. </w:t>
      </w:r>
    </w:p>
    <w:p w14:paraId="3EC58A61" w14:textId="77777777" w:rsidR="006A1316" w:rsidRDefault="006A1316" w:rsidP="006A1316">
      <w:pPr>
        <w:pStyle w:val="NormalAutoChapter"/>
        <w:tabs>
          <w:tab w:val="clear" w:pos="720"/>
          <w:tab w:val="num" w:pos="1146"/>
        </w:tabs>
        <w:rPr>
          <w:lang w:eastAsia="en-US"/>
        </w:rPr>
      </w:pPr>
      <w:r>
        <w:rPr>
          <w:lang w:eastAsia="en-US"/>
        </w:rPr>
        <w:t>The ADA provides broad exceptions for religious bodies. Section 56 of the ADA states:</w:t>
      </w:r>
    </w:p>
    <w:p w14:paraId="3B5A8108" w14:textId="77777777" w:rsidR="006A1316" w:rsidRDefault="006A1316" w:rsidP="006A1316">
      <w:pPr>
        <w:pStyle w:val="Quotationnormal"/>
      </w:pPr>
      <w:r>
        <w:t>Nothing in this Act affects:</w:t>
      </w:r>
    </w:p>
    <w:p w14:paraId="1A14E8EC" w14:textId="77777777" w:rsidR="006A1316" w:rsidRDefault="006A1316" w:rsidP="006A1316">
      <w:pPr>
        <w:pStyle w:val="Quotation1hanging"/>
      </w:pPr>
      <w:r>
        <w:t>(a)</w:t>
      </w:r>
      <w:r>
        <w:tab/>
        <w:t>the ordination or appointment of priests, ministers of religion or members of any religious order,</w:t>
      </w:r>
    </w:p>
    <w:p w14:paraId="2F38777C" w14:textId="77777777" w:rsidR="006A1316" w:rsidRDefault="006A1316" w:rsidP="006A1316">
      <w:pPr>
        <w:pStyle w:val="Quotation1hanging"/>
      </w:pPr>
      <w:r>
        <w:t>(b)</w:t>
      </w:r>
      <w:r>
        <w:tab/>
        <w:t>the training or education of persons seeking ordination or appointment as priests, ministers of religion or members of a religious order,</w:t>
      </w:r>
    </w:p>
    <w:p w14:paraId="244C8A0B" w14:textId="77777777" w:rsidR="006A1316" w:rsidRDefault="006A1316" w:rsidP="006A1316">
      <w:pPr>
        <w:pStyle w:val="Quotation1hanging"/>
      </w:pPr>
      <w:r>
        <w:t>(c)</w:t>
      </w:r>
      <w:r>
        <w:tab/>
        <w:t>the appointment of any other person in any capacity by a body established to propagate religion, or</w:t>
      </w:r>
    </w:p>
    <w:p w14:paraId="2758921A" w14:textId="77777777" w:rsidR="006A1316" w:rsidRDefault="006A1316" w:rsidP="006A1316">
      <w:pPr>
        <w:pStyle w:val="Quotation1hanging"/>
      </w:pPr>
      <w:r>
        <w:t>(d)</w:t>
      </w:r>
      <w:r>
        <w:tab/>
        <w:t>any other act or practice of a body established to propagate religion that conforms to the doctrines of that religion or is necessary to avoid injury to the religious susceptibilities of the adherents of that religion.</w:t>
      </w:r>
    </w:p>
    <w:p w14:paraId="0BE9BB93" w14:textId="77777777" w:rsidR="006A1316" w:rsidRPr="002A0160" w:rsidRDefault="006A1316" w:rsidP="006A1316">
      <w:pPr>
        <w:pStyle w:val="NormalAutoChapter"/>
        <w:tabs>
          <w:tab w:val="clear" w:pos="720"/>
          <w:tab w:val="num" w:pos="1146"/>
        </w:tabs>
        <w:rPr>
          <w:color w:val="auto"/>
        </w:rPr>
      </w:pPr>
      <w:r w:rsidRPr="00C11571">
        <w:t xml:space="preserve">These exceptions apply to the whole ADA, not just the prohibition of discrimination. This means the exceptions </w:t>
      </w:r>
      <w:r>
        <w:t xml:space="preserve">also </w:t>
      </w:r>
      <w:r w:rsidRPr="00C11571">
        <w:t>permit religious bodies to engage in other forms of otherwise unlawful conduct (including sexual harassment and vilification).</w:t>
      </w:r>
    </w:p>
    <w:p w14:paraId="20CDBEDC" w14:textId="77777777" w:rsidR="006A1316" w:rsidRDefault="006A1316" w:rsidP="006A1316">
      <w:pPr>
        <w:pStyle w:val="NormalAutoChapter"/>
        <w:tabs>
          <w:tab w:val="clear" w:pos="720"/>
          <w:tab w:val="num" w:pos="1146"/>
        </w:tabs>
        <w:rPr>
          <w:color w:val="auto"/>
        </w:rPr>
      </w:pPr>
      <w:r>
        <w:rPr>
          <w:color w:val="auto"/>
        </w:rPr>
        <w:lastRenderedPageBreak/>
        <w:t>In some circumstances, certain religious bodies will be able to access other exceptions. This includes the exceptions for private educational authorities, adoption service providers, voluntary bodies, charitable benefits, and aged care accommodation providers, which are each outlined later in this chapter.</w:t>
      </w:r>
    </w:p>
    <w:p w14:paraId="101FCA34" w14:textId="77777777" w:rsidR="006A1316" w:rsidRDefault="006A1316" w:rsidP="006A1316">
      <w:pPr>
        <w:pStyle w:val="NormalAutoChapter"/>
        <w:tabs>
          <w:tab w:val="clear" w:pos="720"/>
          <w:tab w:val="num" w:pos="1146"/>
        </w:tabs>
        <w:rPr>
          <w:color w:val="auto"/>
        </w:rPr>
      </w:pPr>
      <w:r w:rsidRPr="002A0160">
        <w:rPr>
          <w:color w:val="auto"/>
        </w:rPr>
        <w:t>This is a complex and sensitive area, which raises issues about the best way to accommodate intersecting human rights. These include the right to non-discrimination (including based on sex, sexual orientation, gender identity, marital or relationship status, pregnancy, race, or religion)</w:t>
      </w:r>
      <w:r>
        <w:rPr>
          <w:color w:val="auto"/>
        </w:rPr>
        <w:t>. They also include t</w:t>
      </w:r>
      <w:r w:rsidRPr="002A0160">
        <w:rPr>
          <w:color w:val="auto"/>
        </w:rPr>
        <w:t>he right to freedom of thought, conscience, and religion.</w:t>
      </w:r>
      <w:r>
        <w:rPr>
          <w:rStyle w:val="FootnoteReference"/>
          <w:color w:val="auto"/>
        </w:rPr>
        <w:footnoteReference w:id="597"/>
      </w:r>
      <w:r w:rsidRPr="002A0160">
        <w:rPr>
          <w:color w:val="auto"/>
        </w:rPr>
        <w:t xml:space="preserve"> </w:t>
      </w:r>
    </w:p>
    <w:p w14:paraId="2E9CDCEC" w14:textId="77777777" w:rsidR="006A1316" w:rsidRPr="002A0160" w:rsidRDefault="006A1316" w:rsidP="006A1316">
      <w:pPr>
        <w:pStyle w:val="NormalAutoChapter"/>
        <w:tabs>
          <w:tab w:val="clear" w:pos="720"/>
          <w:tab w:val="num" w:pos="1146"/>
        </w:tabs>
        <w:rPr>
          <w:color w:val="auto"/>
        </w:rPr>
      </w:pPr>
      <w:r w:rsidRPr="002A0160">
        <w:rPr>
          <w:color w:val="auto"/>
        </w:rPr>
        <w:t xml:space="preserve">As we discuss in </w:t>
      </w:r>
      <w:r w:rsidRPr="006E730F">
        <w:rPr>
          <w:color w:val="auto"/>
        </w:rPr>
        <w:t>chapter 2</w:t>
      </w:r>
      <w:r w:rsidRPr="002A0160">
        <w:rPr>
          <w:color w:val="auto"/>
        </w:rPr>
        <w:t>, international human rights law recognises that the right to non-discrimination can be limited in some cases</w:t>
      </w:r>
      <w:r>
        <w:t>.</w:t>
      </w:r>
      <w:r>
        <w:rPr>
          <w:rStyle w:val="FootnoteReference"/>
        </w:rPr>
        <w:footnoteReference w:id="598"/>
      </w:r>
    </w:p>
    <w:p w14:paraId="52D40DC5" w14:textId="77777777" w:rsidR="006A1316" w:rsidRDefault="006A1316" w:rsidP="006A1316">
      <w:pPr>
        <w:pStyle w:val="NormalAutoChapter"/>
        <w:tabs>
          <w:tab w:val="clear" w:pos="720"/>
          <w:tab w:val="num" w:pos="1146"/>
        </w:tabs>
        <w:rPr>
          <w:color w:val="auto"/>
        </w:rPr>
      </w:pPr>
      <w:r w:rsidRPr="00AF0C2D">
        <w:rPr>
          <w:color w:val="auto"/>
        </w:rPr>
        <w:t>International human rights law also recognises that some, but not all, aspects of the right to freedom of thought, conscience, and religion can be limited.</w:t>
      </w:r>
      <w:r>
        <w:rPr>
          <w:color w:val="auto"/>
        </w:rPr>
        <w:t xml:space="preserve"> </w:t>
      </w:r>
      <w:r w:rsidRPr="00AF0C2D">
        <w:rPr>
          <w:color w:val="auto"/>
        </w:rPr>
        <w:t>There are two aspects to this right: freedom of belief, and freedom to manifest that belief. Freedom of belief means adopting a religion or belief of one’s choice. This right cannot be limited because no one can be compelled to reveal what they believe in their own mind.</w:t>
      </w:r>
      <w:r>
        <w:rPr>
          <w:rStyle w:val="FootnoteReference"/>
          <w:color w:val="auto"/>
        </w:rPr>
        <w:footnoteReference w:id="599"/>
      </w:r>
      <w:r w:rsidRPr="00AF0C2D">
        <w:rPr>
          <w:color w:val="auto"/>
        </w:rPr>
        <w:t xml:space="preserve"> </w:t>
      </w:r>
    </w:p>
    <w:p w14:paraId="2C2115B6" w14:textId="77777777" w:rsidR="006A1316" w:rsidRPr="007E3113" w:rsidRDefault="006A1316" w:rsidP="006A1316">
      <w:pPr>
        <w:pStyle w:val="NormalAutoChapter"/>
        <w:tabs>
          <w:tab w:val="clear" w:pos="720"/>
          <w:tab w:val="num" w:pos="1146"/>
        </w:tabs>
        <w:rPr>
          <w:color w:val="auto"/>
        </w:rPr>
      </w:pPr>
      <w:r>
        <w:rPr>
          <w:color w:val="auto"/>
        </w:rPr>
        <w:t xml:space="preserve">The freedom to manifest beliefs, such as through </w:t>
      </w:r>
      <w:r w:rsidRPr="00057241">
        <w:rPr>
          <w:color w:val="auto"/>
        </w:rPr>
        <w:t>worship, observance, practice and teaching</w:t>
      </w:r>
      <w:r>
        <w:rPr>
          <w:color w:val="auto"/>
        </w:rPr>
        <w:t>, includes the freedom to choose religious leaders and teachers, and to establish religious schools.</w:t>
      </w:r>
      <w:r>
        <w:rPr>
          <w:rStyle w:val="FootnoteReference"/>
          <w:color w:val="auto"/>
        </w:rPr>
        <w:footnoteReference w:id="600"/>
      </w:r>
      <w:r>
        <w:rPr>
          <w:rStyle w:val="FootnoteReference"/>
          <w:color w:val="auto"/>
        </w:rPr>
        <w:t xml:space="preserve"> </w:t>
      </w:r>
      <w:r>
        <w:rPr>
          <w:color w:val="auto"/>
        </w:rPr>
        <w:t xml:space="preserve"> Under international human rights law, this aspect of the right </w:t>
      </w:r>
      <w:r w:rsidRPr="00AB2DBA">
        <w:rPr>
          <w:color w:val="auto"/>
        </w:rPr>
        <w:t>can be limited in certain circumstances, including to protect other people’s human rights</w:t>
      </w:r>
      <w:r>
        <w:rPr>
          <w:color w:val="auto"/>
        </w:rPr>
        <w:t>.</w:t>
      </w:r>
      <w:r>
        <w:rPr>
          <w:rStyle w:val="FootnoteReference"/>
          <w:color w:val="auto"/>
        </w:rPr>
        <w:footnoteReference w:id="601"/>
      </w:r>
      <w:r>
        <w:rPr>
          <w:color w:val="auto"/>
        </w:rPr>
        <w:t xml:space="preserve"> United Nations guidance explains that freedom of religion or belief should never be used to justify ends that are inconsistent with any human rights instruments.</w:t>
      </w:r>
      <w:r>
        <w:rPr>
          <w:rStyle w:val="FootnoteReference"/>
          <w:color w:val="auto"/>
        </w:rPr>
        <w:footnoteReference w:id="602"/>
      </w:r>
    </w:p>
    <w:p w14:paraId="0C4AA41D" w14:textId="77777777" w:rsidR="006A1316" w:rsidRDefault="006A1316" w:rsidP="006A1316">
      <w:pPr>
        <w:pStyle w:val="NormalAutoChapter"/>
        <w:tabs>
          <w:tab w:val="clear" w:pos="720"/>
          <w:tab w:val="num" w:pos="1146"/>
        </w:tabs>
      </w:pPr>
      <w:r>
        <w:rPr>
          <w:color w:val="auto"/>
        </w:rPr>
        <w:t xml:space="preserve">We received a range of views in preliminary submissions about the ADA’s religious exceptions. Most generally accepted that, in a diverse society, religious </w:t>
      </w:r>
      <w:r w:rsidRPr="00BB6FC1">
        <w:rPr>
          <w:color w:val="auto"/>
        </w:rPr>
        <w:t xml:space="preserve">exceptions </w:t>
      </w:r>
      <w:r>
        <w:rPr>
          <w:color w:val="auto"/>
        </w:rPr>
        <w:t xml:space="preserve">in some </w:t>
      </w:r>
      <w:proofErr w:type="gramStart"/>
      <w:r>
        <w:rPr>
          <w:color w:val="auto"/>
        </w:rPr>
        <w:t>form</w:t>
      </w:r>
      <w:proofErr w:type="gramEnd"/>
      <w:r>
        <w:rPr>
          <w:color w:val="auto"/>
        </w:rPr>
        <w:t xml:space="preserve"> are important to re</w:t>
      </w:r>
      <w:r w:rsidRPr="00BB6FC1">
        <w:rPr>
          <w:color w:val="auto"/>
        </w:rPr>
        <w:t>spect freedom of religion</w:t>
      </w:r>
      <w:r>
        <w:rPr>
          <w:color w:val="auto"/>
        </w:rPr>
        <w:t xml:space="preserve">. </w:t>
      </w:r>
      <w:r>
        <w:t xml:space="preserve">We heard that religious </w:t>
      </w:r>
      <w:r>
        <w:lastRenderedPageBreak/>
        <w:t>exceptions are needed to allow churches and other religious bodies to operate according to their convictions, doctrines, tenets and beliefs.</w:t>
      </w:r>
      <w:r>
        <w:rPr>
          <w:rStyle w:val="FootnoteReference"/>
        </w:rPr>
        <w:footnoteReference w:id="603"/>
      </w:r>
      <w:r>
        <w:t xml:space="preserve">  </w:t>
      </w:r>
    </w:p>
    <w:p w14:paraId="26869A78" w14:textId="2231E723" w:rsidR="006A1316" w:rsidRDefault="006A1316" w:rsidP="006A1316">
      <w:pPr>
        <w:pStyle w:val="NormalAutoChapter"/>
        <w:tabs>
          <w:tab w:val="clear" w:pos="720"/>
          <w:tab w:val="num" w:pos="1146"/>
        </w:tabs>
        <w:rPr>
          <w:lang w:eastAsia="en-US"/>
        </w:rPr>
      </w:pPr>
      <w:r>
        <w:rPr>
          <w:color w:val="auto"/>
        </w:rPr>
        <w:t>But there is</w:t>
      </w:r>
      <w:r w:rsidRPr="00BB6FC1">
        <w:rPr>
          <w:color w:val="auto"/>
        </w:rPr>
        <w:t xml:space="preserve"> disagreement about how wide </w:t>
      </w:r>
      <w:r>
        <w:rPr>
          <w:color w:val="auto"/>
        </w:rPr>
        <w:t>the exceptions should be, who they should apply to,</w:t>
      </w:r>
      <w:r w:rsidRPr="00BB6FC1">
        <w:rPr>
          <w:color w:val="auto"/>
        </w:rPr>
        <w:t xml:space="preserve"> and under what conditions</w:t>
      </w:r>
      <w:r>
        <w:rPr>
          <w:color w:val="auto"/>
        </w:rPr>
        <w:t xml:space="preserve">. As we outline below, questions </w:t>
      </w:r>
      <w:r w:rsidR="003C6A21">
        <w:rPr>
          <w:color w:val="auto"/>
        </w:rPr>
        <w:t xml:space="preserve">have been raised </w:t>
      </w:r>
      <w:r>
        <w:rPr>
          <w:color w:val="auto"/>
        </w:rPr>
        <w:t>about whether the breadth of the ADA’s exceptions for religious bodies is appropriate.</w:t>
      </w:r>
    </w:p>
    <w:p w14:paraId="14E0AE56" w14:textId="77777777" w:rsidR="006A1316" w:rsidRPr="00377D4E" w:rsidRDefault="006A1316" w:rsidP="006A1316">
      <w:pPr>
        <w:pStyle w:val="Heading2"/>
      </w:pPr>
      <w:bookmarkStart w:id="295" w:name="_Toc196742760"/>
      <w:bookmarkStart w:id="296" w:name="_Toc196826897"/>
      <w:r>
        <w:t>Training and appointing religious personnel</w:t>
      </w:r>
      <w:bookmarkEnd w:id="295"/>
      <w:bookmarkEnd w:id="296"/>
    </w:p>
    <w:p w14:paraId="0A8CCA53" w14:textId="77777777" w:rsidR="006A1316" w:rsidRPr="00EC5664" w:rsidRDefault="006A1316" w:rsidP="006A1316">
      <w:pPr>
        <w:pStyle w:val="NormalAutoChapter"/>
        <w:tabs>
          <w:tab w:val="clear" w:pos="720"/>
          <w:tab w:val="num" w:pos="1146"/>
        </w:tabs>
        <w:rPr>
          <w:color w:val="auto"/>
        </w:rPr>
      </w:pPr>
      <w:r w:rsidRPr="00EC5664">
        <w:rPr>
          <w:color w:val="auto"/>
        </w:rPr>
        <w:t>Two of the exceptions relate to the training and appointment of members of religious bodies</w:t>
      </w:r>
      <w:r w:rsidRPr="004D750D">
        <w:t>.</w:t>
      </w:r>
      <w:r>
        <w:rPr>
          <w:rStyle w:val="FootnoteReference"/>
        </w:rPr>
        <w:footnoteReference w:id="604"/>
      </w:r>
      <w:r>
        <w:t xml:space="preserve"> These are closely tied to the exercise of religious freedom</w:t>
      </w:r>
      <w:r w:rsidRPr="007C543F">
        <w:t>.</w:t>
      </w:r>
      <w:r>
        <w:t xml:space="preserve"> </w:t>
      </w:r>
      <w:r w:rsidRPr="00EC5664">
        <w:rPr>
          <w:color w:val="auto"/>
        </w:rPr>
        <w:t xml:space="preserve">For example, s 56(a) allows a church to discriminate based on any protected attribute when appointing a priest. </w:t>
      </w:r>
    </w:p>
    <w:p w14:paraId="563A84A7" w14:textId="70415A9C" w:rsidR="006A1316" w:rsidRPr="00F2610C" w:rsidRDefault="006A1316" w:rsidP="006A1316">
      <w:pPr>
        <w:pStyle w:val="NormalAutoChapter"/>
        <w:tabs>
          <w:tab w:val="clear" w:pos="720"/>
          <w:tab w:val="num" w:pos="1146"/>
        </w:tabs>
        <w:rPr>
          <w:color w:val="auto"/>
        </w:rPr>
      </w:pPr>
      <w:r w:rsidRPr="00A77BFC">
        <w:t>Most other Australian discrimination laws have</w:t>
      </w:r>
      <w:r>
        <w:t xml:space="preserve"> similar</w:t>
      </w:r>
      <w:r w:rsidRPr="00A77BFC">
        <w:t xml:space="preserve"> exceptions</w:t>
      </w:r>
      <w:r>
        <w:t xml:space="preserve"> about</w:t>
      </w:r>
      <w:r w:rsidRPr="00A77BFC">
        <w:t xml:space="preserve"> appointing and training members of religious orders.</w:t>
      </w:r>
      <w:r w:rsidRPr="00A77BFC">
        <w:rPr>
          <w:rStyle w:val="FootnoteReference"/>
          <w:color w:val="auto"/>
        </w:rPr>
        <w:footnoteReference w:id="605"/>
      </w:r>
      <w:r w:rsidRPr="00A77BFC">
        <w:t xml:space="preserve"> </w:t>
      </w:r>
      <w:r w:rsidR="00B147F1">
        <w:t>Preliminary submissions generally supported exempting the appointment and education of religious leaders from the discrimination prohibitions</w:t>
      </w:r>
      <w:r>
        <w:t>. This view was shared by some who were concerned about the breadth of other religious exceptions.</w:t>
      </w:r>
      <w:r w:rsidRPr="007C543F">
        <w:rPr>
          <w:rStyle w:val="FootnoteReference"/>
          <w:color w:val="auto"/>
        </w:rPr>
        <w:footnoteReference w:id="606"/>
      </w:r>
      <w:r>
        <w:t xml:space="preserve"> </w:t>
      </w:r>
    </w:p>
    <w:p w14:paraId="1DFFE4D8" w14:textId="77777777" w:rsidR="006A1316" w:rsidRPr="0096273F" w:rsidRDefault="006A1316" w:rsidP="006A1316">
      <w:pPr>
        <w:pStyle w:val="NormalAutoChapter"/>
        <w:tabs>
          <w:tab w:val="clear" w:pos="720"/>
          <w:tab w:val="num" w:pos="1146"/>
        </w:tabs>
        <w:rPr>
          <w:color w:val="auto"/>
        </w:rPr>
      </w:pPr>
      <w:r>
        <w:t xml:space="preserve">The Australian Law Reform Commission (ALRC) considered that an identical exception to sex discrimination in the </w:t>
      </w:r>
      <w:r w:rsidRPr="009B054B">
        <w:rPr>
          <w:i/>
          <w:iCs/>
        </w:rPr>
        <w:t>Sex Discrimination Act</w:t>
      </w:r>
      <w:r>
        <w:rPr>
          <w:i/>
          <w:iCs/>
        </w:rPr>
        <w:t xml:space="preserve"> 1984</w:t>
      </w:r>
      <w:r>
        <w:t xml:space="preserve"> (Cth) (</w:t>
      </w:r>
      <w:r w:rsidRPr="00674B6E">
        <w:rPr>
          <w:i/>
          <w:iCs/>
        </w:rPr>
        <w:t>Sex Discrimination Act</w:t>
      </w:r>
      <w:r>
        <w:t xml:space="preserve">) should be amended so that it better reflects </w:t>
      </w:r>
      <w:r w:rsidRPr="00123340">
        <w:t>the diversity of descriptions of religious leaders across religions</w:t>
      </w:r>
      <w:r>
        <w:t>.</w:t>
      </w:r>
      <w:r>
        <w:rPr>
          <w:rStyle w:val="FootnoteReference"/>
          <w:color w:val="auto"/>
        </w:rPr>
        <w:footnoteReference w:id="607"/>
      </w:r>
      <w:r>
        <w:t xml:space="preserve"> </w:t>
      </w:r>
    </w:p>
    <w:p w14:paraId="7CFAF4B4" w14:textId="77777777" w:rsidR="006A1316" w:rsidRPr="004179E2" w:rsidRDefault="006A1316" w:rsidP="006A1316">
      <w:pPr>
        <w:pStyle w:val="NormalAutoChapter"/>
        <w:tabs>
          <w:tab w:val="clear" w:pos="720"/>
          <w:tab w:val="num" w:pos="1146"/>
        </w:tabs>
        <w:rPr>
          <w:color w:val="auto"/>
        </w:rPr>
      </w:pPr>
      <w:r>
        <w:t xml:space="preserve">In 1999, the NSW Law Reform Commission (NSWLRC) also thought that s 56(a) and (b) should not focus on the Christian faith alone. It proposed a revised exception to discrimination regarding the selection, ordination or appointment of persons to perform functions in relation to a religion. It would also cover training or education </w:t>
      </w:r>
      <w:r>
        <w:lastRenderedPageBreak/>
        <w:t>for religious appointments. For the exception to apply, the discrimination must be necessary to comply with the doctrines, tenets or belief of that religion</w:t>
      </w:r>
      <w:r w:rsidRPr="004179E2">
        <w:rPr>
          <w:color w:val="auto"/>
        </w:rPr>
        <w:t>.</w:t>
      </w:r>
      <w:r>
        <w:rPr>
          <w:rStyle w:val="FootnoteReference"/>
          <w:color w:val="auto"/>
        </w:rPr>
        <w:footnoteReference w:id="608"/>
      </w:r>
    </w:p>
    <w:p w14:paraId="428A8D1C" w14:textId="77777777" w:rsidR="006A1316" w:rsidRPr="00435220" w:rsidRDefault="006A1316" w:rsidP="006A1316">
      <w:pPr>
        <w:pStyle w:val="Heading2"/>
        <w:rPr>
          <w:color w:val="000000"/>
        </w:rPr>
      </w:pPr>
      <w:bookmarkStart w:id="297" w:name="_Toc196742761"/>
      <w:bookmarkStart w:id="298" w:name="_Toc196826898"/>
      <w:r>
        <w:t>Appointing any other person in any capacity</w:t>
      </w:r>
      <w:bookmarkEnd w:id="297"/>
      <w:bookmarkEnd w:id="298"/>
    </w:p>
    <w:p w14:paraId="58543E6B" w14:textId="77777777" w:rsidR="006A1316" w:rsidRDefault="006A1316" w:rsidP="006A1316">
      <w:pPr>
        <w:pStyle w:val="NormalAutoChapter"/>
        <w:tabs>
          <w:tab w:val="clear" w:pos="720"/>
          <w:tab w:val="num" w:pos="1146"/>
        </w:tabs>
      </w:pPr>
      <w:r>
        <w:t xml:space="preserve">A more controversial exception relates to the appointment of other personnel. Section 56(c) covers the </w:t>
      </w:r>
      <w:r w:rsidRPr="004D750D">
        <w:t>appoint</w:t>
      </w:r>
      <w:r>
        <w:t xml:space="preserve">ment of </w:t>
      </w:r>
      <w:r w:rsidRPr="004D750D">
        <w:t>“any other person in any capacity by a body established to propagate religion”.</w:t>
      </w:r>
      <w:r>
        <w:t xml:space="preserve"> </w:t>
      </w:r>
    </w:p>
    <w:p w14:paraId="32EB6125" w14:textId="77777777" w:rsidR="006A1316" w:rsidRDefault="006A1316" w:rsidP="006A1316">
      <w:pPr>
        <w:pStyle w:val="NormalAutoChapter"/>
        <w:tabs>
          <w:tab w:val="clear" w:pos="720"/>
          <w:tab w:val="num" w:pos="1146"/>
        </w:tabs>
      </w:pPr>
      <w:r>
        <w:t>The ADA does not explain what a “body established to propagate religion” is, and much will depend on the facts of a particular case. It has, however, been found to include charitable institutions established by churches (as we explain below).</w:t>
      </w:r>
      <w:r>
        <w:rPr>
          <w:rStyle w:val="FootnoteReference"/>
        </w:rPr>
        <w:footnoteReference w:id="609"/>
      </w:r>
      <w:r>
        <w:t xml:space="preserve"> </w:t>
      </w:r>
    </w:p>
    <w:p w14:paraId="0AFA8CDB" w14:textId="77777777" w:rsidR="006A1316" w:rsidRPr="00512867" w:rsidRDefault="006A1316" w:rsidP="006A1316">
      <w:pPr>
        <w:pStyle w:val="NormalAutoChapter"/>
        <w:tabs>
          <w:tab w:val="clear" w:pos="720"/>
          <w:tab w:val="num" w:pos="1146"/>
        </w:tabs>
      </w:pPr>
      <w:r>
        <w:t xml:space="preserve">There is also a view that similar wording in the </w:t>
      </w:r>
      <w:r w:rsidRPr="00337A47">
        <w:rPr>
          <w:i/>
          <w:iCs/>
        </w:rPr>
        <w:t>Sex Discrimination Act</w:t>
      </w:r>
      <w:r>
        <w:rPr>
          <w:i/>
          <w:iCs/>
        </w:rPr>
        <w:t xml:space="preserve"> </w:t>
      </w:r>
      <w:r>
        <w:t>is broad enough to potentially include religious educational institutions.</w:t>
      </w:r>
      <w:r>
        <w:rPr>
          <w:rStyle w:val="FootnoteReference"/>
        </w:rPr>
        <w:footnoteReference w:id="610"/>
      </w:r>
      <w:r>
        <w:t xml:space="preserve"> There may be some overlaps with the exceptions for private educational authorities, which we consider below. </w:t>
      </w:r>
    </w:p>
    <w:p w14:paraId="48FA5AD1" w14:textId="77777777" w:rsidR="006A1316" w:rsidRPr="007E6A69" w:rsidRDefault="006A1316" w:rsidP="006A1316">
      <w:pPr>
        <w:pStyle w:val="NormalAutoChapter"/>
        <w:tabs>
          <w:tab w:val="clear" w:pos="720"/>
          <w:tab w:val="num" w:pos="1146"/>
        </w:tabs>
        <w:rPr>
          <w:color w:val="auto"/>
        </w:rPr>
      </w:pPr>
      <w:r>
        <w:t>The exception in the ADA is wide enough to cover appointments to roles that do not have a religious character.</w:t>
      </w:r>
      <w:r>
        <w:rPr>
          <w:rStyle w:val="FootnoteReference"/>
        </w:rPr>
        <w:footnoteReference w:id="611"/>
      </w:r>
      <w:r w:rsidDel="00963144">
        <w:t xml:space="preserve"> </w:t>
      </w:r>
      <w:r w:rsidRPr="007E6A69">
        <w:rPr>
          <w:color w:val="auto"/>
        </w:rPr>
        <w:t>If this exception is considered too broad, there are a range of ways it could be changed.</w:t>
      </w:r>
    </w:p>
    <w:p w14:paraId="477AD2AD" w14:textId="77777777" w:rsidR="006A1316" w:rsidRDefault="006A1316" w:rsidP="006A1316">
      <w:pPr>
        <w:pStyle w:val="Heading3"/>
      </w:pPr>
      <w:r>
        <w:t>Inherent requirements, reasonableness and proportionality tests</w:t>
      </w:r>
    </w:p>
    <w:p w14:paraId="4DF10D04" w14:textId="73AF4409" w:rsidR="006A1316" w:rsidRPr="00362F1D" w:rsidRDefault="006A1316" w:rsidP="006A1316">
      <w:pPr>
        <w:pStyle w:val="NormalAutoChapter"/>
        <w:tabs>
          <w:tab w:val="clear" w:pos="720"/>
          <w:tab w:val="num" w:pos="1146"/>
        </w:tabs>
        <w:rPr>
          <w:strike/>
        </w:rPr>
      </w:pPr>
      <w:r w:rsidRPr="00AD3E17">
        <w:rPr>
          <w:color w:val="auto"/>
        </w:rPr>
        <w:t xml:space="preserve">One option could be to only allow discrimination in employment if </w:t>
      </w:r>
      <w:r w:rsidR="008C78F2">
        <w:rPr>
          <w:color w:val="auto"/>
        </w:rPr>
        <w:t xml:space="preserve">the </w:t>
      </w:r>
      <w:r w:rsidRPr="00AD3E17">
        <w:rPr>
          <w:color w:val="auto"/>
        </w:rPr>
        <w:t>teaching, observance or practice of religion is an inherent requirement of the position or a genuine occupational requirement.</w:t>
      </w:r>
      <w:r>
        <w:rPr>
          <w:color w:val="auto"/>
        </w:rPr>
        <w:t xml:space="preserve"> As we mentioned in </w:t>
      </w:r>
      <w:r w:rsidRPr="004A2504">
        <w:rPr>
          <w:color w:val="auto"/>
        </w:rPr>
        <w:t>chapter 5, the</w:t>
      </w:r>
      <w:r>
        <w:rPr>
          <w:color w:val="auto"/>
        </w:rPr>
        <w:t xml:space="preserve"> NSWLRC recommended making religious belief and practices a protected attribute. It also recommended </w:t>
      </w:r>
      <w:r>
        <w:t xml:space="preserve">adding a new exception to allow religious discrimination in employment </w:t>
      </w:r>
      <w:r w:rsidRPr="002D4F69">
        <w:t xml:space="preserve">where religious belief is a genuine occupational </w:t>
      </w:r>
      <w:r>
        <w:t>qualification.</w:t>
      </w:r>
      <w:r>
        <w:rPr>
          <w:rStyle w:val="FootnoteReference"/>
        </w:rPr>
        <w:footnoteReference w:id="612"/>
      </w:r>
      <w:r>
        <w:t xml:space="preserve"> </w:t>
      </w:r>
    </w:p>
    <w:p w14:paraId="338D27F3" w14:textId="77777777" w:rsidR="006A1316" w:rsidRDefault="006A1316" w:rsidP="006A1316">
      <w:pPr>
        <w:pStyle w:val="NormalAutoChapter"/>
        <w:tabs>
          <w:tab w:val="clear" w:pos="720"/>
          <w:tab w:val="num" w:pos="1146"/>
        </w:tabs>
        <w:rPr>
          <w:color w:val="auto"/>
        </w:rPr>
      </w:pPr>
      <w:r>
        <w:rPr>
          <w:color w:val="auto"/>
        </w:rPr>
        <w:t>There is a view, however, that further safeguards are needed. Some argue that such an exception could indirectly allow discrimination against LGBTQIA+ people, their supporters, and others who do not adhere to a particular religion’s beliefs on marriage, sexuality and gender. For instance, it could be argued that adherence to these beliefs is a genuine occupational requirement of the role.</w:t>
      </w:r>
      <w:r>
        <w:rPr>
          <w:rStyle w:val="FootnoteReference"/>
          <w:color w:val="auto"/>
        </w:rPr>
        <w:footnoteReference w:id="613"/>
      </w:r>
    </w:p>
    <w:p w14:paraId="4942526B" w14:textId="77777777" w:rsidR="006A1316" w:rsidRPr="00AD3E17" w:rsidRDefault="006A1316" w:rsidP="006A1316">
      <w:pPr>
        <w:pStyle w:val="NormalAutoChapter"/>
        <w:tabs>
          <w:tab w:val="clear" w:pos="720"/>
          <w:tab w:val="num" w:pos="1146"/>
        </w:tabs>
        <w:rPr>
          <w:color w:val="auto"/>
        </w:rPr>
      </w:pPr>
      <w:r>
        <w:rPr>
          <w:color w:val="auto"/>
        </w:rPr>
        <w:lastRenderedPageBreak/>
        <w:t xml:space="preserve">Some discrimination laws have additional requirements that religious bodies must meet. </w:t>
      </w:r>
      <w:r w:rsidRPr="00AD3E17">
        <w:rPr>
          <w:color w:val="auto"/>
        </w:rPr>
        <w:t>For example, religious bodies in Victoria can discriminate based on religious belief or activity if:</w:t>
      </w:r>
    </w:p>
    <w:p w14:paraId="1060B51B" w14:textId="77777777" w:rsidR="006A1316" w:rsidRDefault="006A1316" w:rsidP="006A1316">
      <w:pPr>
        <w:pStyle w:val="Normalbullet"/>
      </w:pPr>
      <w:r>
        <w:t xml:space="preserve">conformity with the doctrines of the religion is an inherent requirement of the position, and </w:t>
      </w:r>
    </w:p>
    <w:p w14:paraId="6910854D" w14:textId="77777777" w:rsidR="006A1316" w:rsidRDefault="006A1316" w:rsidP="006A1316">
      <w:pPr>
        <w:pStyle w:val="Normalbullet"/>
      </w:pPr>
      <w:r>
        <w:t>the discrimination is reasonable and proportionate in the circumstances.</w:t>
      </w:r>
      <w:r>
        <w:rPr>
          <w:rStyle w:val="FootnoteReference"/>
        </w:rPr>
        <w:footnoteReference w:id="614"/>
      </w:r>
    </w:p>
    <w:p w14:paraId="39D6D987" w14:textId="103E22FF" w:rsidR="006A1316" w:rsidRDefault="006A1316" w:rsidP="006A1316">
      <w:pPr>
        <w:pStyle w:val="NormalAutoChapter"/>
        <w:tabs>
          <w:tab w:val="clear" w:pos="720"/>
          <w:tab w:val="num" w:pos="1146"/>
        </w:tabs>
        <w:rPr>
          <w:strike/>
          <w:color w:val="auto"/>
        </w:rPr>
      </w:pPr>
      <w:r>
        <w:rPr>
          <w:color w:val="auto"/>
        </w:rPr>
        <w:t xml:space="preserve">In Victoria, this exception applies to the whole work relationship, not just at the point of appointment. If this model is considered for NSW, an option could be to confine the exception to appointments </w:t>
      </w:r>
      <w:r w:rsidR="0064565B">
        <w:rPr>
          <w:color w:val="auto"/>
        </w:rPr>
        <w:t>(</w:t>
      </w:r>
      <w:r>
        <w:rPr>
          <w:color w:val="auto"/>
        </w:rPr>
        <w:t>as the ADA does currently</w:t>
      </w:r>
      <w:r w:rsidR="0064565B">
        <w:rPr>
          <w:color w:val="auto"/>
        </w:rPr>
        <w:t>)</w:t>
      </w:r>
      <w:r>
        <w:rPr>
          <w:color w:val="auto"/>
        </w:rPr>
        <w:t>.</w:t>
      </w:r>
    </w:p>
    <w:p w14:paraId="0263E1DE" w14:textId="77777777" w:rsidR="006A1316" w:rsidRDefault="006A1316" w:rsidP="006A1316">
      <w:pPr>
        <w:pStyle w:val="NormalAutoChapter"/>
      </w:pPr>
      <w:r w:rsidRPr="00643D35">
        <w:t xml:space="preserve">The </w:t>
      </w:r>
      <w:r>
        <w:t>Queensland Human Rights Commission (</w:t>
      </w:r>
      <w:r w:rsidRPr="00643D35">
        <w:t>QHRC</w:t>
      </w:r>
      <w:r>
        <w:t>)</w:t>
      </w:r>
      <w:r w:rsidRPr="00643D35">
        <w:t xml:space="preserve"> </w:t>
      </w:r>
      <w:r>
        <w:t xml:space="preserve">similarly recommended that religious organisations should only be able to </w:t>
      </w:r>
      <w:r w:rsidRPr="00643D35">
        <w:t>discriminat</w:t>
      </w:r>
      <w:r>
        <w:t>e</w:t>
      </w:r>
      <w:r w:rsidRPr="00643D35">
        <w:t xml:space="preserve"> </w:t>
      </w:r>
      <w:r>
        <w:t>based on</w:t>
      </w:r>
      <w:r w:rsidRPr="00643D35">
        <w:t xml:space="preserve"> religious belief or activity in relation to work if</w:t>
      </w:r>
      <w:r>
        <w:t>:</w:t>
      </w:r>
    </w:p>
    <w:p w14:paraId="4CDCC29C" w14:textId="77777777" w:rsidR="006A1316" w:rsidRDefault="006A1316" w:rsidP="006A1316">
      <w:pPr>
        <w:pStyle w:val="Normalbullet"/>
      </w:pPr>
      <w:r>
        <w:t xml:space="preserve">it was </w:t>
      </w:r>
      <w:r w:rsidRPr="00643D35">
        <w:t>reasonable and proportionate in the circumstances</w:t>
      </w:r>
      <w:r>
        <w:t>,</w:t>
      </w:r>
      <w:r w:rsidRPr="00643D35">
        <w:t xml:space="preserve"> and </w:t>
      </w:r>
    </w:p>
    <w:p w14:paraId="4C22C705" w14:textId="77777777" w:rsidR="006A1316" w:rsidRPr="00362F1D" w:rsidRDefault="006A1316" w:rsidP="006A1316">
      <w:pPr>
        <w:pStyle w:val="Normalbullet"/>
      </w:pPr>
      <w:r w:rsidRPr="00643D35">
        <w:t xml:space="preserve">participation in the teaching, observance or practice of a particular religion </w:t>
      </w:r>
      <w:r>
        <w:t>was</w:t>
      </w:r>
      <w:r w:rsidRPr="00643D35">
        <w:t xml:space="preserve"> a genuine occupational requiremen</w:t>
      </w:r>
      <w:r>
        <w:t>t</w:t>
      </w:r>
      <w:r w:rsidRPr="00643D35">
        <w:t>.</w:t>
      </w:r>
      <w:r>
        <w:rPr>
          <w:rStyle w:val="FootnoteReference"/>
        </w:rPr>
        <w:footnoteReference w:id="615"/>
      </w:r>
    </w:p>
    <w:p w14:paraId="6D39EE52" w14:textId="0BC2E9FF" w:rsidR="006A1316" w:rsidRPr="00AB79DB" w:rsidRDefault="006A1316" w:rsidP="006A1316">
      <w:pPr>
        <w:pStyle w:val="Heading3"/>
        <w:rPr>
          <w:szCs w:val="24"/>
        </w:rPr>
      </w:pPr>
      <w:r>
        <w:t xml:space="preserve">Adherence </w:t>
      </w:r>
      <w:r w:rsidR="00D44411">
        <w:t>to</w:t>
      </w:r>
      <w:r>
        <w:t xml:space="preserve"> religious beliefs and/or practices</w:t>
      </w:r>
    </w:p>
    <w:p w14:paraId="6278A205" w14:textId="77777777" w:rsidR="006A1316" w:rsidRPr="00260716" w:rsidRDefault="006A1316" w:rsidP="006A1316">
      <w:pPr>
        <w:pStyle w:val="NormalAutoChapter"/>
        <w:tabs>
          <w:tab w:val="clear" w:pos="720"/>
          <w:tab w:val="num" w:pos="1146"/>
        </w:tabs>
        <w:rPr>
          <w:color w:val="auto"/>
        </w:rPr>
      </w:pPr>
      <w:r>
        <w:rPr>
          <w:color w:val="auto"/>
          <w:szCs w:val="22"/>
        </w:rPr>
        <w:t xml:space="preserve">An alternative option could be to </w:t>
      </w:r>
      <w:r w:rsidRPr="00260716">
        <w:rPr>
          <w:color w:val="auto"/>
          <w:szCs w:val="22"/>
        </w:rPr>
        <w:t>allow religious institutions (</w:t>
      </w:r>
      <w:r>
        <w:rPr>
          <w:color w:val="auto"/>
          <w:szCs w:val="22"/>
        </w:rPr>
        <w:t xml:space="preserve">potentially including </w:t>
      </w:r>
      <w:r w:rsidRPr="00260716">
        <w:rPr>
          <w:color w:val="auto"/>
          <w:szCs w:val="22"/>
        </w:rPr>
        <w:t xml:space="preserve">religious </w:t>
      </w:r>
      <w:r>
        <w:rPr>
          <w:color w:val="auto"/>
          <w:szCs w:val="22"/>
        </w:rPr>
        <w:t>educational institutions</w:t>
      </w:r>
      <w:r w:rsidRPr="00260716">
        <w:rPr>
          <w:color w:val="auto"/>
          <w:szCs w:val="22"/>
        </w:rPr>
        <w:t xml:space="preserve">) to discriminate by preferring a candidate or refusing to hire them, </w:t>
      </w:r>
      <w:r>
        <w:rPr>
          <w:color w:val="auto"/>
          <w:szCs w:val="22"/>
        </w:rPr>
        <w:t xml:space="preserve">or in the allocation of duties and responsibilities, </w:t>
      </w:r>
      <w:r w:rsidRPr="00260716">
        <w:rPr>
          <w:color w:val="auto"/>
          <w:szCs w:val="22"/>
        </w:rPr>
        <w:t>depending on whether the</w:t>
      </w:r>
      <w:r>
        <w:rPr>
          <w:color w:val="auto"/>
          <w:szCs w:val="22"/>
        </w:rPr>
        <w:t>y:</w:t>
      </w:r>
    </w:p>
    <w:p w14:paraId="48EC78C0" w14:textId="77777777" w:rsidR="006A1316" w:rsidRPr="00260716" w:rsidRDefault="006A1316" w:rsidP="006A1316">
      <w:pPr>
        <w:pStyle w:val="Normalbullet"/>
      </w:pPr>
      <w:r w:rsidRPr="00260716">
        <w:t>adhere to the religious beliefs and practices of the institution, or</w:t>
      </w:r>
    </w:p>
    <w:p w14:paraId="32E13CE9" w14:textId="77777777" w:rsidR="006A1316" w:rsidRPr="00260716" w:rsidRDefault="006A1316" w:rsidP="006A1316">
      <w:pPr>
        <w:pStyle w:val="Normalbullet"/>
      </w:pPr>
      <w:r w:rsidRPr="00260716">
        <w:t xml:space="preserve">conduct </w:t>
      </w:r>
      <w:r>
        <w:t xml:space="preserve">themselves </w:t>
      </w:r>
      <w:r w:rsidRPr="00260716">
        <w:t>consistent</w:t>
      </w:r>
      <w:r>
        <w:t>ly</w:t>
      </w:r>
      <w:r w:rsidRPr="00260716">
        <w:t xml:space="preserve"> with the religious beliefs and practices of the institution.</w:t>
      </w:r>
      <w:r w:rsidRPr="00260716">
        <w:rPr>
          <w:rStyle w:val="FootnoteReference"/>
        </w:rPr>
        <w:footnoteReference w:id="616"/>
      </w:r>
    </w:p>
    <w:p w14:paraId="05EA8459" w14:textId="77777777" w:rsidR="006A1316" w:rsidRPr="004D776E" w:rsidRDefault="006A1316" w:rsidP="006A1316">
      <w:pPr>
        <w:pStyle w:val="NormalAutoChapter"/>
        <w:tabs>
          <w:tab w:val="clear" w:pos="720"/>
          <w:tab w:val="num" w:pos="1146"/>
        </w:tabs>
        <w:rPr>
          <w:color w:val="auto"/>
        </w:rPr>
      </w:pPr>
      <w:r w:rsidRPr="004D776E">
        <w:rPr>
          <w:color w:val="auto"/>
          <w:szCs w:val="22"/>
        </w:rPr>
        <w:t>As a safeguard, it has been suggested that the law could require institution</w:t>
      </w:r>
      <w:r>
        <w:rPr>
          <w:color w:val="auto"/>
          <w:szCs w:val="22"/>
        </w:rPr>
        <w:t>s</w:t>
      </w:r>
      <w:r w:rsidRPr="004D776E">
        <w:rPr>
          <w:color w:val="auto"/>
          <w:szCs w:val="22"/>
        </w:rPr>
        <w:t xml:space="preserve"> to have a written policy. Employers would only be allowed to terminate employees under this exception if they breach a written agreement to conduct themselves in accordance with the ethos of the institution.</w:t>
      </w:r>
      <w:r w:rsidRPr="00260716">
        <w:rPr>
          <w:rStyle w:val="FootnoteReference"/>
          <w:color w:val="auto"/>
        </w:rPr>
        <w:footnoteReference w:id="617"/>
      </w:r>
    </w:p>
    <w:p w14:paraId="10E40BAC" w14:textId="77777777" w:rsidR="006A1316" w:rsidRPr="001E2BAD" w:rsidRDefault="006A1316" w:rsidP="006A1316">
      <w:pPr>
        <w:pStyle w:val="NormalAutoChapter"/>
        <w:tabs>
          <w:tab w:val="clear" w:pos="720"/>
          <w:tab w:val="num" w:pos="1146"/>
        </w:tabs>
        <w:rPr>
          <w:strike/>
        </w:rPr>
      </w:pPr>
      <w:r w:rsidRPr="00785A93">
        <w:rPr>
          <w:color w:val="auto"/>
        </w:rPr>
        <w:t xml:space="preserve">The </w:t>
      </w:r>
      <w:r>
        <w:rPr>
          <w:color w:val="auto"/>
        </w:rPr>
        <w:t>Australian Capital Territory (</w:t>
      </w:r>
      <w:r w:rsidRPr="00785A93">
        <w:rPr>
          <w:color w:val="auto"/>
        </w:rPr>
        <w:t>ACT</w:t>
      </w:r>
      <w:r>
        <w:rPr>
          <w:color w:val="auto"/>
        </w:rPr>
        <w:t>)</w:t>
      </w:r>
      <w:r w:rsidRPr="00785A93">
        <w:rPr>
          <w:color w:val="auto"/>
        </w:rPr>
        <w:t xml:space="preserve"> takes a similar approach. There, r</w:t>
      </w:r>
      <w:r w:rsidRPr="00362F1D">
        <w:rPr>
          <w:color w:val="auto"/>
        </w:rPr>
        <w:t xml:space="preserve">eligious bodies </w:t>
      </w:r>
      <w:r>
        <w:rPr>
          <w:color w:val="auto"/>
        </w:rPr>
        <w:t>can</w:t>
      </w:r>
      <w:r w:rsidRPr="00362F1D">
        <w:rPr>
          <w:color w:val="auto"/>
        </w:rPr>
        <w:t xml:space="preserve"> discriminate in employment, but only</w:t>
      </w:r>
      <w:r>
        <w:rPr>
          <w:color w:val="auto"/>
        </w:rPr>
        <w:t xml:space="preserve"> </w:t>
      </w:r>
      <w:r w:rsidRPr="00785A93">
        <w:t>on the ground of religious conviction</w:t>
      </w:r>
      <w:r>
        <w:t>:</w:t>
      </w:r>
    </w:p>
    <w:p w14:paraId="17A087F3" w14:textId="77777777" w:rsidR="006A1316" w:rsidRPr="00362F1D" w:rsidRDefault="006A1316" w:rsidP="006A1316">
      <w:pPr>
        <w:pStyle w:val="Normalbullet"/>
        <w:rPr>
          <w:strike/>
        </w:rPr>
      </w:pPr>
      <w:r w:rsidRPr="00785A93">
        <w:lastRenderedPageBreak/>
        <w:t>where this conforms to the doctrines, tenets or beliefs of the body’s religion, and</w:t>
      </w:r>
    </w:p>
    <w:p w14:paraId="048C2D2E" w14:textId="77777777" w:rsidR="006A1316" w:rsidRPr="00362F1D" w:rsidRDefault="006A1316" w:rsidP="006A1316">
      <w:pPr>
        <w:pStyle w:val="Normalbullet"/>
        <w:rPr>
          <w:strike/>
        </w:rPr>
      </w:pPr>
      <w:r w:rsidRPr="00785A93">
        <w:t>when the discrimination is necessary to avoid injury to the religious susceptibilities of adherents of the religion</w:t>
      </w:r>
      <w:r>
        <w:t>, and the body has published an employment policy</w:t>
      </w:r>
      <w:r w:rsidRPr="00785A93">
        <w:t>.</w:t>
      </w:r>
      <w:r w:rsidRPr="00362F1D">
        <w:rPr>
          <w:rStyle w:val="FootnoteReference"/>
        </w:rPr>
        <w:footnoteReference w:id="618"/>
      </w:r>
    </w:p>
    <w:p w14:paraId="10ADDE28" w14:textId="77777777" w:rsidR="006A1316" w:rsidRPr="00362F1D" w:rsidRDefault="006A1316" w:rsidP="006A1316">
      <w:pPr>
        <w:pStyle w:val="NormalAutoChapter"/>
        <w:tabs>
          <w:tab w:val="clear" w:pos="720"/>
          <w:tab w:val="num" w:pos="1146"/>
        </w:tabs>
      </w:pPr>
      <w:r>
        <w:t xml:space="preserve">The exception </w:t>
      </w:r>
      <w:r w:rsidRPr="00362F1D">
        <w:t>does not apply to employment at a religious educational institution, or to a religious body whose sole or main purpose is commercial.</w:t>
      </w:r>
      <w:r w:rsidRPr="00362F1D">
        <w:rPr>
          <w:rStyle w:val="FootnoteReference"/>
          <w:color w:val="auto"/>
        </w:rPr>
        <w:footnoteReference w:id="619"/>
      </w:r>
      <w:r>
        <w:t xml:space="preserve"> The </w:t>
      </w:r>
      <w:r w:rsidRPr="00A32896">
        <w:t xml:space="preserve">ACT Law Reform Advisory Council </w:t>
      </w:r>
      <w:r>
        <w:t xml:space="preserve">recommended amending this </w:t>
      </w:r>
      <w:proofErr w:type="gramStart"/>
      <w:r>
        <w:t>exception</w:t>
      </w:r>
      <w:proofErr w:type="gramEnd"/>
      <w:r>
        <w:t xml:space="preserve"> so it only permits discrimination where it is reasonably justified.</w:t>
      </w:r>
      <w:r>
        <w:rPr>
          <w:rStyle w:val="FootnoteReference"/>
        </w:rPr>
        <w:footnoteReference w:id="620"/>
      </w:r>
    </w:p>
    <w:p w14:paraId="793070F4" w14:textId="77777777" w:rsidR="006A1316" w:rsidRPr="00260716" w:rsidRDefault="006A1316" w:rsidP="006A1316">
      <w:pPr>
        <w:pStyle w:val="Heading3"/>
      </w:pPr>
      <w:r>
        <w:t>Duties relating to religious observance or practice</w:t>
      </w:r>
    </w:p>
    <w:p w14:paraId="526A4B55" w14:textId="79EC1C83" w:rsidR="006A1316" w:rsidRPr="00751C48" w:rsidRDefault="006A1316" w:rsidP="006A1316">
      <w:pPr>
        <w:pStyle w:val="NormalAutoChapter"/>
        <w:tabs>
          <w:tab w:val="clear" w:pos="720"/>
          <w:tab w:val="num" w:pos="1146"/>
        </w:tabs>
      </w:pPr>
      <w:r w:rsidRPr="001F7AF0">
        <w:t>A</w:t>
      </w:r>
      <w:r>
        <w:t xml:space="preserve"> narrower </w:t>
      </w:r>
      <w:r w:rsidRPr="001F7AF0">
        <w:t xml:space="preserve">option could be </w:t>
      </w:r>
      <w:r>
        <w:t>to exempt only the selection or appointment of people</w:t>
      </w:r>
      <w:r w:rsidRPr="001F7AF0">
        <w:t xml:space="preserve"> to perform duties or functions in relation to “religious observance or practice”. </w:t>
      </w:r>
      <w:r>
        <w:t>Many other discrimination laws in Australia contain this exception</w:t>
      </w:r>
      <w:r w:rsidRPr="001F7AF0">
        <w:t>.</w:t>
      </w:r>
      <w:r w:rsidRPr="001F7AF0">
        <w:rPr>
          <w:rStyle w:val="FootnoteReference"/>
        </w:rPr>
        <w:footnoteReference w:id="621"/>
      </w:r>
      <w:r w:rsidRPr="001F7AF0">
        <w:t xml:space="preserve"> </w:t>
      </w:r>
      <w:r>
        <w:t>In 2023, a private members’ Bill (</w:t>
      </w:r>
      <w:r w:rsidRPr="001F30DE">
        <w:rPr>
          <w:color w:val="auto"/>
        </w:rPr>
        <w:t>the Equality Bill) proposed to add a similar exception to the ADA</w:t>
      </w:r>
      <w:r w:rsidRPr="001F7AF0">
        <w:t>.</w:t>
      </w:r>
      <w:r w:rsidRPr="001F7AF0">
        <w:rPr>
          <w:rStyle w:val="FootnoteReference"/>
        </w:rPr>
        <w:footnoteReference w:id="622"/>
      </w:r>
      <w:r>
        <w:t xml:space="preserve"> This aspect of the Bill was not enacted.</w:t>
      </w:r>
      <w:r w:rsidRPr="001F7AF0">
        <w:t xml:space="preserve"> </w:t>
      </w:r>
    </w:p>
    <w:p w14:paraId="52D8DE1C" w14:textId="77777777" w:rsidR="006A1316" w:rsidRPr="000455D4" w:rsidRDefault="006A1316" w:rsidP="006A1316">
      <w:pPr>
        <w:pStyle w:val="Recommendationheading"/>
      </w:pPr>
      <w:r w:rsidRPr="000455D4">
        <w:t>Question 7.1: Religious personnel exceptions</w:t>
      </w:r>
    </w:p>
    <w:p w14:paraId="64CDB707" w14:textId="77777777" w:rsidR="006A1316" w:rsidRPr="000455D4" w:rsidRDefault="006A1316" w:rsidP="006A1316">
      <w:pPr>
        <w:pStyle w:val="Recommendationhanging1"/>
      </w:pPr>
      <w:r>
        <w:t xml:space="preserve">(1) </w:t>
      </w:r>
      <w:r>
        <w:tab/>
      </w:r>
      <w:r w:rsidRPr="000455D4">
        <w:t xml:space="preserve">Should the </w:t>
      </w:r>
      <w:r>
        <w:t xml:space="preserve">ADA </w:t>
      </w:r>
      <w:r w:rsidRPr="000455D4">
        <w:t xml:space="preserve">provide exceptions for: </w:t>
      </w:r>
    </w:p>
    <w:p w14:paraId="42F38619" w14:textId="77777777" w:rsidR="006A1316" w:rsidRPr="000455D4" w:rsidRDefault="006A1316" w:rsidP="006A1316">
      <w:pPr>
        <w:pStyle w:val="Recommendationhanginga"/>
      </w:pPr>
      <w:r>
        <w:tab/>
        <w:t>(</w:t>
      </w:r>
      <w:r w:rsidRPr="000455D4">
        <w:t>a)</w:t>
      </w:r>
      <w:r w:rsidRPr="000455D4">
        <w:tab/>
        <w:t xml:space="preserve">the training and appointment of members of religious orders? </w:t>
      </w:r>
    </w:p>
    <w:p w14:paraId="136C3EE8" w14:textId="77777777" w:rsidR="006A1316" w:rsidRPr="000455D4" w:rsidRDefault="006A1316" w:rsidP="006A1316">
      <w:pPr>
        <w:pStyle w:val="Recommendationhanginga"/>
      </w:pPr>
      <w:r w:rsidRPr="000455D4">
        <w:tab/>
      </w:r>
      <w:r>
        <w:t>(</w:t>
      </w:r>
      <w:r w:rsidRPr="000455D4">
        <w:t>b)</w:t>
      </w:r>
      <w:r w:rsidRPr="000455D4">
        <w:tab/>
        <w:t>“the appointment of any other person in any capacity by a body established to propagate religion”?</w:t>
      </w:r>
    </w:p>
    <w:p w14:paraId="3AB60B3F" w14:textId="77777777" w:rsidR="006A1316" w:rsidRPr="000455D4" w:rsidRDefault="006A1316" w:rsidP="006A1316">
      <w:pPr>
        <w:pStyle w:val="Recommendationhanging1"/>
      </w:pPr>
      <w:r>
        <w:t xml:space="preserve">(2) </w:t>
      </w:r>
      <w:r>
        <w:tab/>
      </w:r>
      <w:r w:rsidRPr="000455D4">
        <w:t>If so, what should these exceptions cover and when should they apply?</w:t>
      </w:r>
    </w:p>
    <w:p w14:paraId="74DA35DE" w14:textId="77777777" w:rsidR="006A1316" w:rsidRDefault="006A1316" w:rsidP="006A1316">
      <w:pPr>
        <w:pStyle w:val="Heading2"/>
      </w:pPr>
      <w:bookmarkStart w:id="299" w:name="_Toc196742762"/>
      <w:bookmarkStart w:id="300" w:name="_Toc196826899"/>
      <w:bookmarkStart w:id="301" w:name="_Toc178260193"/>
      <w:r>
        <w:t>Other acts or practices of religious bodies</w:t>
      </w:r>
      <w:bookmarkEnd w:id="299"/>
      <w:bookmarkEnd w:id="300"/>
      <w:r>
        <w:t xml:space="preserve"> </w:t>
      </w:r>
      <w:bookmarkEnd w:id="301"/>
    </w:p>
    <w:p w14:paraId="72517883" w14:textId="77777777" w:rsidR="006A1316" w:rsidRPr="00203CE4" w:rsidRDefault="006A1316" w:rsidP="006A1316">
      <w:pPr>
        <w:pStyle w:val="NormalAutoChapter"/>
        <w:tabs>
          <w:tab w:val="clear" w:pos="720"/>
          <w:tab w:val="num" w:pos="1146"/>
        </w:tabs>
      </w:pPr>
      <w:r w:rsidRPr="00203CE4">
        <w:t>A related issue is whether religious bodies should be permitted to discriminate</w:t>
      </w:r>
      <w:r>
        <w:t xml:space="preserve"> </w:t>
      </w:r>
      <w:r w:rsidRPr="00203CE4">
        <w:t xml:space="preserve">in relation to </w:t>
      </w:r>
      <w:r>
        <w:t xml:space="preserve">any </w:t>
      </w:r>
      <w:r w:rsidRPr="00203CE4">
        <w:t xml:space="preserve">other acts and practices. </w:t>
      </w:r>
    </w:p>
    <w:p w14:paraId="3A8924F6" w14:textId="77777777" w:rsidR="006A1316" w:rsidRDefault="006A1316" w:rsidP="006A1316">
      <w:pPr>
        <w:pStyle w:val="NormalAutoChapter"/>
        <w:tabs>
          <w:tab w:val="clear" w:pos="720"/>
          <w:tab w:val="num" w:pos="1146"/>
        </w:tabs>
      </w:pPr>
      <w:r>
        <w:t xml:space="preserve">Section 56(d) contains a wide exception for </w:t>
      </w:r>
      <w:proofErr w:type="spellStart"/>
      <w:r>
        <w:t>any body</w:t>
      </w:r>
      <w:proofErr w:type="spellEnd"/>
      <w:r>
        <w:t xml:space="preserve"> “established to propagate religion”. Nothing in the ADA applies to the acts or practices of such bodies that either:</w:t>
      </w:r>
    </w:p>
    <w:p w14:paraId="3A5BD672" w14:textId="77777777" w:rsidR="006A1316" w:rsidRDefault="006A1316" w:rsidP="006A1316">
      <w:pPr>
        <w:pStyle w:val="Normalbullet"/>
      </w:pPr>
      <w:r w:rsidRPr="002A5188">
        <w:t>conform to the doctrines of that religion</w:t>
      </w:r>
      <w:r>
        <w:t>, or</w:t>
      </w:r>
    </w:p>
    <w:p w14:paraId="703EAE86" w14:textId="77777777" w:rsidR="006A1316" w:rsidRDefault="006A1316" w:rsidP="006A1316">
      <w:pPr>
        <w:pStyle w:val="Normalbullet"/>
      </w:pPr>
      <w:r>
        <w:lastRenderedPageBreak/>
        <w:t>are</w:t>
      </w:r>
      <w:r w:rsidRPr="002A5188">
        <w:t xml:space="preserve"> necessary to avoid injury to the religious susceptibilities of the adherents of that religion.</w:t>
      </w:r>
      <w:r>
        <w:rPr>
          <w:rStyle w:val="FootnoteReference"/>
        </w:rPr>
        <w:footnoteReference w:id="623"/>
      </w:r>
    </w:p>
    <w:p w14:paraId="2FBA4617" w14:textId="77777777" w:rsidR="006A1316" w:rsidRDefault="006A1316" w:rsidP="006A1316">
      <w:pPr>
        <w:pStyle w:val="NormalAutoChapter"/>
        <w:rPr>
          <w:color w:val="auto"/>
        </w:rPr>
      </w:pPr>
      <w:r>
        <w:t>As we note above, the ADA does not define what a</w:t>
      </w:r>
      <w:r w:rsidRPr="00B4331D">
        <w:t xml:space="preserve"> </w:t>
      </w:r>
      <w:r>
        <w:t>“</w:t>
      </w:r>
      <w:r w:rsidRPr="00B4331D">
        <w:t>body established to propagate religion</w:t>
      </w:r>
      <w:r>
        <w:t xml:space="preserve">” is. However, it has been found to include </w:t>
      </w:r>
      <w:r>
        <w:rPr>
          <w:color w:val="auto"/>
        </w:rPr>
        <w:t>charitable institutions that are established by churches.</w:t>
      </w:r>
      <w:r>
        <w:rPr>
          <w:rStyle w:val="FootnoteReference"/>
          <w:color w:val="auto"/>
        </w:rPr>
        <w:footnoteReference w:id="624"/>
      </w:r>
      <w:r>
        <w:rPr>
          <w:color w:val="auto"/>
        </w:rPr>
        <w:t xml:space="preserve"> For example, it applied to </w:t>
      </w:r>
      <w:r>
        <w:t xml:space="preserve">a foster care service </w:t>
      </w:r>
      <w:r w:rsidRPr="001A60A4">
        <w:rPr>
          <w:color w:val="auto"/>
        </w:rPr>
        <w:t xml:space="preserve">provided by </w:t>
      </w:r>
      <w:r>
        <w:rPr>
          <w:color w:val="auto"/>
        </w:rPr>
        <w:t xml:space="preserve">the </w:t>
      </w:r>
      <w:r w:rsidRPr="001A60A4">
        <w:rPr>
          <w:color w:val="auto"/>
        </w:rPr>
        <w:t>Wesley Mission.</w:t>
      </w:r>
      <w:r w:rsidRPr="001A60A4">
        <w:rPr>
          <w:rStyle w:val="FootnoteReference"/>
          <w:color w:val="auto"/>
        </w:rPr>
        <w:footnoteReference w:id="625"/>
      </w:r>
      <w:r>
        <w:rPr>
          <w:color w:val="auto"/>
        </w:rPr>
        <w:t xml:space="preserve"> </w:t>
      </w:r>
    </w:p>
    <w:p w14:paraId="181F9A21" w14:textId="77777777" w:rsidR="006A1316" w:rsidRDefault="006A1316" w:rsidP="006A1316">
      <w:pPr>
        <w:pStyle w:val="NormalAutoChapter"/>
        <w:rPr>
          <w:color w:val="auto"/>
        </w:rPr>
      </w:pPr>
      <w:r>
        <w:rPr>
          <w:color w:val="auto"/>
        </w:rPr>
        <w:t xml:space="preserve">An almost identical exception in the </w:t>
      </w:r>
      <w:r w:rsidRPr="008540BE">
        <w:rPr>
          <w:i/>
          <w:iCs/>
          <w:color w:val="auto"/>
        </w:rPr>
        <w:t xml:space="preserve">Sex Discrimination Act </w:t>
      </w:r>
      <w:r>
        <w:rPr>
          <w:color w:val="auto"/>
        </w:rPr>
        <w:t>permitted aged care services run by religious organisations to discriminate against same sex couples.</w:t>
      </w:r>
      <w:r>
        <w:rPr>
          <w:rStyle w:val="FootnoteReference"/>
          <w:color w:val="auto"/>
        </w:rPr>
        <w:footnoteReference w:id="626"/>
      </w:r>
      <w:r>
        <w:rPr>
          <w:color w:val="auto"/>
        </w:rPr>
        <w:t xml:space="preserve"> </w:t>
      </w:r>
    </w:p>
    <w:p w14:paraId="0F689931" w14:textId="77777777" w:rsidR="006A1316" w:rsidRDefault="006A1316" w:rsidP="006A1316">
      <w:pPr>
        <w:pStyle w:val="NormalAutoChapter"/>
        <w:rPr>
          <w:color w:val="auto"/>
        </w:rPr>
      </w:pPr>
      <w:r>
        <w:rPr>
          <w:color w:val="auto"/>
        </w:rPr>
        <w:t xml:space="preserve">The ALRC observed that the </w:t>
      </w:r>
      <w:r w:rsidRPr="00E76165">
        <w:rPr>
          <w:i/>
          <w:iCs/>
          <w:color w:val="auto"/>
        </w:rPr>
        <w:t xml:space="preserve">Sex Discrimination Act </w:t>
      </w:r>
      <w:r>
        <w:rPr>
          <w:color w:val="auto"/>
        </w:rPr>
        <w:t xml:space="preserve">exception </w:t>
      </w:r>
      <w:r w:rsidRPr="00D938ED">
        <w:rPr>
          <w:color w:val="auto"/>
        </w:rPr>
        <w:t xml:space="preserve">could </w:t>
      </w:r>
      <w:r>
        <w:rPr>
          <w:color w:val="auto"/>
        </w:rPr>
        <w:t>also apply to</w:t>
      </w:r>
      <w:r w:rsidRPr="00D938ED">
        <w:rPr>
          <w:color w:val="auto"/>
        </w:rPr>
        <w:t xml:space="preserve"> religious </w:t>
      </w:r>
      <w:r>
        <w:rPr>
          <w:color w:val="auto"/>
        </w:rPr>
        <w:t>educational institutions. It recommended expressly excluding them</w:t>
      </w:r>
      <w:r>
        <w:t>.</w:t>
      </w:r>
      <w:r>
        <w:rPr>
          <w:rStyle w:val="FootnoteReference"/>
          <w:color w:val="auto"/>
        </w:rPr>
        <w:footnoteReference w:id="627"/>
      </w:r>
      <w:r>
        <w:rPr>
          <w:color w:val="auto"/>
        </w:rPr>
        <w:t xml:space="preserve"> </w:t>
      </w:r>
    </w:p>
    <w:p w14:paraId="3AC99EEE" w14:textId="77777777" w:rsidR="006A1316" w:rsidRDefault="006A1316" w:rsidP="006A1316">
      <w:pPr>
        <w:pStyle w:val="NormalAutoChapter"/>
        <w:tabs>
          <w:tab w:val="clear" w:pos="720"/>
          <w:tab w:val="num" w:pos="1146"/>
        </w:tabs>
      </w:pPr>
      <w:r>
        <w:t xml:space="preserve">The </w:t>
      </w:r>
      <w:r w:rsidRPr="009525E5">
        <w:rPr>
          <w:i/>
          <w:iCs/>
        </w:rPr>
        <w:t>Fair Work Act 2009</w:t>
      </w:r>
      <w:r>
        <w:t xml:space="preserve"> (Cth) contains a similar exception to its protection against termination because of one or more protected attributes. An exception applies if the person is a staff member of an institution that is conducted in accordance with the doctrines, tenets, beliefs or teachings of a particular religion or creed. The termination must be</w:t>
      </w:r>
      <w:r w:rsidRPr="0083617B">
        <w:t xml:space="preserve"> in good faith and “to avoid injury to the religious susceptibilities of adherents of that religion or creed”.</w:t>
      </w:r>
      <w:r>
        <w:rPr>
          <w:rStyle w:val="FootnoteReference"/>
          <w:color w:val="auto"/>
        </w:rPr>
        <w:footnoteReference w:id="628"/>
      </w:r>
      <w:r>
        <w:t xml:space="preserve"> </w:t>
      </w:r>
    </w:p>
    <w:p w14:paraId="63E2D7CA" w14:textId="77777777" w:rsidR="006A1316" w:rsidRPr="0083617B" w:rsidRDefault="006A1316" w:rsidP="006A1316">
      <w:pPr>
        <w:pStyle w:val="NormalAutoChapter"/>
        <w:rPr>
          <w:color w:val="auto"/>
        </w:rPr>
      </w:pPr>
      <w:r>
        <w:rPr>
          <w:color w:val="auto"/>
        </w:rPr>
        <w:t xml:space="preserve">The ALRC recommended amending this exception in relation to religious educational institutions. It considered the exception should be no broader than the ALRC’s recommended exceptions under the </w:t>
      </w:r>
      <w:r w:rsidRPr="009525E5">
        <w:rPr>
          <w:i/>
          <w:iCs/>
          <w:color w:val="auto"/>
        </w:rPr>
        <w:t>Sex Discrimination Act</w:t>
      </w:r>
      <w:r>
        <w:rPr>
          <w:color w:val="auto"/>
        </w:rPr>
        <w:t>.</w:t>
      </w:r>
      <w:r>
        <w:rPr>
          <w:rStyle w:val="FootnoteReference"/>
          <w:color w:val="auto"/>
        </w:rPr>
        <w:footnoteReference w:id="629"/>
      </w:r>
    </w:p>
    <w:p w14:paraId="107D5D97" w14:textId="6E4216A9" w:rsidR="006A1316" w:rsidRDefault="006A1316" w:rsidP="006A1316">
      <w:pPr>
        <w:pStyle w:val="NormalAutoChapter"/>
        <w:tabs>
          <w:tab w:val="clear" w:pos="720"/>
          <w:tab w:val="num" w:pos="1146"/>
        </w:tabs>
        <w:rPr>
          <w:color w:val="auto"/>
        </w:rPr>
      </w:pPr>
      <w:r>
        <w:rPr>
          <w:color w:val="auto"/>
        </w:rPr>
        <w:t xml:space="preserve">As discussed above, </w:t>
      </w:r>
      <w:r>
        <w:t>some submissions supported retaining the current religious exceptions because they safeguard freedom of thought, conscience and religion.</w:t>
      </w:r>
      <w:r>
        <w:rPr>
          <w:rStyle w:val="FootnoteReference"/>
        </w:rPr>
        <w:footnoteReference w:id="630"/>
      </w:r>
      <w:r>
        <w:t xml:space="preserve"> </w:t>
      </w:r>
      <w:r w:rsidRPr="00B23A7B">
        <w:rPr>
          <w:color w:val="auto"/>
        </w:rPr>
        <w:t xml:space="preserve">However, some </w:t>
      </w:r>
      <w:r w:rsidRPr="0045012D">
        <w:rPr>
          <w:color w:val="auto"/>
        </w:rPr>
        <w:t xml:space="preserve">think </w:t>
      </w:r>
      <w:r>
        <w:rPr>
          <w:color w:val="auto"/>
        </w:rPr>
        <w:t>s</w:t>
      </w:r>
      <w:r w:rsidR="00615582">
        <w:rPr>
          <w:color w:val="auto"/>
        </w:rPr>
        <w:t> </w:t>
      </w:r>
      <w:r>
        <w:rPr>
          <w:color w:val="auto"/>
        </w:rPr>
        <w:t xml:space="preserve">56(d) </w:t>
      </w:r>
      <w:r w:rsidRPr="00B23A7B">
        <w:rPr>
          <w:color w:val="auto"/>
        </w:rPr>
        <w:t>is too broad</w:t>
      </w:r>
      <w:r>
        <w:rPr>
          <w:color w:val="auto"/>
        </w:rPr>
        <w:t xml:space="preserve"> and argue it</w:t>
      </w:r>
      <w:r w:rsidRPr="00B23A7B">
        <w:rPr>
          <w:color w:val="auto"/>
        </w:rPr>
        <w:t xml:space="preserve"> prioritises religious freedom over other human rights.</w:t>
      </w:r>
      <w:r w:rsidRPr="00A26AB3">
        <w:rPr>
          <w:rStyle w:val="FootnoteReference"/>
          <w:color w:val="auto"/>
        </w:rPr>
        <w:footnoteReference w:id="631"/>
      </w:r>
      <w:r w:rsidRPr="00B23A7B">
        <w:rPr>
          <w:color w:val="auto"/>
        </w:rPr>
        <w:t xml:space="preserve"> </w:t>
      </w:r>
    </w:p>
    <w:p w14:paraId="347C3157" w14:textId="77777777" w:rsidR="006A1316" w:rsidRDefault="006A1316" w:rsidP="006A1316">
      <w:pPr>
        <w:pStyle w:val="NormalAutoChapter"/>
        <w:tabs>
          <w:tab w:val="clear" w:pos="720"/>
          <w:tab w:val="num" w:pos="1146"/>
        </w:tabs>
        <w:rPr>
          <w:color w:val="auto"/>
        </w:rPr>
      </w:pPr>
      <w:r>
        <w:rPr>
          <w:color w:val="auto"/>
        </w:rPr>
        <w:lastRenderedPageBreak/>
        <w:t xml:space="preserve">If </w:t>
      </w:r>
      <w:r w:rsidRPr="0045012D">
        <w:rPr>
          <w:color w:val="auto"/>
        </w:rPr>
        <w:t>this exception is</w:t>
      </w:r>
      <w:r>
        <w:rPr>
          <w:color w:val="auto"/>
        </w:rPr>
        <w:t xml:space="preserve"> considered too broad, there may be ways to limit its scope while respecting freedom of religion. We set out some possible options below.</w:t>
      </w:r>
    </w:p>
    <w:p w14:paraId="1B7D9506" w14:textId="77777777" w:rsidR="006A1316" w:rsidRPr="008E4E7D" w:rsidRDefault="006A1316" w:rsidP="006A1316">
      <w:pPr>
        <w:pStyle w:val="Heading3"/>
      </w:pPr>
      <w:r>
        <w:t xml:space="preserve">Limit the exception to certain attributes </w:t>
      </w:r>
    </w:p>
    <w:p w14:paraId="3BCAC66B" w14:textId="45F9060B" w:rsidR="006A1316" w:rsidRDefault="006A1316" w:rsidP="006A1316">
      <w:pPr>
        <w:pStyle w:val="NormalAutoChapter"/>
        <w:tabs>
          <w:tab w:val="clear" w:pos="720"/>
          <w:tab w:val="num" w:pos="1146"/>
        </w:tabs>
      </w:pPr>
      <w:r>
        <w:t xml:space="preserve">Currently, the exception in s 56(d) applies to all protected attributes. </w:t>
      </w:r>
      <w:r w:rsidR="00AA2962">
        <w:t>A</w:t>
      </w:r>
      <w:r>
        <w:t>n option could be limit it to certain attributes.</w:t>
      </w:r>
    </w:p>
    <w:p w14:paraId="6D2ADC66" w14:textId="77777777" w:rsidR="006A1316" w:rsidRPr="00DA112E" w:rsidRDefault="006A1316" w:rsidP="006A1316">
      <w:pPr>
        <w:pStyle w:val="NormalAutoChapter"/>
        <w:tabs>
          <w:tab w:val="clear" w:pos="720"/>
          <w:tab w:val="num" w:pos="1146"/>
        </w:tabs>
        <w:rPr>
          <w:color w:val="000000" w:themeColor="text1"/>
        </w:rPr>
      </w:pPr>
      <w:r w:rsidRPr="00DA112E">
        <w:rPr>
          <w:color w:val="000000" w:themeColor="text1"/>
          <w:lang w:eastAsia="en-US"/>
        </w:rPr>
        <w:t>In Victoria, a general exception for religious bodies</w:t>
      </w:r>
      <w:r>
        <w:rPr>
          <w:color w:val="000000" w:themeColor="text1"/>
          <w:lang w:eastAsia="en-US"/>
        </w:rPr>
        <w:t xml:space="preserve"> </w:t>
      </w:r>
      <w:r w:rsidRPr="00DA112E">
        <w:rPr>
          <w:color w:val="000000" w:themeColor="text1"/>
          <w:lang w:eastAsia="en-US"/>
        </w:rPr>
        <w:t>only permits discriminat</w:t>
      </w:r>
      <w:r>
        <w:rPr>
          <w:color w:val="000000" w:themeColor="text1"/>
          <w:lang w:eastAsia="en-US"/>
        </w:rPr>
        <w:t>ion</w:t>
      </w:r>
      <w:r w:rsidRPr="00DA112E">
        <w:rPr>
          <w:color w:val="000000" w:themeColor="text1"/>
          <w:lang w:eastAsia="en-US"/>
        </w:rPr>
        <w:t xml:space="preserve"> </w:t>
      </w:r>
      <w:r>
        <w:rPr>
          <w:color w:val="000000" w:themeColor="text1"/>
          <w:lang w:eastAsia="en-US"/>
        </w:rPr>
        <w:t xml:space="preserve">based on </w:t>
      </w:r>
      <w:r w:rsidRPr="00DA112E">
        <w:rPr>
          <w:color w:val="000000" w:themeColor="text1"/>
        </w:rPr>
        <w:t>religious belief, sex, sexual orientation, lawful sexual activity, marital status, parental status or gender identity.</w:t>
      </w:r>
      <w:r>
        <w:rPr>
          <w:rStyle w:val="FootnoteReference"/>
          <w:color w:val="000000" w:themeColor="text1"/>
        </w:rPr>
        <w:footnoteReference w:id="632"/>
      </w:r>
      <w:r w:rsidRPr="00DA112E">
        <w:rPr>
          <w:color w:val="000000" w:themeColor="text1"/>
        </w:rPr>
        <w:t xml:space="preserve"> </w:t>
      </w:r>
      <w:r>
        <w:rPr>
          <w:color w:val="000000" w:themeColor="text1"/>
        </w:rPr>
        <w:t xml:space="preserve">The exception does not permit discrimination based on other attributes, such as disability or race. </w:t>
      </w:r>
    </w:p>
    <w:p w14:paraId="2056139E" w14:textId="77777777" w:rsidR="006A1316" w:rsidRDefault="006A1316" w:rsidP="006A1316">
      <w:pPr>
        <w:pStyle w:val="NormalAutoChapter"/>
        <w:tabs>
          <w:tab w:val="clear" w:pos="720"/>
          <w:tab w:val="num" w:pos="1146"/>
        </w:tabs>
        <w:rPr>
          <w:color w:val="000000" w:themeColor="text1"/>
        </w:rPr>
      </w:pPr>
      <w:r>
        <w:rPr>
          <w:color w:val="000000" w:themeColor="text1"/>
        </w:rPr>
        <w:t xml:space="preserve">In 2018, a federal expert panel on religious freedom (the Religious Freedom Review) </w:t>
      </w:r>
      <w:r w:rsidRPr="00DA112E">
        <w:rPr>
          <w:color w:val="000000" w:themeColor="text1"/>
        </w:rPr>
        <w:t>recommended that</w:t>
      </w:r>
      <w:r>
        <w:rPr>
          <w:color w:val="000000" w:themeColor="text1"/>
        </w:rPr>
        <w:t xml:space="preserve"> jurisdictions with</w:t>
      </w:r>
      <w:r w:rsidRPr="00DA112E">
        <w:rPr>
          <w:color w:val="000000" w:themeColor="text1"/>
        </w:rPr>
        <w:t xml:space="preserve"> </w:t>
      </w:r>
      <w:r>
        <w:rPr>
          <w:color w:val="000000" w:themeColor="text1"/>
        </w:rPr>
        <w:t>exceptions for</w:t>
      </w:r>
      <w:r w:rsidRPr="002E4667">
        <w:rPr>
          <w:color w:val="000000" w:themeColor="text1"/>
        </w:rPr>
        <w:t xml:space="preserve"> religious bodies with respect to pregnanc</w:t>
      </w:r>
      <w:r>
        <w:rPr>
          <w:color w:val="000000" w:themeColor="text1"/>
        </w:rPr>
        <w:t>y</w:t>
      </w:r>
      <w:r w:rsidRPr="002E4667">
        <w:rPr>
          <w:color w:val="000000" w:themeColor="text1"/>
        </w:rPr>
        <w:t>, disability, race or intersex status should review them</w:t>
      </w:r>
      <w:r w:rsidRPr="00DA112E">
        <w:rPr>
          <w:color w:val="000000" w:themeColor="text1"/>
          <w:lang w:eastAsia="en-US"/>
        </w:rPr>
        <w:t>.</w:t>
      </w:r>
      <w:r w:rsidRPr="00DA112E">
        <w:rPr>
          <w:rStyle w:val="FootnoteReference"/>
          <w:color w:val="000000" w:themeColor="text1"/>
          <w:lang w:eastAsia="en-US"/>
        </w:rPr>
        <w:footnoteReference w:id="633"/>
      </w:r>
    </w:p>
    <w:p w14:paraId="213B50DE" w14:textId="77777777" w:rsidR="006A1316" w:rsidRPr="00DA112E" w:rsidRDefault="006A1316" w:rsidP="006A1316">
      <w:pPr>
        <w:pStyle w:val="NormalAutoChapter"/>
        <w:tabs>
          <w:tab w:val="clear" w:pos="720"/>
          <w:tab w:val="num" w:pos="1146"/>
        </w:tabs>
        <w:rPr>
          <w:color w:val="000000" w:themeColor="text1"/>
        </w:rPr>
      </w:pPr>
      <w:r>
        <w:rPr>
          <w:color w:val="000000" w:themeColor="text1"/>
          <w:lang w:eastAsia="en-US"/>
        </w:rPr>
        <w:t>Alternatively, the exception could be limited to only allow religious bodies to discriminate based on religious belief or activity. The QHRC recommended this approach.</w:t>
      </w:r>
      <w:r>
        <w:rPr>
          <w:rStyle w:val="FootnoteReference"/>
          <w:color w:val="000000" w:themeColor="text1"/>
          <w:lang w:eastAsia="en-US"/>
        </w:rPr>
        <w:footnoteReference w:id="634"/>
      </w:r>
      <w:r>
        <w:rPr>
          <w:color w:val="000000" w:themeColor="text1"/>
          <w:lang w:eastAsia="en-US"/>
        </w:rPr>
        <w:t xml:space="preserve"> </w:t>
      </w:r>
    </w:p>
    <w:p w14:paraId="7B9A1E86" w14:textId="77777777" w:rsidR="006A1316" w:rsidRDefault="006A1316" w:rsidP="006A1316">
      <w:pPr>
        <w:pStyle w:val="Heading3"/>
        <w:rPr>
          <w:lang w:eastAsia="en-AU"/>
        </w:rPr>
      </w:pPr>
      <w:r>
        <w:t>Require reasonableness and proportionality</w:t>
      </w:r>
    </w:p>
    <w:p w14:paraId="6291FEA0" w14:textId="77777777" w:rsidR="006A1316" w:rsidRPr="009B659B" w:rsidRDefault="006A1316" w:rsidP="006A1316">
      <w:pPr>
        <w:pStyle w:val="NormalAutoChapter"/>
        <w:tabs>
          <w:tab w:val="clear" w:pos="720"/>
          <w:tab w:val="num" w:pos="1146"/>
        </w:tabs>
      </w:pPr>
      <w:r w:rsidRPr="00916CD2">
        <w:rPr>
          <w:color w:val="auto"/>
        </w:rPr>
        <w:t xml:space="preserve">Another option could be to </w:t>
      </w:r>
      <w:r>
        <w:rPr>
          <w:color w:val="auto"/>
        </w:rPr>
        <w:t xml:space="preserve">add further requirements into the exception. </w:t>
      </w:r>
      <w:r w:rsidRPr="00916CD2">
        <w:rPr>
          <w:color w:val="auto"/>
        </w:rPr>
        <w:t>For example, Victoria</w:t>
      </w:r>
      <w:r>
        <w:rPr>
          <w:color w:val="auto"/>
        </w:rPr>
        <w:t xml:space="preserve"> allows a</w:t>
      </w:r>
      <w:r w:rsidRPr="00916CD2">
        <w:rPr>
          <w:color w:val="auto"/>
        </w:rPr>
        <w:t xml:space="preserve"> religious body </w:t>
      </w:r>
      <w:r>
        <w:rPr>
          <w:color w:val="auto"/>
        </w:rPr>
        <w:t>to discriminate in most areas but</w:t>
      </w:r>
      <w:r w:rsidRPr="00916CD2">
        <w:rPr>
          <w:color w:val="auto"/>
        </w:rPr>
        <w:t xml:space="preserve"> </w:t>
      </w:r>
      <w:r>
        <w:rPr>
          <w:color w:val="auto"/>
        </w:rPr>
        <w:t xml:space="preserve">only </w:t>
      </w:r>
      <w:r w:rsidRPr="00916CD2">
        <w:t>if it</w:t>
      </w:r>
      <w:r>
        <w:t xml:space="preserve"> is</w:t>
      </w:r>
      <w:r w:rsidRPr="00916CD2">
        <w:t xml:space="preserve"> reasonable and proportionate in the circumstance</w:t>
      </w:r>
      <w:r>
        <w:t>s</w:t>
      </w:r>
      <w:r w:rsidRPr="00916CD2">
        <w:t>.</w:t>
      </w:r>
      <w:r>
        <w:t xml:space="preserve"> </w:t>
      </w:r>
      <w:r>
        <w:rPr>
          <w:color w:val="auto"/>
        </w:rPr>
        <w:t>Different rules apply to religious bodies that are employing</w:t>
      </w:r>
      <w:r w:rsidRPr="009B659B">
        <w:rPr>
          <w:color w:val="auto"/>
        </w:rPr>
        <w:t xml:space="preserve"> people</w:t>
      </w:r>
      <w:r>
        <w:rPr>
          <w:color w:val="auto"/>
        </w:rPr>
        <w:t xml:space="preserve"> or providing services.</w:t>
      </w:r>
      <w:r>
        <w:rPr>
          <w:rStyle w:val="FootnoteReference"/>
        </w:rPr>
        <w:footnoteReference w:id="635"/>
      </w:r>
      <w:r>
        <w:t xml:space="preserve"> </w:t>
      </w:r>
      <w:r>
        <w:rPr>
          <w:color w:val="auto"/>
        </w:rPr>
        <w:t xml:space="preserve"> </w:t>
      </w:r>
    </w:p>
    <w:p w14:paraId="15E23B63" w14:textId="77777777" w:rsidR="006A1316" w:rsidRDefault="006A1316" w:rsidP="006A1316">
      <w:pPr>
        <w:pStyle w:val="NormalAutoChapter"/>
        <w:tabs>
          <w:tab w:val="clear" w:pos="720"/>
          <w:tab w:val="num" w:pos="1146"/>
        </w:tabs>
      </w:pPr>
      <w:r w:rsidRPr="000205F3">
        <w:rPr>
          <w:color w:val="auto"/>
        </w:rPr>
        <w:t>The Law Reform Commission of Western Australia (</w:t>
      </w:r>
      <w:r>
        <w:rPr>
          <w:color w:val="auto"/>
        </w:rPr>
        <w:t>LRCWA</w:t>
      </w:r>
      <w:r w:rsidRPr="000205F3">
        <w:rPr>
          <w:color w:val="auto"/>
        </w:rPr>
        <w:t>) and the QHRC recommended a similar approach.</w:t>
      </w:r>
      <w:r w:rsidRPr="00916CD2">
        <w:rPr>
          <w:rStyle w:val="FootnoteReference"/>
          <w:color w:val="auto"/>
        </w:rPr>
        <w:footnoteReference w:id="636"/>
      </w:r>
      <w:r w:rsidRPr="000205F3">
        <w:rPr>
          <w:color w:val="auto"/>
        </w:rPr>
        <w:t xml:space="preserve"> The QHRC also supported a non-exhaustive list of factors to help determine if the discrimination is reasonable and proportionate. These include </w:t>
      </w:r>
      <w:r>
        <w:t>the importance of the conduct in protecting the ethos of the religious organisation and the religious susceptibilities of adherents of that religion.</w:t>
      </w:r>
      <w:r w:rsidRPr="00916CD2">
        <w:rPr>
          <w:rStyle w:val="FootnoteReference"/>
          <w:color w:val="auto"/>
        </w:rPr>
        <w:footnoteReference w:id="637"/>
      </w:r>
    </w:p>
    <w:p w14:paraId="230CF0BA" w14:textId="77777777" w:rsidR="006A1316" w:rsidRDefault="006A1316" w:rsidP="006A1316">
      <w:pPr>
        <w:pStyle w:val="Heading3"/>
      </w:pPr>
      <w:r>
        <w:lastRenderedPageBreak/>
        <w:t xml:space="preserve">Special rules for religious bodies providing public goods and services </w:t>
      </w:r>
    </w:p>
    <w:p w14:paraId="427BC60B" w14:textId="77777777" w:rsidR="006A1316" w:rsidRDefault="006A1316" w:rsidP="006A1316">
      <w:pPr>
        <w:pStyle w:val="NormalAutoChapter"/>
        <w:tabs>
          <w:tab w:val="clear" w:pos="720"/>
          <w:tab w:val="num" w:pos="1146"/>
        </w:tabs>
        <w:rPr>
          <w:color w:val="auto"/>
        </w:rPr>
      </w:pPr>
      <w:r w:rsidRPr="00435FEC">
        <w:rPr>
          <w:color w:val="auto"/>
        </w:rPr>
        <w:t xml:space="preserve">Many religious bodies provide essential public services, including health and aged care, and they often receive public funding to deliver these services. </w:t>
      </w:r>
      <w:r>
        <w:t xml:space="preserve">One view is that churches that provide social services to the community need to have exceptions, so they can maintain the character of their organisation by only employing people who support </w:t>
      </w:r>
      <w:r w:rsidRPr="00125C9D">
        <w:t>the</w:t>
      </w:r>
      <w:r>
        <w:t xml:space="preserve">ir </w:t>
      </w:r>
      <w:r w:rsidRPr="00125C9D">
        <w:t>faith</w:t>
      </w:r>
      <w:r>
        <w:t>.</w:t>
      </w:r>
      <w:r w:rsidRPr="00125C9D">
        <w:rPr>
          <w:rStyle w:val="FootnoteReference"/>
        </w:rPr>
        <w:footnoteReference w:id="638"/>
      </w:r>
    </w:p>
    <w:p w14:paraId="21696FDC" w14:textId="77777777" w:rsidR="006A1316" w:rsidRPr="00397D96" w:rsidRDefault="006A1316" w:rsidP="006A1316">
      <w:pPr>
        <w:pStyle w:val="NormalAutoChapter"/>
        <w:tabs>
          <w:tab w:val="clear" w:pos="720"/>
          <w:tab w:val="num" w:pos="1146"/>
        </w:tabs>
      </w:pPr>
      <w:r>
        <w:t>However, some</w:t>
      </w:r>
      <w:r w:rsidRPr="00435FEC">
        <w:t xml:space="preserve"> preliminary submissions suggested faith-based bodies should</w:t>
      </w:r>
      <w:r>
        <w:t xml:space="preserve"> not</w:t>
      </w:r>
      <w:r w:rsidRPr="00435FEC">
        <w:t xml:space="preserve"> be permitted to discriminate when providing public services or receiving public funding.</w:t>
      </w:r>
      <w:r w:rsidRPr="00191309">
        <w:rPr>
          <w:rStyle w:val="FootnoteReference"/>
          <w:color w:val="auto"/>
        </w:rPr>
        <w:footnoteReference w:id="639"/>
      </w:r>
      <w:r w:rsidRPr="00435FEC">
        <w:t xml:space="preserve"> </w:t>
      </w:r>
      <w:r w:rsidRPr="00815EFA">
        <w:rPr>
          <w:color w:val="auto"/>
        </w:rPr>
        <w:t>The right to non-discrimination in international law includes the right to have equal access to public services.</w:t>
      </w:r>
      <w:r>
        <w:rPr>
          <w:rStyle w:val="FootnoteReference"/>
          <w:color w:val="auto"/>
        </w:rPr>
        <w:footnoteReference w:id="640"/>
      </w:r>
    </w:p>
    <w:p w14:paraId="64F518EC" w14:textId="77777777" w:rsidR="006A1316" w:rsidRPr="008E4E7D" w:rsidRDefault="006A1316" w:rsidP="006A1316">
      <w:pPr>
        <w:pStyle w:val="NormalAutoChapter"/>
        <w:tabs>
          <w:tab w:val="clear" w:pos="720"/>
          <w:tab w:val="num" w:pos="1146"/>
        </w:tabs>
        <w:rPr>
          <w:color w:val="auto"/>
        </w:rPr>
      </w:pPr>
      <w:r>
        <w:t xml:space="preserve">In 2016, a South Australian review recommended clarifying that an existing exception </w:t>
      </w:r>
      <w:r w:rsidRPr="0054266C">
        <w:t>does not apply to discrimination by religious bodies</w:t>
      </w:r>
      <w:r>
        <w:t xml:space="preserve"> in </w:t>
      </w:r>
      <w:r w:rsidRPr="0054266C">
        <w:t>the provision of public services, such as health and education</w:t>
      </w:r>
      <w:r w:rsidRPr="008E4E7D">
        <w:rPr>
          <w:color w:val="auto"/>
          <w:sz w:val="23"/>
          <w:szCs w:val="23"/>
        </w:rPr>
        <w:t>.</w:t>
      </w:r>
      <w:r w:rsidRPr="008E4E7D">
        <w:rPr>
          <w:rStyle w:val="FootnoteReference"/>
          <w:color w:val="auto"/>
          <w:szCs w:val="23"/>
        </w:rPr>
        <w:footnoteReference w:id="641"/>
      </w:r>
      <w:r>
        <w:rPr>
          <w:color w:val="auto"/>
          <w:sz w:val="23"/>
          <w:szCs w:val="23"/>
        </w:rPr>
        <w:t xml:space="preserve"> </w:t>
      </w:r>
    </w:p>
    <w:p w14:paraId="29C9F2F2" w14:textId="77777777" w:rsidR="006A1316" w:rsidRPr="001C51E2" w:rsidRDefault="006A1316" w:rsidP="006A1316">
      <w:pPr>
        <w:pStyle w:val="NormalAutoChapter"/>
        <w:tabs>
          <w:tab w:val="clear" w:pos="720"/>
          <w:tab w:val="num" w:pos="1146"/>
        </w:tabs>
        <w:rPr>
          <w:color w:val="auto"/>
        </w:rPr>
      </w:pPr>
      <w:r w:rsidRPr="001C51E2">
        <w:rPr>
          <w:color w:val="auto"/>
        </w:rPr>
        <w:t>An</w:t>
      </w:r>
      <w:r>
        <w:rPr>
          <w:color w:val="auto"/>
        </w:rPr>
        <w:t>other</w:t>
      </w:r>
      <w:r w:rsidRPr="001C51E2">
        <w:rPr>
          <w:color w:val="auto"/>
        </w:rPr>
        <w:t xml:space="preserve"> option could be to </w:t>
      </w:r>
      <w:r>
        <w:rPr>
          <w:color w:val="auto"/>
        </w:rPr>
        <w:t>add specific requirements before religious bodies providing public services can lawfully discriminate.</w:t>
      </w:r>
      <w:r w:rsidRPr="001C51E2">
        <w:rPr>
          <w:color w:val="auto"/>
        </w:rPr>
        <w:t xml:space="preserve"> Victoria, for example, only allows religious bodies to discriminate </w:t>
      </w:r>
      <w:r>
        <w:rPr>
          <w:color w:val="auto"/>
        </w:rPr>
        <w:t xml:space="preserve">in the provision of </w:t>
      </w:r>
      <w:r w:rsidRPr="001C51E2">
        <w:rPr>
          <w:color w:val="auto"/>
        </w:rPr>
        <w:t>government-funded goods or services based on religious belief or activity (and not other attributes)</w:t>
      </w:r>
      <w:r>
        <w:rPr>
          <w:color w:val="auto"/>
        </w:rPr>
        <w:t>.</w:t>
      </w:r>
      <w:r w:rsidRPr="001C51E2">
        <w:rPr>
          <w:color w:val="auto"/>
        </w:rPr>
        <w:t xml:space="preserve"> </w:t>
      </w:r>
      <w:r>
        <w:rPr>
          <w:color w:val="auto"/>
        </w:rPr>
        <w:t>T</w:t>
      </w:r>
      <w:r w:rsidRPr="001C51E2">
        <w:rPr>
          <w:color w:val="auto"/>
        </w:rPr>
        <w:t>he discrimination must:</w:t>
      </w:r>
    </w:p>
    <w:p w14:paraId="437A0641" w14:textId="77777777" w:rsidR="006A1316" w:rsidRDefault="006A1316" w:rsidP="006A1316">
      <w:pPr>
        <w:pStyle w:val="Normalbullet"/>
      </w:pPr>
      <w:r w:rsidRPr="00307CF2">
        <w:t>be reasonable and proportionate in the circumstances</w:t>
      </w:r>
      <w:r>
        <w:t>, and</w:t>
      </w:r>
    </w:p>
    <w:p w14:paraId="3B4ECB5F" w14:textId="77777777" w:rsidR="006A1316" w:rsidRPr="00307CF2" w:rsidRDefault="006A1316" w:rsidP="006A1316">
      <w:pPr>
        <w:pStyle w:val="Normalbullet"/>
      </w:pPr>
      <w:r w:rsidRPr="00307CF2">
        <w:t xml:space="preserve">conform with the doctrines and beliefs of the religion or be necessary to avoid injury to the religious sensitivities of </w:t>
      </w:r>
      <w:r>
        <w:t>followers</w:t>
      </w:r>
      <w:r w:rsidRPr="00307CF2">
        <w:t xml:space="preserve"> of the religion.</w:t>
      </w:r>
      <w:r w:rsidRPr="000507D7">
        <w:rPr>
          <w:rStyle w:val="FootnoteReference"/>
        </w:rPr>
        <w:footnoteReference w:id="642"/>
      </w:r>
    </w:p>
    <w:p w14:paraId="58DCDA98" w14:textId="77777777" w:rsidR="006A1316" w:rsidRPr="00CC33F5" w:rsidRDefault="006A1316" w:rsidP="006A1316">
      <w:pPr>
        <w:pStyle w:val="NormalAutoChapter"/>
        <w:tabs>
          <w:tab w:val="clear" w:pos="720"/>
          <w:tab w:val="num" w:pos="1146"/>
        </w:tabs>
      </w:pPr>
      <w:r>
        <w:rPr>
          <w:color w:val="auto"/>
        </w:rPr>
        <w:t>The QHRC proposed factors to help determine if discrimination</w:t>
      </w:r>
      <w:r w:rsidRPr="009B659B">
        <w:rPr>
          <w:color w:val="auto"/>
        </w:rPr>
        <w:t xml:space="preserve"> </w:t>
      </w:r>
      <w:r>
        <w:rPr>
          <w:color w:val="auto"/>
        </w:rPr>
        <w:t xml:space="preserve">by a religious body is </w:t>
      </w:r>
      <w:r w:rsidRPr="00CC33F5">
        <w:rPr>
          <w:color w:val="auto"/>
        </w:rPr>
        <w:t>reasonable and proportionate</w:t>
      </w:r>
      <w:r>
        <w:rPr>
          <w:color w:val="auto"/>
        </w:rPr>
        <w:t xml:space="preserve"> when providing goods and services</w:t>
      </w:r>
      <w:r w:rsidRPr="00CC33F5">
        <w:rPr>
          <w:color w:val="auto"/>
        </w:rPr>
        <w:t xml:space="preserve">. These </w:t>
      </w:r>
      <w:r>
        <w:rPr>
          <w:color w:val="auto"/>
        </w:rPr>
        <w:t>include</w:t>
      </w:r>
      <w:r w:rsidRPr="00CC33F5">
        <w:rPr>
          <w:color w:val="auto"/>
        </w:rPr>
        <w:t>:</w:t>
      </w:r>
    </w:p>
    <w:p w14:paraId="2BBAE651" w14:textId="77777777" w:rsidR="006A1316" w:rsidRPr="00F2610C" w:rsidRDefault="006A1316" w:rsidP="006A1316">
      <w:pPr>
        <w:pStyle w:val="Normalbullet"/>
      </w:pPr>
      <w:r>
        <w:t>whether t</w:t>
      </w:r>
      <w:r w:rsidRPr="00F2610C">
        <w:t>he religious organisation operate</w:t>
      </w:r>
      <w:r>
        <w:t>s</w:t>
      </w:r>
      <w:r w:rsidRPr="00F2610C">
        <w:t xml:space="preserve"> in a commercial manner </w:t>
      </w:r>
    </w:p>
    <w:p w14:paraId="3C2276E3" w14:textId="77777777" w:rsidR="006A1316" w:rsidRPr="00F2610C" w:rsidRDefault="006A1316" w:rsidP="006A1316">
      <w:pPr>
        <w:pStyle w:val="Normalbullet"/>
      </w:pPr>
      <w:r w:rsidRPr="00F2610C">
        <w:t>the reasonable availability of alternative services, and</w:t>
      </w:r>
    </w:p>
    <w:p w14:paraId="1137A48E" w14:textId="77777777" w:rsidR="006A1316" w:rsidRPr="00CC33F5" w:rsidRDefault="006A1316" w:rsidP="006A1316">
      <w:pPr>
        <w:pStyle w:val="Normalbullet"/>
      </w:pPr>
      <w:r w:rsidRPr="00F2610C">
        <w:t>whether the services are essential services.</w:t>
      </w:r>
      <w:r w:rsidRPr="00CC33F5">
        <w:rPr>
          <w:rStyle w:val="FootnoteReference"/>
        </w:rPr>
        <w:footnoteReference w:id="643"/>
      </w:r>
    </w:p>
    <w:p w14:paraId="1EB09702" w14:textId="77777777" w:rsidR="006A1316" w:rsidRPr="00CC33F5" w:rsidRDefault="006A1316" w:rsidP="006A1316">
      <w:pPr>
        <w:pStyle w:val="NormalAutoChapter"/>
        <w:rPr>
          <w:color w:val="auto"/>
        </w:rPr>
      </w:pPr>
      <w:r w:rsidRPr="00CC33F5">
        <w:rPr>
          <w:color w:val="auto"/>
        </w:rPr>
        <w:lastRenderedPageBreak/>
        <w:t xml:space="preserve">The </w:t>
      </w:r>
      <w:r w:rsidRPr="00CC33F5">
        <w:rPr>
          <w:i/>
          <w:iCs/>
          <w:color w:val="auto"/>
        </w:rPr>
        <w:t xml:space="preserve">Sex Discrimination Act </w:t>
      </w:r>
      <w:r>
        <w:rPr>
          <w:color w:val="auto"/>
        </w:rPr>
        <w:t xml:space="preserve">also treats religious body exceptions differently when certain public services are involved. Although it </w:t>
      </w:r>
      <w:r w:rsidRPr="00CC33F5">
        <w:rPr>
          <w:color w:val="auto"/>
        </w:rPr>
        <w:t>has</w:t>
      </w:r>
      <w:r w:rsidRPr="00CC33F5">
        <w:rPr>
          <w:i/>
          <w:iCs/>
          <w:color w:val="auto"/>
        </w:rPr>
        <w:t xml:space="preserve"> </w:t>
      </w:r>
      <w:r w:rsidRPr="00CC33F5">
        <w:rPr>
          <w:color w:val="auto"/>
        </w:rPr>
        <w:t>a broad exception for religious bodies</w:t>
      </w:r>
      <w:r>
        <w:rPr>
          <w:color w:val="auto"/>
        </w:rPr>
        <w:t>,</w:t>
      </w:r>
      <w:r w:rsidRPr="00CC33F5">
        <w:rPr>
          <w:color w:val="auto"/>
        </w:rPr>
        <w:t xml:space="preserve"> this </w:t>
      </w:r>
      <w:r>
        <w:rPr>
          <w:color w:val="auto"/>
        </w:rPr>
        <w:t>does not</w:t>
      </w:r>
      <w:r w:rsidRPr="00CC33F5">
        <w:rPr>
          <w:color w:val="auto"/>
        </w:rPr>
        <w:t xml:space="preserve"> apply to the provision of Commonwealth</w:t>
      </w:r>
      <w:r>
        <w:rPr>
          <w:color w:val="auto"/>
        </w:rPr>
        <w:t>-</w:t>
      </w:r>
      <w:r w:rsidRPr="00CC33F5">
        <w:rPr>
          <w:color w:val="auto"/>
        </w:rPr>
        <w:t>funded aged care by a religious body, except in relation to employment.</w:t>
      </w:r>
      <w:r>
        <w:rPr>
          <w:rStyle w:val="FootnoteReference"/>
          <w:color w:val="auto"/>
        </w:rPr>
        <w:footnoteReference w:id="644"/>
      </w:r>
      <w:r w:rsidRPr="00CC33F5">
        <w:rPr>
          <w:color w:val="auto"/>
        </w:rPr>
        <w:t xml:space="preserve"> </w:t>
      </w:r>
    </w:p>
    <w:p w14:paraId="779DDCC6" w14:textId="77777777" w:rsidR="006A1316" w:rsidRDefault="006A1316" w:rsidP="006A1316">
      <w:pPr>
        <w:pStyle w:val="Heading3"/>
        <w:rPr>
          <w:lang w:eastAsia="en-AU"/>
        </w:rPr>
      </w:pPr>
      <w:r>
        <w:t xml:space="preserve">Replace the exception with area-specific exceptions </w:t>
      </w:r>
    </w:p>
    <w:p w14:paraId="7E2B88D8" w14:textId="77777777" w:rsidR="006A1316" w:rsidRDefault="006A1316" w:rsidP="006A1316">
      <w:pPr>
        <w:pStyle w:val="NormalAutoChapter"/>
        <w:tabs>
          <w:tab w:val="clear" w:pos="720"/>
          <w:tab w:val="num" w:pos="1146"/>
        </w:tabs>
        <w:rPr>
          <w:color w:val="auto"/>
        </w:rPr>
      </w:pPr>
      <w:r>
        <w:rPr>
          <w:color w:val="auto"/>
          <w:lang w:eastAsia="en-US"/>
        </w:rPr>
        <w:t xml:space="preserve">Another option could be to replace the broad exception in s 56(d) with more targeted, area-specific exceptions. This may be particularly important if the ADA is amended to prohibit religious discrimination.  </w:t>
      </w:r>
    </w:p>
    <w:p w14:paraId="672DBC7B" w14:textId="77777777" w:rsidR="006A1316" w:rsidRDefault="006A1316" w:rsidP="006A1316">
      <w:pPr>
        <w:pStyle w:val="NormalAutoChapter"/>
        <w:tabs>
          <w:tab w:val="clear" w:pos="720"/>
          <w:tab w:val="num" w:pos="1146"/>
        </w:tabs>
        <w:rPr>
          <w:color w:val="auto"/>
        </w:rPr>
      </w:pPr>
      <w:r>
        <w:rPr>
          <w:color w:val="auto"/>
          <w:lang w:eastAsia="en-US"/>
        </w:rPr>
        <w:t xml:space="preserve">As we outline in </w:t>
      </w:r>
      <w:r w:rsidRPr="0059188D">
        <w:rPr>
          <w:color w:val="auto"/>
          <w:lang w:eastAsia="en-US"/>
        </w:rPr>
        <w:t>chapter 5, in 1999</w:t>
      </w:r>
      <w:r>
        <w:rPr>
          <w:color w:val="auto"/>
          <w:lang w:eastAsia="en-US"/>
        </w:rPr>
        <w:t xml:space="preserve"> the NSWLRC recommended adding religion as a protected attribute. It also recommended replacing s 56(d) with area-specific exceptions to allow: </w:t>
      </w:r>
    </w:p>
    <w:p w14:paraId="60A497D1" w14:textId="77777777" w:rsidR="006A1316" w:rsidRDefault="006A1316" w:rsidP="006A1316">
      <w:pPr>
        <w:pStyle w:val="Normalbullet"/>
      </w:pPr>
      <w:r>
        <w:t xml:space="preserve">religious discrimination in employment </w:t>
      </w:r>
      <w:r w:rsidRPr="002D4F69">
        <w:t>where religious belief is a genuine occupational requirement</w:t>
      </w:r>
    </w:p>
    <w:p w14:paraId="256124AA" w14:textId="77777777" w:rsidR="006A1316" w:rsidRDefault="006A1316" w:rsidP="006A1316">
      <w:pPr>
        <w:pStyle w:val="Normalbullet"/>
      </w:pPr>
      <w:r>
        <w:t>educational institutions that operate according to religious principles to discriminate in employment based on sex, domestic status, sexuality, transgender status and religion</w:t>
      </w:r>
      <w:r w:rsidRPr="00297706">
        <w:rPr>
          <w:rStyle w:val="FootnoteReference"/>
        </w:rPr>
        <w:t xml:space="preserve"> </w:t>
      </w:r>
    </w:p>
    <w:p w14:paraId="1AC84B47" w14:textId="77777777" w:rsidR="006A1316" w:rsidRDefault="006A1316" w:rsidP="006A1316">
      <w:pPr>
        <w:pStyle w:val="Normalbullet"/>
      </w:pPr>
      <w:r>
        <w:t xml:space="preserve">educational institutions established for </w:t>
      </w:r>
      <w:proofErr w:type="gramStart"/>
      <w:r>
        <w:t>particular religious</w:t>
      </w:r>
      <w:proofErr w:type="gramEnd"/>
      <w:r>
        <w:t xml:space="preserve"> groups to discriminate based on religion, and</w:t>
      </w:r>
    </w:p>
    <w:p w14:paraId="10FC9B24" w14:textId="77777777" w:rsidR="006A1316" w:rsidRDefault="006A1316" w:rsidP="006A1316">
      <w:pPr>
        <w:pStyle w:val="Normalbullet"/>
      </w:pPr>
      <w:r>
        <w:t>discrimination based on religion in relation to accommodation established for religious purposes.</w:t>
      </w:r>
      <w:r>
        <w:rPr>
          <w:rStyle w:val="FootnoteReference"/>
        </w:rPr>
        <w:footnoteReference w:id="645"/>
      </w:r>
      <w:r>
        <w:t xml:space="preserve"> </w:t>
      </w:r>
    </w:p>
    <w:p w14:paraId="45D87E55" w14:textId="77777777" w:rsidR="006A1316" w:rsidRDefault="006A1316" w:rsidP="006A1316">
      <w:pPr>
        <w:pStyle w:val="NormalAutoChapter"/>
      </w:pPr>
      <w:r>
        <w:rPr>
          <w:color w:val="auto"/>
        </w:rPr>
        <w:t xml:space="preserve">It recommended, for instance, a new accommodation exception modelled on </w:t>
      </w:r>
      <w:r w:rsidRPr="009B27EF">
        <w:rPr>
          <w:color w:val="auto"/>
        </w:rPr>
        <w:t>Queensland</w:t>
      </w:r>
      <w:r>
        <w:rPr>
          <w:color w:val="auto"/>
        </w:rPr>
        <w:t>’s discrimination law</w:t>
      </w:r>
      <w:r w:rsidRPr="009B27EF">
        <w:rPr>
          <w:color w:val="auto"/>
        </w:rPr>
        <w:t>.</w:t>
      </w:r>
      <w:r>
        <w:rPr>
          <w:rStyle w:val="FootnoteReference"/>
          <w:color w:val="auto"/>
        </w:rPr>
        <w:footnoteReference w:id="646"/>
      </w:r>
      <w:r w:rsidRPr="009B27EF">
        <w:rPr>
          <w:color w:val="auto"/>
        </w:rPr>
        <w:t xml:space="preserve"> </w:t>
      </w:r>
      <w:r>
        <w:rPr>
          <w:color w:val="auto"/>
        </w:rPr>
        <w:t xml:space="preserve">The Queensland exception applies where </w:t>
      </w:r>
      <w:r>
        <w:t xml:space="preserve">accommodation is controlled by a religious body and the discrimination is both: </w:t>
      </w:r>
    </w:p>
    <w:p w14:paraId="1D735CF2" w14:textId="77777777" w:rsidR="006A1316" w:rsidRDefault="006A1316" w:rsidP="006A1316">
      <w:pPr>
        <w:pStyle w:val="Normalbullet"/>
      </w:pPr>
      <w:r>
        <w:t>in line with the doctrine of their religion, and</w:t>
      </w:r>
    </w:p>
    <w:p w14:paraId="6DC17020" w14:textId="77777777" w:rsidR="006A1316" w:rsidRDefault="006A1316" w:rsidP="006A1316">
      <w:pPr>
        <w:pStyle w:val="Normalbullet"/>
      </w:pPr>
      <w:r>
        <w:t>necessary to avoid “offending the religious sensibilities” of people of that religion.</w:t>
      </w:r>
      <w:r>
        <w:rPr>
          <w:rStyle w:val="FootnoteReference"/>
        </w:rPr>
        <w:footnoteReference w:id="647"/>
      </w:r>
    </w:p>
    <w:p w14:paraId="30F76F04" w14:textId="77777777" w:rsidR="006A1316" w:rsidRDefault="006A1316" w:rsidP="006A1316">
      <w:pPr>
        <w:pStyle w:val="NormalAutoChapter"/>
        <w:tabs>
          <w:tab w:val="clear" w:pos="720"/>
          <w:tab w:val="num" w:pos="1146"/>
        </w:tabs>
      </w:pPr>
      <w:r>
        <w:t xml:space="preserve">The ALRC offered another approach. It recommended that the </w:t>
      </w:r>
      <w:r w:rsidRPr="0059777A">
        <w:rPr>
          <w:i/>
          <w:iCs/>
        </w:rPr>
        <w:t>Sex Discrimination Act</w:t>
      </w:r>
      <w:r>
        <w:t xml:space="preserve"> should not permit religious educational institutions to discriminate in the provision of accommodation.</w:t>
      </w:r>
      <w:r>
        <w:rPr>
          <w:rStyle w:val="FootnoteReference"/>
        </w:rPr>
        <w:footnoteReference w:id="648"/>
      </w:r>
      <w:r>
        <w:t xml:space="preserve"> </w:t>
      </w:r>
    </w:p>
    <w:p w14:paraId="1F6ABBCE" w14:textId="77777777" w:rsidR="006A1316" w:rsidRDefault="006A1316" w:rsidP="006A1316">
      <w:pPr>
        <w:pStyle w:val="NormalAutoChapter"/>
        <w:tabs>
          <w:tab w:val="clear" w:pos="720"/>
          <w:tab w:val="num" w:pos="1146"/>
        </w:tabs>
      </w:pPr>
      <w:r>
        <w:lastRenderedPageBreak/>
        <w:t>The NSWLRC also considered whether there should be an exception to religious discrimination in relation to access to sites of religious significance.</w:t>
      </w:r>
      <w:r w:rsidRPr="00E0204C">
        <w:rPr>
          <w:rStyle w:val="FootnoteReference"/>
        </w:rPr>
        <w:t xml:space="preserve"> </w:t>
      </w:r>
      <w:r>
        <w:t xml:space="preserve">However, it concluded this would be best addressed through a general “special measures” </w:t>
      </w:r>
      <w:r w:rsidRPr="0059188D">
        <w:t>exception (we discuss this in chapter 11).</w:t>
      </w:r>
      <w:r w:rsidRPr="0059188D">
        <w:rPr>
          <w:rStyle w:val="FootnoteReference"/>
        </w:rPr>
        <w:footnoteReference w:id="649"/>
      </w:r>
    </w:p>
    <w:p w14:paraId="5CB38F06" w14:textId="77777777" w:rsidR="006A1316" w:rsidRPr="00373843" w:rsidRDefault="006A1316" w:rsidP="006A1316">
      <w:pPr>
        <w:pStyle w:val="NormalAutoChapter"/>
        <w:tabs>
          <w:tab w:val="clear" w:pos="720"/>
          <w:tab w:val="num" w:pos="1146"/>
        </w:tabs>
        <w:rPr>
          <w:color w:val="auto"/>
        </w:rPr>
      </w:pPr>
      <w:r>
        <w:t xml:space="preserve">Other states and territories have specific exceptions that allow access to significant sites to be restricted. The Northern Territory (NT) </w:t>
      </w:r>
      <w:r w:rsidRPr="00574BFD">
        <w:t>allows a person to restrict access to land, a building or a place of cultural or religious significance by people who are not of a particular sex, age, ra</w:t>
      </w:r>
      <w:r>
        <w:t>c</w:t>
      </w:r>
      <w:r w:rsidRPr="00574BFD">
        <w:t>e or religion</w:t>
      </w:r>
      <w:r>
        <w:t xml:space="preserve">. This is an exception to discrimination </w:t>
      </w:r>
      <w:proofErr w:type="gramStart"/>
      <w:r>
        <w:t>in the area of</w:t>
      </w:r>
      <w:proofErr w:type="gramEnd"/>
      <w:r>
        <w:t xml:space="preserve"> goods, services and facilities. For the exception to apply, the restriction must be:</w:t>
      </w:r>
    </w:p>
    <w:p w14:paraId="6F82B411" w14:textId="77777777" w:rsidR="006A1316" w:rsidRPr="00AA70C9" w:rsidRDefault="006A1316" w:rsidP="006A1316">
      <w:pPr>
        <w:pStyle w:val="Normalbullet"/>
      </w:pPr>
      <w:r w:rsidRPr="00574BFD">
        <w:t>in accordance with the culture or doctrine of the religion, and</w:t>
      </w:r>
    </w:p>
    <w:p w14:paraId="0442D6AF" w14:textId="77777777" w:rsidR="006A1316" w:rsidRPr="00AA70C9" w:rsidRDefault="006A1316" w:rsidP="006A1316">
      <w:pPr>
        <w:pStyle w:val="Normalbullet"/>
      </w:pPr>
      <w:r w:rsidRPr="00574BFD">
        <w:t>necessary to avoid offending cultural or religious sensitivities</w:t>
      </w:r>
      <w:r>
        <w:t xml:space="preserve"> of people of that culture or religion</w:t>
      </w:r>
      <w:r w:rsidRPr="00574BFD">
        <w:t>.</w:t>
      </w:r>
      <w:r>
        <w:rPr>
          <w:rStyle w:val="FootnoteReference"/>
        </w:rPr>
        <w:footnoteReference w:id="650"/>
      </w:r>
      <w:r w:rsidRPr="00F2610C">
        <w:t xml:space="preserve"> </w:t>
      </w:r>
    </w:p>
    <w:p w14:paraId="13329746" w14:textId="77777777" w:rsidR="006A1316" w:rsidRDefault="006A1316" w:rsidP="006A1316">
      <w:pPr>
        <w:pStyle w:val="NormalAutoChapter"/>
        <w:tabs>
          <w:tab w:val="clear" w:pos="720"/>
          <w:tab w:val="num" w:pos="1146"/>
        </w:tabs>
      </w:pPr>
      <w:r>
        <w:t xml:space="preserve">An almost identical Queensland exception to discrimination in goods and services permits people to restrict access to sites of cultural or religious significance. Another Queensland exception permits discrimination in the sale of land based on </w:t>
      </w:r>
      <w:r w:rsidRPr="004D4CCC">
        <w:t>sex, age, race or religion</w:t>
      </w:r>
      <w:r>
        <w:t xml:space="preserve">, if the </w:t>
      </w:r>
      <w:r w:rsidRPr="004D4CCC">
        <w:t>relevant interest in land i</w:t>
      </w:r>
      <w:r>
        <w:t>s</w:t>
      </w:r>
      <w:r w:rsidRPr="004D4CCC">
        <w:t xml:space="preserve"> of cultural or religious significance</w:t>
      </w:r>
      <w:r>
        <w:t>.</w:t>
      </w:r>
      <w:r>
        <w:rPr>
          <w:rStyle w:val="FootnoteReference"/>
        </w:rPr>
        <w:footnoteReference w:id="651"/>
      </w:r>
      <w:r>
        <w:t xml:space="preserve"> </w:t>
      </w:r>
    </w:p>
    <w:p w14:paraId="16E2058A" w14:textId="77777777" w:rsidR="006A1316" w:rsidRPr="00F10D93" w:rsidRDefault="006A1316" w:rsidP="006A1316">
      <w:pPr>
        <w:pStyle w:val="Recommendationheading"/>
      </w:pPr>
      <w:r w:rsidRPr="00F10D93">
        <w:t>Question 7.2: Other acts and practices of religious bodies</w:t>
      </w:r>
    </w:p>
    <w:p w14:paraId="77FB3FF1" w14:textId="77777777" w:rsidR="006A1316" w:rsidRPr="00F10D93" w:rsidRDefault="006A1316" w:rsidP="006A1316">
      <w:pPr>
        <w:pStyle w:val="Recommendationnormal"/>
      </w:pPr>
      <w:r w:rsidRPr="00F10D93">
        <w:t xml:space="preserve">Should the </w:t>
      </w:r>
      <w:r w:rsidRPr="005B318D">
        <w:t>ADA</w:t>
      </w:r>
      <w:r w:rsidRPr="00F10D93">
        <w:t xml:space="preserve"> provide an exception for other acts or practices of religious bodies? If so, what should it cover and when should it apply? </w:t>
      </w:r>
      <w:r w:rsidRPr="00F10D93">
        <w:tab/>
      </w:r>
    </w:p>
    <w:p w14:paraId="7CD10552" w14:textId="77777777" w:rsidR="006A1316" w:rsidRDefault="006A1316" w:rsidP="006A1316">
      <w:pPr>
        <w:pStyle w:val="Heading2"/>
      </w:pPr>
      <w:bookmarkStart w:id="303" w:name="_Toc196742763"/>
      <w:bookmarkStart w:id="304" w:name="_Toc196826900"/>
      <w:r>
        <w:t>Harassment, vilification and victimisation by religious bodies</w:t>
      </w:r>
      <w:bookmarkEnd w:id="303"/>
      <w:bookmarkEnd w:id="304"/>
    </w:p>
    <w:p w14:paraId="79C615E5" w14:textId="77777777" w:rsidR="006A1316" w:rsidRDefault="006A1316" w:rsidP="006A1316">
      <w:pPr>
        <w:pStyle w:val="NormalAutoChapter"/>
        <w:tabs>
          <w:tab w:val="clear" w:pos="720"/>
          <w:tab w:val="num" w:pos="1146"/>
        </w:tabs>
      </w:pPr>
      <w:r>
        <w:rPr>
          <w:lang w:eastAsia="en-US"/>
        </w:rPr>
        <w:t>As we note above, the exceptions for religious bodies in s 56 apply to all forms of unlawful conduct under the ADA, including discrimination, harassment, victimisation and vilification.</w:t>
      </w:r>
    </w:p>
    <w:p w14:paraId="3F42DCD1" w14:textId="77777777" w:rsidR="006A1316" w:rsidRPr="00CF124B" w:rsidRDefault="006A1316" w:rsidP="006A1316">
      <w:pPr>
        <w:pStyle w:val="NormalAutoChapter"/>
        <w:tabs>
          <w:tab w:val="clear" w:pos="720"/>
          <w:tab w:val="num" w:pos="1146"/>
        </w:tabs>
      </w:pPr>
      <w:r>
        <w:rPr>
          <w:lang w:eastAsia="en-US"/>
        </w:rPr>
        <w:t xml:space="preserve">Another issue is whether these exceptions should instead be limited to discrimination, as the NSWLRC recommended in 1999. </w:t>
      </w:r>
      <w:r>
        <w:t>It stated that “</w:t>
      </w:r>
      <w:r w:rsidRPr="00005F4F">
        <w:t>this protection should not be something which religious groups are allowed to hide behind in cases where harassment or vilification of a particular group occurs</w:t>
      </w:r>
      <w:r>
        <w:t>”.</w:t>
      </w:r>
      <w:r>
        <w:rPr>
          <w:rStyle w:val="FootnoteReference"/>
        </w:rPr>
        <w:footnoteReference w:id="652"/>
      </w:r>
    </w:p>
    <w:p w14:paraId="031E03B0" w14:textId="77777777" w:rsidR="006A1316" w:rsidRDefault="006A1316" w:rsidP="006A1316">
      <w:pPr>
        <w:pStyle w:val="NormalAutoChapter"/>
        <w:tabs>
          <w:tab w:val="clear" w:pos="720"/>
          <w:tab w:val="num" w:pos="1146"/>
        </w:tabs>
      </w:pPr>
      <w:r>
        <w:lastRenderedPageBreak/>
        <w:t>One view is that exceptions to harassment or victimisation are never permissible. This conduct cannot be justified under international human rights law.</w:t>
      </w:r>
      <w:r>
        <w:rPr>
          <w:rStyle w:val="FootnoteReference"/>
        </w:rPr>
        <w:footnoteReference w:id="653"/>
      </w:r>
      <w:r>
        <w:t xml:space="preserve"> </w:t>
      </w:r>
    </w:p>
    <w:p w14:paraId="31802E89" w14:textId="37F573BC" w:rsidR="006A1316" w:rsidRDefault="006A1316" w:rsidP="006A1316">
      <w:pPr>
        <w:pStyle w:val="NormalAutoChapter"/>
        <w:tabs>
          <w:tab w:val="clear" w:pos="720"/>
          <w:tab w:val="num" w:pos="1146"/>
        </w:tabs>
      </w:pPr>
      <w:r>
        <w:t>Aside from NSW, o</w:t>
      </w:r>
      <w:r w:rsidRPr="00CD250B">
        <w:rPr>
          <w:color w:val="auto"/>
        </w:rPr>
        <w:t xml:space="preserve">nly </w:t>
      </w:r>
      <w:r>
        <w:t>Western Australia (WA), Queensland and the NT have exceptions for religious bodies that potentially extend to harassment or victimisation in some cases.</w:t>
      </w:r>
      <w:r>
        <w:rPr>
          <w:rStyle w:val="FootnoteReference"/>
        </w:rPr>
        <w:footnoteReference w:id="654"/>
      </w:r>
      <w:r>
        <w:t xml:space="preserve"> However, the LRCWA recommended narrowing the WA exception to only apply to discrimination.</w:t>
      </w:r>
      <w:r>
        <w:rPr>
          <w:rStyle w:val="FootnoteReference"/>
        </w:rPr>
        <w:footnoteReference w:id="655"/>
      </w:r>
    </w:p>
    <w:p w14:paraId="1D860F12" w14:textId="77777777" w:rsidR="006A1316" w:rsidRDefault="006A1316" w:rsidP="006A1316">
      <w:pPr>
        <w:pStyle w:val="NormalAutoChapter"/>
        <w:tabs>
          <w:tab w:val="clear" w:pos="720"/>
          <w:tab w:val="num" w:pos="1146"/>
        </w:tabs>
      </w:pPr>
      <w:r>
        <w:t>Section 56 of the ADA also applies to vilification. Some consider this important to protect genuine religious teaching and religious freedom.</w:t>
      </w:r>
      <w:r>
        <w:rPr>
          <w:rStyle w:val="FootnoteReference"/>
        </w:rPr>
        <w:footnoteReference w:id="656"/>
      </w:r>
      <w:r>
        <w:t xml:space="preserve"> It operates alongside the specific vilification exceptions for religious discussion and/or instruction. We discuss these vilification-specific exceptions </w:t>
      </w:r>
      <w:r w:rsidRPr="0059188D">
        <w:t>in chapter 8.</w:t>
      </w:r>
    </w:p>
    <w:p w14:paraId="3AFCF317" w14:textId="77777777" w:rsidR="006A1316" w:rsidRDefault="006A1316" w:rsidP="006A1316">
      <w:pPr>
        <w:pStyle w:val="NormalAutoChapter"/>
        <w:tabs>
          <w:tab w:val="clear" w:pos="720"/>
          <w:tab w:val="num" w:pos="1146"/>
        </w:tabs>
      </w:pPr>
      <w:bookmarkStart w:id="305" w:name="_Hlk193271501"/>
      <w:r>
        <w:t xml:space="preserve">Aside from NSW, only Queensland and the NT have exceptions allowing </w:t>
      </w:r>
      <w:r w:rsidRPr="001F406B">
        <w:t>religious bodies and faith-based organisations to engage in vilification</w:t>
      </w:r>
      <w:r>
        <w:t>.</w:t>
      </w:r>
      <w:r>
        <w:rPr>
          <w:rStyle w:val="FootnoteReference"/>
        </w:rPr>
        <w:footnoteReference w:id="657"/>
      </w:r>
      <w:r>
        <w:t xml:space="preserve"> </w:t>
      </w:r>
      <w:r w:rsidRPr="00836C5E">
        <w:t>Victoria has an exception for genuine religious purposes, such as conveying or teaching a religion or proselytising</w:t>
      </w:r>
      <w:r>
        <w:t>.</w:t>
      </w:r>
      <w:r>
        <w:rPr>
          <w:rStyle w:val="FootnoteReference"/>
        </w:rPr>
        <w:footnoteReference w:id="658"/>
      </w:r>
    </w:p>
    <w:bookmarkEnd w:id="305"/>
    <w:p w14:paraId="1506931F" w14:textId="77777777" w:rsidR="006A1316" w:rsidRPr="00941CEF" w:rsidRDefault="006A1316" w:rsidP="006A1316">
      <w:pPr>
        <w:pStyle w:val="Recommendationheading"/>
      </w:pPr>
      <w:r w:rsidRPr="00941CEF">
        <w:t>Question 7.3: Exceptions for other forms of unlawful conduct</w:t>
      </w:r>
    </w:p>
    <w:p w14:paraId="3846D6F7" w14:textId="77777777" w:rsidR="006A1316" w:rsidRDefault="006A1316" w:rsidP="006A1316">
      <w:pPr>
        <w:pStyle w:val="Recommendationnormal"/>
      </w:pPr>
      <w:r>
        <w:t xml:space="preserve">Should the general exceptions for religious bodies continue to apply across the </w:t>
      </w:r>
      <w:r w:rsidRPr="00F153A3">
        <w:t>ADA</w:t>
      </w:r>
      <w:r>
        <w:t>, including to all forms of unlawful conduct under the Act?</w:t>
      </w:r>
    </w:p>
    <w:p w14:paraId="10B19F3F" w14:textId="77777777" w:rsidR="006A1316" w:rsidRDefault="006A1316" w:rsidP="006A1316">
      <w:pPr>
        <w:pStyle w:val="Heading1"/>
      </w:pPr>
      <w:bookmarkStart w:id="307" w:name="_Toc196742764"/>
      <w:bookmarkStart w:id="308" w:name="_Toc196826901"/>
      <w:bookmarkStart w:id="309" w:name="_Toc178260196"/>
      <w:r>
        <w:t>Adoption services</w:t>
      </w:r>
      <w:bookmarkEnd w:id="307"/>
      <w:bookmarkEnd w:id="308"/>
      <w:r>
        <w:t xml:space="preserve"> </w:t>
      </w:r>
      <w:bookmarkEnd w:id="309"/>
    </w:p>
    <w:p w14:paraId="0936DB61" w14:textId="359E766F" w:rsidR="006A1316" w:rsidRPr="009B48C3" w:rsidRDefault="006A1316" w:rsidP="006A1316">
      <w:pPr>
        <w:pStyle w:val="NormalAutoChapter"/>
        <w:tabs>
          <w:tab w:val="clear" w:pos="720"/>
          <w:tab w:val="num" w:pos="1146"/>
        </w:tabs>
      </w:pPr>
      <w:r>
        <w:rPr>
          <w:color w:val="auto"/>
        </w:rPr>
        <w:t>T</w:t>
      </w:r>
      <w:r w:rsidRPr="000A5216">
        <w:rPr>
          <w:color w:val="auto"/>
        </w:rPr>
        <w:t>he</w:t>
      </w:r>
      <w:r>
        <w:rPr>
          <w:color w:val="auto"/>
        </w:rPr>
        <w:t xml:space="preserve"> ADA contains an </w:t>
      </w:r>
      <w:r w:rsidRPr="000A5216">
        <w:rPr>
          <w:color w:val="auto"/>
        </w:rPr>
        <w:t xml:space="preserve">exception for faith-based organisations </w:t>
      </w:r>
      <w:r w:rsidR="009F06EB">
        <w:rPr>
          <w:color w:val="auto"/>
        </w:rPr>
        <w:t xml:space="preserve">that </w:t>
      </w:r>
      <w:r w:rsidRPr="000A5216">
        <w:rPr>
          <w:color w:val="auto"/>
        </w:rPr>
        <w:t>provid</w:t>
      </w:r>
      <w:r w:rsidR="009F06EB">
        <w:rPr>
          <w:color w:val="auto"/>
        </w:rPr>
        <w:t>e</w:t>
      </w:r>
      <w:r w:rsidRPr="000A5216">
        <w:rPr>
          <w:color w:val="auto"/>
        </w:rPr>
        <w:t xml:space="preserve"> adoption services. </w:t>
      </w:r>
      <w:r>
        <w:rPr>
          <w:color w:val="auto"/>
        </w:rPr>
        <w:t xml:space="preserve">For the purposes of this exception, </w:t>
      </w:r>
      <w:bookmarkStart w:id="310" w:name="_Hlk193941246"/>
      <w:r>
        <w:rPr>
          <w:color w:val="auto"/>
        </w:rPr>
        <w:t xml:space="preserve">a “faith-based organisation” is an organisation established or controlled by a religious organisation, which is accredited under the </w:t>
      </w:r>
      <w:r w:rsidRPr="009B48C3">
        <w:rPr>
          <w:i/>
          <w:iCs/>
          <w:color w:val="auto"/>
        </w:rPr>
        <w:t>Adoption Act 2000</w:t>
      </w:r>
      <w:r>
        <w:rPr>
          <w:color w:val="auto"/>
        </w:rPr>
        <w:t xml:space="preserve"> (NSW) to provide adoption services</w:t>
      </w:r>
      <w:bookmarkEnd w:id="310"/>
      <w:r>
        <w:rPr>
          <w:color w:val="auto"/>
        </w:rPr>
        <w:t>.</w:t>
      </w:r>
      <w:r>
        <w:rPr>
          <w:rStyle w:val="FootnoteReference"/>
          <w:color w:val="auto"/>
        </w:rPr>
        <w:footnoteReference w:id="659"/>
      </w:r>
    </w:p>
    <w:p w14:paraId="188AC127" w14:textId="7B49CC98" w:rsidR="006A1316" w:rsidRDefault="006A1316" w:rsidP="006A1316">
      <w:pPr>
        <w:pStyle w:val="NormalAutoChapter"/>
        <w:tabs>
          <w:tab w:val="clear" w:pos="720"/>
          <w:tab w:val="num" w:pos="1146"/>
        </w:tabs>
      </w:pPr>
      <w:r w:rsidRPr="009B48C3">
        <w:rPr>
          <w:color w:val="auto"/>
        </w:rPr>
        <w:t>T</w:t>
      </w:r>
      <w:r>
        <w:t xml:space="preserve">he prohibitions on discrimination </w:t>
      </w:r>
      <w:r w:rsidR="000634A1">
        <w:t>and</w:t>
      </w:r>
      <w:r>
        <w:t xml:space="preserve"> vilification based on homosexuality </w:t>
      </w:r>
      <w:r w:rsidR="000634A1">
        <w:t>or</w:t>
      </w:r>
      <w:r>
        <w:t xml:space="preserve"> transgender grounds do not apply to </w:t>
      </w:r>
      <w:r w:rsidR="005253BB">
        <w:t xml:space="preserve">the </w:t>
      </w:r>
      <w:r>
        <w:t xml:space="preserve">policies and practices of </w:t>
      </w:r>
      <w:r w:rsidR="000634A1">
        <w:t>such</w:t>
      </w:r>
      <w:r>
        <w:t xml:space="preserve"> </w:t>
      </w:r>
      <w:r>
        <w:lastRenderedPageBreak/>
        <w:t xml:space="preserve">organisations </w:t>
      </w:r>
      <w:r w:rsidR="000634A1">
        <w:t xml:space="preserve">concerning the provision of </w:t>
      </w:r>
      <w:r>
        <w:t>adoption services. However, this does not permit discrimination against any child who is or may be adopted.</w:t>
      </w:r>
      <w:r>
        <w:rPr>
          <w:rStyle w:val="FootnoteReference"/>
        </w:rPr>
        <w:footnoteReference w:id="660"/>
      </w:r>
      <w:r>
        <w:t xml:space="preserve"> </w:t>
      </w:r>
    </w:p>
    <w:p w14:paraId="1E20AF64" w14:textId="77777777" w:rsidR="006A1316" w:rsidRDefault="006A1316" w:rsidP="006A1316">
      <w:pPr>
        <w:pStyle w:val="NormalAutoChapter"/>
        <w:tabs>
          <w:tab w:val="clear" w:pos="720"/>
          <w:tab w:val="num" w:pos="1146"/>
        </w:tabs>
      </w:pPr>
      <w:r>
        <w:rPr>
          <w:color w:val="auto"/>
        </w:rPr>
        <w:t xml:space="preserve">There are conflicting views on this exception. Some argue it is important to faith-based adoption agencies, </w:t>
      </w:r>
      <w:r w:rsidRPr="00377D4E">
        <w:t>because same sex adoption is incompatible with some religious views about child raising.</w:t>
      </w:r>
      <w:r>
        <w:rPr>
          <w:rStyle w:val="FootnoteReference"/>
        </w:rPr>
        <w:footnoteReference w:id="661"/>
      </w:r>
      <w:r>
        <w:t xml:space="preserve"> Others argue that </w:t>
      </w:r>
      <w:r w:rsidRPr="00377D4E">
        <w:t>faith</w:t>
      </w:r>
      <w:r>
        <w:t>-</w:t>
      </w:r>
      <w:r w:rsidRPr="00377D4E">
        <w:t>based adoption service</w:t>
      </w:r>
      <w:r>
        <w:t>s</w:t>
      </w:r>
      <w:r w:rsidRPr="00377D4E">
        <w:t xml:space="preserve"> </w:t>
      </w:r>
      <w:r>
        <w:t>s</w:t>
      </w:r>
      <w:r w:rsidRPr="00377D4E">
        <w:t>hould</w:t>
      </w:r>
      <w:r>
        <w:t xml:space="preserve"> not</w:t>
      </w:r>
      <w:r w:rsidRPr="00377D4E">
        <w:t xml:space="preserve"> be allowed to discriminate in the provision of services</w:t>
      </w:r>
      <w:r>
        <w:t xml:space="preserve"> for which they receive public funding.</w:t>
      </w:r>
      <w:r w:rsidRPr="00377D4E">
        <w:rPr>
          <w:rStyle w:val="FootnoteReference"/>
        </w:rPr>
        <w:footnoteReference w:id="662"/>
      </w:r>
      <w:r w:rsidRPr="00377D4E">
        <w:t xml:space="preserve"> </w:t>
      </w:r>
    </w:p>
    <w:p w14:paraId="66F547F9" w14:textId="77777777" w:rsidR="006A1316" w:rsidRDefault="006A1316" w:rsidP="006A1316">
      <w:pPr>
        <w:pStyle w:val="NormalAutoChapter"/>
        <w:tabs>
          <w:tab w:val="clear" w:pos="720"/>
          <w:tab w:val="num" w:pos="1146"/>
        </w:tabs>
        <w:rPr>
          <w:color w:val="auto"/>
        </w:rPr>
      </w:pPr>
      <w:r w:rsidRPr="00806EF4">
        <w:rPr>
          <w:color w:val="auto"/>
        </w:rPr>
        <w:t>Any law reform efforts will require consideration of the interactions between this exception and the general exceptions for religious bodies in s 56</w:t>
      </w:r>
      <w:r>
        <w:rPr>
          <w:color w:val="auto"/>
        </w:rPr>
        <w:t xml:space="preserve"> of the ADA</w:t>
      </w:r>
      <w:r w:rsidRPr="00806EF4">
        <w:rPr>
          <w:color w:val="auto"/>
        </w:rPr>
        <w:t>. The general exception for the acts and practices of religious bodies in s 56(d) (outline</w:t>
      </w:r>
      <w:r>
        <w:rPr>
          <w:color w:val="auto"/>
        </w:rPr>
        <w:t>d</w:t>
      </w:r>
      <w:r w:rsidRPr="00806EF4">
        <w:rPr>
          <w:color w:val="auto"/>
        </w:rPr>
        <w:t xml:space="preserve"> above) has been found to apply to foster care services provided by a faith-based organisation.</w:t>
      </w:r>
      <w:r>
        <w:rPr>
          <w:rStyle w:val="FootnoteReference"/>
          <w:color w:val="auto"/>
        </w:rPr>
        <w:footnoteReference w:id="663"/>
      </w:r>
      <w:r w:rsidRPr="00806EF4">
        <w:rPr>
          <w:color w:val="auto"/>
        </w:rPr>
        <w:t xml:space="preserve"> This suggests faith-based adoption service providers may be able to rely on the general exception, even if the specific adoption service exception is </w:t>
      </w:r>
      <w:r w:rsidRPr="00196ECB">
        <w:rPr>
          <w:color w:val="auto"/>
        </w:rPr>
        <w:t xml:space="preserve">repealed. </w:t>
      </w:r>
    </w:p>
    <w:p w14:paraId="6AD70195" w14:textId="77777777" w:rsidR="006A1316" w:rsidRPr="00196ECB" w:rsidRDefault="006A1316" w:rsidP="006A1316">
      <w:pPr>
        <w:pStyle w:val="NormalAutoChapter"/>
        <w:tabs>
          <w:tab w:val="clear" w:pos="720"/>
          <w:tab w:val="num" w:pos="1146"/>
        </w:tabs>
        <w:rPr>
          <w:color w:val="auto"/>
        </w:rPr>
      </w:pPr>
      <w:r w:rsidRPr="00196ECB">
        <w:rPr>
          <w:color w:val="auto"/>
        </w:rPr>
        <w:t>There is also a view that the general exception in s 56(d) is wider than the adoption services exception. The adoption services exception does not permit discrimination against children — no such limitation applies to s 56(d).</w:t>
      </w:r>
      <w:r>
        <w:rPr>
          <w:rStyle w:val="FootnoteReference"/>
          <w:color w:val="auto"/>
        </w:rPr>
        <w:footnoteReference w:id="664"/>
      </w:r>
      <w:r w:rsidRPr="00196ECB">
        <w:rPr>
          <w:i/>
          <w:iCs/>
          <w:color w:val="auto"/>
        </w:rPr>
        <w:t xml:space="preserve"> </w:t>
      </w:r>
    </w:p>
    <w:p w14:paraId="5564A112" w14:textId="77777777" w:rsidR="006A1316" w:rsidRPr="009E10B6" w:rsidRDefault="006A1316" w:rsidP="006A1316">
      <w:pPr>
        <w:pStyle w:val="Recommendationheading"/>
      </w:pPr>
      <w:r w:rsidRPr="009E10B6">
        <w:t xml:space="preserve">Question 7.4: Exceptions for providers of adoption services </w:t>
      </w:r>
    </w:p>
    <w:p w14:paraId="108417C4" w14:textId="77777777" w:rsidR="006A1316" w:rsidRPr="009E10B6" w:rsidRDefault="006A1316" w:rsidP="006A1316">
      <w:pPr>
        <w:pStyle w:val="Recommendationnormal"/>
      </w:pPr>
      <w:r w:rsidRPr="009E10B6">
        <w:t>Should the</w:t>
      </w:r>
      <w:r>
        <w:t xml:space="preserve"> ADA</w:t>
      </w:r>
      <w:r w:rsidRPr="009E10B6">
        <w:t xml:space="preserve"> </w:t>
      </w:r>
      <w:r>
        <w:t>have</w:t>
      </w:r>
      <w:r w:rsidRPr="009E10B6">
        <w:t xml:space="preserve"> a specific exception for providers of adoption services? If so, what should it cover and when should it apply?</w:t>
      </w:r>
    </w:p>
    <w:p w14:paraId="36908715" w14:textId="77777777" w:rsidR="006A1316" w:rsidRDefault="006A1316" w:rsidP="006A1316">
      <w:pPr>
        <w:pStyle w:val="Heading1"/>
      </w:pPr>
      <w:bookmarkStart w:id="311" w:name="_Toc196742765"/>
      <w:bookmarkStart w:id="312" w:name="_Toc196826902"/>
      <w:r>
        <w:t>Private educational authorities</w:t>
      </w:r>
      <w:bookmarkEnd w:id="311"/>
      <w:bookmarkEnd w:id="312"/>
      <w:r>
        <w:t xml:space="preserve"> </w:t>
      </w:r>
    </w:p>
    <w:p w14:paraId="619AF20A" w14:textId="77777777" w:rsidR="006A1316" w:rsidRDefault="006A1316" w:rsidP="006A1316">
      <w:pPr>
        <w:pStyle w:val="NormalAutoChapter"/>
        <w:tabs>
          <w:tab w:val="clear" w:pos="720"/>
          <w:tab w:val="num" w:pos="1146"/>
        </w:tabs>
      </w:pPr>
      <w:r>
        <w:t>The ADA has specific exceptions for “private educational authorities”. These</w:t>
      </w:r>
      <w:r w:rsidRPr="00BE456A">
        <w:t xml:space="preserve"> </w:t>
      </w:r>
      <w:r>
        <w:t>allow any “private educational authority” to discriminate in relation to work or education, based on almost any protected attribute.</w:t>
      </w:r>
    </w:p>
    <w:p w14:paraId="1044596E" w14:textId="77777777" w:rsidR="006A1316" w:rsidRPr="00F2610C" w:rsidRDefault="006A1316" w:rsidP="006A1316">
      <w:pPr>
        <w:pStyle w:val="NormalAutoChapter"/>
        <w:tabs>
          <w:tab w:val="clear" w:pos="720"/>
          <w:tab w:val="num" w:pos="1146"/>
        </w:tabs>
      </w:pPr>
      <w:r>
        <w:rPr>
          <w:color w:val="auto"/>
        </w:rPr>
        <w:t>These exceptions were</w:t>
      </w:r>
      <w:r w:rsidRPr="004B5A5B">
        <w:rPr>
          <w:color w:val="auto"/>
        </w:rPr>
        <w:t xml:space="preserve"> introduced in 1981</w:t>
      </w:r>
      <w:r>
        <w:rPr>
          <w:color w:val="auto"/>
        </w:rPr>
        <w:t>,</w:t>
      </w:r>
      <w:r w:rsidRPr="004B5A5B">
        <w:rPr>
          <w:color w:val="auto"/>
        </w:rPr>
        <w:t xml:space="preserve"> </w:t>
      </w:r>
      <w:r>
        <w:rPr>
          <w:color w:val="auto"/>
        </w:rPr>
        <w:t>when the ADA was amended to prohibit discrimination against staff or students in public schools.</w:t>
      </w:r>
      <w:r w:rsidRPr="002E4B66">
        <w:rPr>
          <w:rStyle w:val="FootnoteReference"/>
          <w:color w:val="auto"/>
        </w:rPr>
        <w:t xml:space="preserve"> </w:t>
      </w:r>
      <w:r>
        <w:t xml:space="preserve">They were intended to </w:t>
      </w:r>
      <w:r>
        <w:lastRenderedPageBreak/>
        <w:t>address the concerns about private schools and mainstream churches about being subject to the ADA.</w:t>
      </w:r>
      <w:r>
        <w:rPr>
          <w:rStyle w:val="FootnoteReference"/>
          <w:color w:val="auto"/>
        </w:rPr>
        <w:footnoteReference w:id="665"/>
      </w:r>
    </w:p>
    <w:p w14:paraId="292784BD" w14:textId="77777777" w:rsidR="006A1316" w:rsidRDefault="006A1316" w:rsidP="006A1316">
      <w:pPr>
        <w:pStyle w:val="NormalAutoChapter"/>
        <w:tabs>
          <w:tab w:val="clear" w:pos="720"/>
          <w:tab w:val="num" w:pos="1146"/>
        </w:tabs>
      </w:pPr>
      <w:r>
        <w:rPr>
          <w:color w:val="auto"/>
        </w:rPr>
        <w:t xml:space="preserve">One view is that that </w:t>
      </w:r>
      <w:r>
        <w:t>private schools are private communities, set up to create “</w:t>
      </w:r>
      <w:r w:rsidRPr="00474784">
        <w:t>distinct schooling environments</w:t>
      </w:r>
      <w:r>
        <w:t>”.</w:t>
      </w:r>
      <w:r>
        <w:rPr>
          <w:rStyle w:val="FootnoteReference"/>
        </w:rPr>
        <w:footnoteReference w:id="666"/>
      </w:r>
      <w:r>
        <w:t xml:space="preserve"> Some preliminary submissions support exceptions for religious </w:t>
      </w:r>
      <w:proofErr w:type="gramStart"/>
      <w:r>
        <w:t>schools in particular, because</w:t>
      </w:r>
      <w:proofErr w:type="gramEnd"/>
      <w:r>
        <w:t xml:space="preserve"> the exceptions:</w:t>
      </w:r>
    </w:p>
    <w:p w14:paraId="6C1C0DD7" w14:textId="77777777" w:rsidR="006A1316" w:rsidRDefault="006A1316" w:rsidP="006A1316">
      <w:pPr>
        <w:pStyle w:val="Normalbullet"/>
      </w:pPr>
      <w:r>
        <w:t>protect the right to freedom of thought, conscience and religion</w:t>
      </w:r>
    </w:p>
    <w:p w14:paraId="0B4BE061" w14:textId="77777777" w:rsidR="006A1316" w:rsidRDefault="006A1316" w:rsidP="006A1316">
      <w:pPr>
        <w:pStyle w:val="Normalbullet"/>
      </w:pPr>
      <w:r>
        <w:t>allow schools to maintain their ethos and identity in all aspects of school life, including by employing staff and preferring families whose values align with the school’s ethos</w:t>
      </w:r>
    </w:p>
    <w:p w14:paraId="78EB92AC" w14:textId="77777777" w:rsidR="006A1316" w:rsidRPr="001D2B3F" w:rsidRDefault="006A1316" w:rsidP="006A1316">
      <w:pPr>
        <w:pStyle w:val="Normalbullet"/>
      </w:pPr>
      <w:r>
        <w:t xml:space="preserve">allow parents the freedom to choose a faith-based schooling environment for their child, that </w:t>
      </w:r>
      <w:r w:rsidRPr="00F45364">
        <w:t>aligns with their religious and moral convictions</w:t>
      </w:r>
      <w:r>
        <w:t>, and</w:t>
      </w:r>
    </w:p>
    <w:p w14:paraId="0066BB7C" w14:textId="77777777" w:rsidR="006A1316" w:rsidRDefault="006A1316" w:rsidP="006A1316">
      <w:pPr>
        <w:pStyle w:val="Normalbullet"/>
      </w:pPr>
      <w:r>
        <w:t>allow schools to teach a distinctive worldview without having to deal with costly discrimination claims.</w:t>
      </w:r>
      <w:r>
        <w:rPr>
          <w:rStyle w:val="FootnoteReference"/>
        </w:rPr>
        <w:footnoteReference w:id="667"/>
      </w:r>
      <w:r w:rsidRPr="00E61B1D">
        <w:rPr>
          <w:rStyle w:val="FootnoteReference"/>
        </w:rPr>
        <w:t xml:space="preserve"> </w:t>
      </w:r>
    </w:p>
    <w:p w14:paraId="00334636" w14:textId="77777777" w:rsidR="006A1316" w:rsidRPr="000269E9" w:rsidRDefault="006A1316" w:rsidP="006A1316">
      <w:pPr>
        <w:pStyle w:val="NormalAutoChapter"/>
        <w:tabs>
          <w:tab w:val="clear" w:pos="720"/>
          <w:tab w:val="num" w:pos="1146"/>
        </w:tabs>
        <w:rPr>
          <w:color w:val="auto"/>
        </w:rPr>
      </w:pPr>
      <w:r w:rsidRPr="000269E9">
        <w:rPr>
          <w:color w:val="auto"/>
        </w:rPr>
        <w:t>Many</w:t>
      </w:r>
      <w:r>
        <w:rPr>
          <w:color w:val="auto"/>
        </w:rPr>
        <w:t xml:space="preserve"> other</w:t>
      </w:r>
      <w:r w:rsidRPr="000269E9">
        <w:rPr>
          <w:color w:val="auto"/>
        </w:rPr>
        <w:t xml:space="preserve"> preliminary submissions argued that the</w:t>
      </w:r>
      <w:r>
        <w:rPr>
          <w:color w:val="auto"/>
        </w:rPr>
        <w:t>se</w:t>
      </w:r>
      <w:r w:rsidRPr="000269E9">
        <w:rPr>
          <w:color w:val="auto"/>
        </w:rPr>
        <w:t xml:space="preserve"> exceptions are too broad.</w:t>
      </w:r>
      <w:r>
        <w:rPr>
          <w:rStyle w:val="FootnoteReference"/>
          <w:color w:val="auto"/>
        </w:rPr>
        <w:footnoteReference w:id="668"/>
      </w:r>
      <w:r w:rsidRPr="000269E9">
        <w:rPr>
          <w:color w:val="auto"/>
        </w:rPr>
        <w:t xml:space="preserve"> </w:t>
      </w:r>
      <w:r>
        <w:rPr>
          <w:color w:val="auto"/>
        </w:rPr>
        <w:t>Some are concerned that the exceptions apply unconditionally, without requiring duty holders to justify their conduct.</w:t>
      </w:r>
      <w:r>
        <w:rPr>
          <w:rStyle w:val="FootnoteReference"/>
          <w:color w:val="auto"/>
        </w:rPr>
        <w:footnoteReference w:id="669"/>
      </w:r>
      <w:r>
        <w:rPr>
          <w:color w:val="auto"/>
        </w:rPr>
        <w:t xml:space="preserve"> </w:t>
      </w:r>
      <w:r w:rsidRPr="000269E9">
        <w:rPr>
          <w:color w:val="auto"/>
        </w:rPr>
        <w:t>There</w:t>
      </w:r>
      <w:r>
        <w:rPr>
          <w:color w:val="auto"/>
        </w:rPr>
        <w:t xml:space="preserve"> are also specific </w:t>
      </w:r>
      <w:r w:rsidRPr="000269E9">
        <w:rPr>
          <w:color w:val="auto"/>
        </w:rPr>
        <w:t>concerns that the excepti</w:t>
      </w:r>
      <w:r>
        <w:rPr>
          <w:color w:val="auto"/>
        </w:rPr>
        <w:t>o</w:t>
      </w:r>
      <w:r w:rsidRPr="000269E9">
        <w:rPr>
          <w:color w:val="auto"/>
        </w:rPr>
        <w:t>ns</w:t>
      </w:r>
      <w:r>
        <w:rPr>
          <w:color w:val="auto"/>
        </w:rPr>
        <w:t xml:space="preserve">: </w:t>
      </w:r>
    </w:p>
    <w:p w14:paraId="4A194801" w14:textId="77777777" w:rsidR="006A1316" w:rsidRPr="0093108E" w:rsidRDefault="006A1316" w:rsidP="006A1316">
      <w:pPr>
        <w:pStyle w:val="Normalbullet"/>
      </w:pPr>
      <w:r>
        <w:t xml:space="preserve">can be used to permit </w:t>
      </w:r>
      <w:r w:rsidRPr="000862EC">
        <w:t>discrimination against LGBTQ</w:t>
      </w:r>
      <w:r>
        <w:t>IA</w:t>
      </w:r>
      <w:r w:rsidRPr="000862EC">
        <w:t>+ people an</w:t>
      </w:r>
      <w:r>
        <w:t xml:space="preserve">d </w:t>
      </w:r>
      <w:r w:rsidRPr="000862EC">
        <w:t>th</w:t>
      </w:r>
      <w:r>
        <w:t>eir supporters</w:t>
      </w:r>
      <w:r>
        <w:rPr>
          <w:rStyle w:val="FootnoteReference"/>
        </w:rPr>
        <w:footnoteReference w:id="670"/>
      </w:r>
    </w:p>
    <w:p w14:paraId="46EC3407" w14:textId="77777777" w:rsidR="006A1316" w:rsidRPr="0093108E" w:rsidRDefault="006A1316" w:rsidP="006A1316">
      <w:pPr>
        <w:pStyle w:val="Normalbullet"/>
      </w:pPr>
      <w:r>
        <w:t>do not reflect contemporary community standards and provide people in NSW with less protections than in other parts of Australia,</w:t>
      </w:r>
      <w:r>
        <w:rPr>
          <w:rStyle w:val="FootnoteReference"/>
        </w:rPr>
        <w:footnoteReference w:id="671"/>
      </w:r>
      <w:r>
        <w:t xml:space="preserve"> and</w:t>
      </w:r>
    </w:p>
    <w:p w14:paraId="6E94D76B" w14:textId="77777777" w:rsidR="006A1316" w:rsidRPr="00327B7A" w:rsidRDefault="006A1316" w:rsidP="006A1316">
      <w:pPr>
        <w:pStyle w:val="Normalbullet"/>
      </w:pPr>
      <w:r>
        <w:t>are outdated, unjustified and undermine inclusivity.</w:t>
      </w:r>
      <w:r>
        <w:rPr>
          <w:rStyle w:val="FootnoteReference"/>
        </w:rPr>
        <w:footnoteReference w:id="672"/>
      </w:r>
      <w:r>
        <w:t xml:space="preserve"> </w:t>
      </w:r>
    </w:p>
    <w:p w14:paraId="5F190CC5" w14:textId="77777777" w:rsidR="006A1316" w:rsidRDefault="006A1316" w:rsidP="006A1316">
      <w:pPr>
        <w:pStyle w:val="NormalAutoChapter"/>
        <w:tabs>
          <w:tab w:val="clear" w:pos="720"/>
          <w:tab w:val="num" w:pos="1146"/>
        </w:tabs>
        <w:rPr>
          <w:color w:val="auto"/>
        </w:rPr>
      </w:pPr>
      <w:r>
        <w:rPr>
          <w:color w:val="auto"/>
        </w:rPr>
        <w:lastRenderedPageBreak/>
        <w:t>A recent parliamentary inquiry also noted that NSW is the only part of Australia that allows discrimination against school staff and students based on disability. It recommended that consideration be given to removing the exceptions which permit discrimination against people with disability in private schools.</w:t>
      </w:r>
      <w:r>
        <w:rPr>
          <w:rStyle w:val="FootnoteReference"/>
          <w:color w:val="auto"/>
        </w:rPr>
        <w:footnoteReference w:id="673"/>
      </w:r>
    </w:p>
    <w:p w14:paraId="5F0BC6CB" w14:textId="77777777" w:rsidR="006A1316" w:rsidRDefault="006A1316" w:rsidP="006A1316">
      <w:pPr>
        <w:pStyle w:val="NormalAutoChapter"/>
        <w:tabs>
          <w:tab w:val="clear" w:pos="720"/>
          <w:tab w:val="num" w:pos="1146"/>
        </w:tabs>
      </w:pPr>
      <w:r>
        <w:t>There is also a view that</w:t>
      </w:r>
      <w:r w:rsidRPr="000269E9">
        <w:rPr>
          <w:color w:val="auto"/>
        </w:rPr>
        <w:t xml:space="preserve"> religious schools should be subject to secular laws as they receive public funding and tax benefits.</w:t>
      </w:r>
      <w:r w:rsidRPr="00334369">
        <w:rPr>
          <w:rStyle w:val="FootnoteReference"/>
          <w:color w:val="auto"/>
        </w:rPr>
        <w:footnoteReference w:id="674"/>
      </w:r>
    </w:p>
    <w:p w14:paraId="61D642CB" w14:textId="77777777" w:rsidR="006A1316" w:rsidRDefault="006A1316" w:rsidP="006A1316">
      <w:pPr>
        <w:pStyle w:val="NormalAutoChapter"/>
        <w:tabs>
          <w:tab w:val="clear" w:pos="720"/>
          <w:tab w:val="num" w:pos="1146"/>
        </w:tabs>
      </w:pPr>
      <w:r>
        <w:t>In the following sections, we consider the scope of the exceptions for private educational authorities, and how they apply in employment and education.</w:t>
      </w:r>
    </w:p>
    <w:p w14:paraId="73CD58E8" w14:textId="77777777" w:rsidR="006A1316" w:rsidRPr="00725513" w:rsidRDefault="006A1316" w:rsidP="006A1316">
      <w:pPr>
        <w:pStyle w:val="NormalAutoChapter"/>
        <w:tabs>
          <w:tab w:val="clear" w:pos="720"/>
          <w:tab w:val="num" w:pos="1146"/>
        </w:tabs>
        <w:rPr>
          <w:color w:val="auto"/>
        </w:rPr>
      </w:pPr>
      <w:r>
        <w:t>We also raise some possible alternatives for consideration. In doing so, we note that any attempts to change these exceptions will need to consider the effects of the general exceptions for religious bodies (outlined above).</w:t>
      </w:r>
      <w:r>
        <w:rPr>
          <w:rStyle w:val="FootnoteReference"/>
          <w:color w:val="auto"/>
        </w:rPr>
        <w:footnoteReference w:id="675"/>
      </w:r>
      <w:r>
        <w:t xml:space="preserve"> There are possible overlaps between these categories of exceptions, as the general exceptions potentially include religious educational institutions. </w:t>
      </w:r>
    </w:p>
    <w:p w14:paraId="27D8C374" w14:textId="77777777" w:rsidR="006A1316" w:rsidRDefault="006A1316" w:rsidP="006A1316">
      <w:pPr>
        <w:pStyle w:val="Heading2"/>
      </w:pPr>
      <w:bookmarkStart w:id="313" w:name="_Toc196742766"/>
      <w:bookmarkStart w:id="314" w:name="_Toc196826903"/>
      <w:r>
        <w:t>The exceptions cover a wide range of educational bodies</w:t>
      </w:r>
      <w:bookmarkEnd w:id="313"/>
      <w:bookmarkEnd w:id="314"/>
    </w:p>
    <w:p w14:paraId="41CF06B1" w14:textId="77777777" w:rsidR="006A1316" w:rsidRDefault="006A1316" w:rsidP="006A1316">
      <w:pPr>
        <w:pStyle w:val="NormalAutoChapter"/>
        <w:tabs>
          <w:tab w:val="clear" w:pos="720"/>
          <w:tab w:val="num" w:pos="1146"/>
        </w:tabs>
      </w:pPr>
      <w:r>
        <w:t xml:space="preserve">The ADA is the only Australian discrimination law with exceptions for “private educational authorities”. Some other states and territories, and the </w:t>
      </w:r>
      <w:r w:rsidRPr="00BB7572">
        <w:rPr>
          <w:i/>
          <w:iCs/>
        </w:rPr>
        <w:t xml:space="preserve">Sex </w:t>
      </w:r>
      <w:r w:rsidRPr="00BB33E1">
        <w:rPr>
          <w:i/>
          <w:iCs/>
        </w:rPr>
        <w:t>Discrimination</w:t>
      </w:r>
      <w:r w:rsidRPr="00BB7572">
        <w:rPr>
          <w:i/>
          <w:iCs/>
        </w:rPr>
        <w:t xml:space="preserve"> Act</w:t>
      </w:r>
      <w:r>
        <w:t xml:space="preserve">, have more targeted exceptions for religious schools instead. </w:t>
      </w:r>
    </w:p>
    <w:p w14:paraId="3E408E11" w14:textId="77777777" w:rsidR="006A1316" w:rsidRDefault="006A1316" w:rsidP="006A1316">
      <w:pPr>
        <w:pStyle w:val="NormalAutoChapter"/>
        <w:tabs>
          <w:tab w:val="clear" w:pos="720"/>
          <w:tab w:val="num" w:pos="1146"/>
        </w:tabs>
      </w:pPr>
      <w:r>
        <w:t xml:space="preserve">A preliminary issue is whether any such exceptions should extend to all private educational authorities. To the extent that exceptions are considered necessary, should they be limited to religious educational authorities? </w:t>
      </w:r>
    </w:p>
    <w:p w14:paraId="4D96ECE1" w14:textId="77777777" w:rsidR="006A1316" w:rsidRDefault="006A1316" w:rsidP="006A1316">
      <w:pPr>
        <w:pStyle w:val="NormalAutoChapter"/>
        <w:tabs>
          <w:tab w:val="clear" w:pos="720"/>
          <w:tab w:val="num" w:pos="1146"/>
        </w:tabs>
      </w:pPr>
      <w:r>
        <w:rPr>
          <w:color w:val="auto"/>
        </w:rPr>
        <w:t xml:space="preserve">In 1999, the NSWLRC observed the exceptions reflect the idea </w:t>
      </w:r>
      <w:r w:rsidRPr="004B5A5B">
        <w:rPr>
          <w:color w:val="auto"/>
        </w:rPr>
        <w:t>that the state should</w:t>
      </w:r>
      <w:r>
        <w:rPr>
          <w:color w:val="auto"/>
        </w:rPr>
        <w:t xml:space="preserve"> not </w:t>
      </w:r>
      <w:r w:rsidRPr="004B5A5B">
        <w:rPr>
          <w:color w:val="auto"/>
        </w:rPr>
        <w:t xml:space="preserve">interfere with education in the “private sphere”. </w:t>
      </w:r>
      <w:r>
        <w:rPr>
          <w:color w:val="auto"/>
        </w:rPr>
        <w:t xml:space="preserve">But it concluded </w:t>
      </w:r>
      <w:r>
        <w:t>there is no coherent rationale for the “extremely broad” exceptions and recommended replacing them with narrower exceptions specifically for religious schools.</w:t>
      </w:r>
      <w:r>
        <w:rPr>
          <w:rStyle w:val="FootnoteReference"/>
          <w:color w:val="auto"/>
        </w:rPr>
        <w:footnoteReference w:id="676"/>
      </w:r>
      <w:r>
        <w:t xml:space="preserve"> </w:t>
      </w:r>
    </w:p>
    <w:p w14:paraId="320A5140" w14:textId="77777777" w:rsidR="006A1316" w:rsidRDefault="006A1316" w:rsidP="006A1316">
      <w:pPr>
        <w:pStyle w:val="NormalAutoChapter"/>
        <w:tabs>
          <w:tab w:val="clear" w:pos="720"/>
          <w:tab w:val="num" w:pos="1146"/>
        </w:tabs>
      </w:pPr>
      <w:r>
        <w:t xml:space="preserve">Under the ADA, a “private educational authority” includes any </w:t>
      </w:r>
      <w:r w:rsidRPr="00A44544">
        <w:t>school, college, university or other institution at which education or training is provided</w:t>
      </w:r>
      <w:r>
        <w:t>, which is not public. It excludes any university established under an Act of incorporation.</w:t>
      </w:r>
      <w:r>
        <w:rPr>
          <w:rStyle w:val="FootnoteReference"/>
        </w:rPr>
        <w:footnoteReference w:id="677"/>
      </w:r>
      <w:r>
        <w:t xml:space="preserve"> </w:t>
      </w:r>
      <w:r>
        <w:lastRenderedPageBreak/>
        <w:t>However the definition includes any business colleges and other private post-secondary institutions that are not established under an Act of incorporation.</w:t>
      </w:r>
      <w:r>
        <w:rPr>
          <w:rStyle w:val="FootnoteReference"/>
        </w:rPr>
        <w:footnoteReference w:id="678"/>
      </w:r>
      <w:r>
        <w:t xml:space="preserve"> </w:t>
      </w:r>
    </w:p>
    <w:p w14:paraId="50DBD21A" w14:textId="77777777" w:rsidR="006A1316" w:rsidRDefault="006A1316" w:rsidP="006A1316">
      <w:pPr>
        <w:pStyle w:val="NormalAutoChapter"/>
        <w:tabs>
          <w:tab w:val="clear" w:pos="720"/>
          <w:tab w:val="num" w:pos="1146"/>
        </w:tabs>
      </w:pPr>
      <w:r>
        <w:t xml:space="preserve">Many NSW schools fit this definition. Most of these private schools have a religious affiliation. In </w:t>
      </w:r>
      <w:r w:rsidRPr="00A20573">
        <w:t>2023,</w:t>
      </w:r>
      <w:r>
        <w:t xml:space="preserve"> </w:t>
      </w:r>
      <w:r w:rsidRPr="00A20573">
        <w:t>37</w:t>
      </w:r>
      <w:r>
        <w:t>.</w:t>
      </w:r>
      <w:r w:rsidRPr="00180570">
        <w:t>1% of NSW</w:t>
      </w:r>
      <w:r>
        <w:t xml:space="preserve"> </w:t>
      </w:r>
      <w:r w:rsidRPr="00A20573">
        <w:t>students were enrolled in non-government schools.</w:t>
      </w:r>
      <w:r>
        <w:rPr>
          <w:rStyle w:val="FootnoteReference"/>
        </w:rPr>
        <w:footnoteReference w:id="679"/>
      </w:r>
      <w:r w:rsidRPr="00A20573">
        <w:t xml:space="preserve"> </w:t>
      </w:r>
      <w:r>
        <w:t>Eighteen percent of NSW students were enrolled in Catholic schools. Nineteen percent were enrolled in independent schools, 83% of which have a religious affiliation.</w:t>
      </w:r>
      <w:r>
        <w:rPr>
          <w:rStyle w:val="FootnoteReference"/>
        </w:rPr>
        <w:footnoteReference w:id="680"/>
      </w:r>
      <w:r>
        <w:t xml:space="preserve"> </w:t>
      </w:r>
    </w:p>
    <w:p w14:paraId="1C17FEB9" w14:textId="77777777" w:rsidR="006A1316" w:rsidRDefault="006A1316" w:rsidP="006A1316">
      <w:pPr>
        <w:pStyle w:val="NormalAutoChapter"/>
        <w:tabs>
          <w:tab w:val="clear" w:pos="720"/>
          <w:tab w:val="num" w:pos="1146"/>
        </w:tabs>
      </w:pPr>
      <w:r>
        <w:t>In 2022–23, combined government funding (from both the Australian and NSW Governments) for non-government schools in NSW was $6.6 billion.</w:t>
      </w:r>
      <w:r>
        <w:rPr>
          <w:rStyle w:val="FootnoteReference"/>
        </w:rPr>
        <w:footnoteReference w:id="681"/>
      </w:r>
      <w:r>
        <w:t xml:space="preserve">  </w:t>
      </w:r>
    </w:p>
    <w:p w14:paraId="5F93B96D" w14:textId="77777777" w:rsidR="006A1316" w:rsidRPr="00C76FB7" w:rsidRDefault="006A1316" w:rsidP="006A1316">
      <w:pPr>
        <w:pStyle w:val="NormalAutoChapter"/>
        <w:tabs>
          <w:tab w:val="clear" w:pos="720"/>
          <w:tab w:val="num" w:pos="1146"/>
        </w:tabs>
      </w:pPr>
      <w:r>
        <w:rPr>
          <w:color w:val="auto"/>
        </w:rPr>
        <w:t xml:space="preserve">The statistics indicate that limiting the exceptions to religious schools would confine the scope of the exception, but not significantly. Nor would it address the issue of whether the exceptions </w:t>
      </w:r>
      <w:r w:rsidRPr="00BA4EA1">
        <w:rPr>
          <w:color w:val="auto"/>
        </w:rPr>
        <w:t xml:space="preserve">appropriately address the intersection between religious freedom and other rights in relation to work and education. </w:t>
      </w:r>
      <w:r>
        <w:rPr>
          <w:color w:val="auto"/>
        </w:rPr>
        <w:t>Other issues require consideration.</w:t>
      </w:r>
    </w:p>
    <w:p w14:paraId="413D699B" w14:textId="77777777" w:rsidR="006A1316" w:rsidRDefault="006A1316" w:rsidP="006A1316">
      <w:pPr>
        <w:pStyle w:val="Heading2"/>
      </w:pPr>
      <w:bookmarkStart w:id="316" w:name="_Toc196742767"/>
      <w:bookmarkStart w:id="317" w:name="_Toc196826904"/>
      <w:r>
        <w:t>Discrimination in work</w:t>
      </w:r>
      <w:bookmarkEnd w:id="316"/>
      <w:bookmarkEnd w:id="317"/>
      <w:r>
        <w:t xml:space="preserve"> </w:t>
      </w:r>
    </w:p>
    <w:p w14:paraId="6C09456F" w14:textId="77777777" w:rsidR="006A1316" w:rsidRDefault="006A1316" w:rsidP="006A1316">
      <w:pPr>
        <w:pStyle w:val="NormalAutoChapter"/>
      </w:pPr>
      <w:r>
        <w:t xml:space="preserve">Exceptions in the ADA allow private educational authorities to discriminate based on </w:t>
      </w:r>
      <w:r w:rsidRPr="009C695A">
        <w:t>sex, disability, transgender grounds, homosexuality, or marital or domestic status</w:t>
      </w:r>
      <w:r>
        <w:t xml:space="preserve"> in relation to employment.</w:t>
      </w:r>
      <w:r w:rsidRPr="009C695A">
        <w:rPr>
          <w:rStyle w:val="FootnoteReference"/>
        </w:rPr>
        <w:footnoteReference w:id="682"/>
      </w:r>
      <w:r>
        <w:t xml:space="preserve"> For example, they can discriminate:</w:t>
      </w:r>
    </w:p>
    <w:p w14:paraId="3AB9A345" w14:textId="77777777" w:rsidR="006A1316" w:rsidRDefault="006A1316" w:rsidP="006A1316">
      <w:pPr>
        <w:pStyle w:val="Normalbullet"/>
      </w:pPr>
      <w:r>
        <w:t>in deciding who to employ and the terms of employment</w:t>
      </w:r>
    </w:p>
    <w:p w14:paraId="7EB94FED" w14:textId="77777777" w:rsidR="006A1316" w:rsidRDefault="006A1316" w:rsidP="006A1316">
      <w:pPr>
        <w:pStyle w:val="Normalbullet"/>
      </w:pPr>
      <w:r>
        <w:t>by denying or limiting access to promotions, transfers, training or other benefits, or</w:t>
      </w:r>
    </w:p>
    <w:p w14:paraId="263C2A57" w14:textId="77777777" w:rsidR="006A1316" w:rsidRPr="00D82176" w:rsidRDefault="006A1316" w:rsidP="006A1316">
      <w:pPr>
        <w:pStyle w:val="Normalbullet"/>
      </w:pPr>
      <w:r>
        <w:t>by dismissing an employee or subjecting them to other detriment.</w:t>
      </w:r>
      <w:r>
        <w:rPr>
          <w:rStyle w:val="FootnoteReference"/>
        </w:rPr>
        <w:footnoteReference w:id="683"/>
      </w:r>
    </w:p>
    <w:p w14:paraId="6D310D2A" w14:textId="77777777" w:rsidR="006A1316" w:rsidRPr="000A3DEF" w:rsidRDefault="006A1316" w:rsidP="006A1316">
      <w:pPr>
        <w:pStyle w:val="NormalAutoChapter"/>
        <w:tabs>
          <w:tab w:val="clear" w:pos="720"/>
          <w:tab w:val="num" w:pos="1146"/>
        </w:tabs>
        <w:rPr>
          <w:color w:val="auto"/>
        </w:rPr>
      </w:pPr>
      <w:r>
        <w:t>Most other Australian di</w:t>
      </w:r>
      <w:r w:rsidRPr="001D1DA4">
        <w:t xml:space="preserve">scrimination laws contain specific work-related exceptions for </w:t>
      </w:r>
      <w:r>
        <w:t>religious educational authorities</w:t>
      </w:r>
      <w:r w:rsidRPr="001D1DA4">
        <w:t>.</w:t>
      </w:r>
      <w:r>
        <w:rPr>
          <w:rStyle w:val="FootnoteReference"/>
        </w:rPr>
        <w:footnoteReference w:id="684"/>
      </w:r>
      <w:r>
        <w:t xml:space="preserve"> The </w:t>
      </w:r>
      <w:r w:rsidRPr="0034112D">
        <w:rPr>
          <w:i/>
          <w:iCs/>
        </w:rPr>
        <w:t>Sex Discrimination Act</w:t>
      </w:r>
      <w:r>
        <w:t xml:space="preserve">, for example, has a </w:t>
      </w:r>
      <w:r>
        <w:lastRenderedPageBreak/>
        <w:t>broad exception for any educational institution that is “c</w:t>
      </w:r>
      <w:r w:rsidRPr="00F34A84">
        <w:t>onducted in accordance with the doctrines, tenets, beliefs or teachings of a particular religio</w:t>
      </w:r>
      <w:r>
        <w:t>n”.</w:t>
      </w:r>
      <w:r>
        <w:rPr>
          <w:rStyle w:val="FootnoteReference"/>
        </w:rPr>
        <w:footnoteReference w:id="685"/>
      </w:r>
      <w:r>
        <w:t xml:space="preserve"> </w:t>
      </w:r>
    </w:p>
    <w:p w14:paraId="0DD301FE" w14:textId="77777777" w:rsidR="006A1316" w:rsidRPr="0018590D" w:rsidRDefault="006A1316" w:rsidP="006A1316">
      <w:pPr>
        <w:pStyle w:val="NormalAutoChapter"/>
        <w:tabs>
          <w:tab w:val="clear" w:pos="720"/>
          <w:tab w:val="num" w:pos="1146"/>
        </w:tabs>
        <w:rPr>
          <w:color w:val="auto"/>
        </w:rPr>
      </w:pPr>
      <w:r>
        <w:t>On the other hand, some discrimination laws do not contain this kind of exception.</w:t>
      </w:r>
      <w:r>
        <w:rPr>
          <w:rStyle w:val="FootnoteReference"/>
        </w:rPr>
        <w:footnoteReference w:id="686"/>
      </w:r>
      <w:r>
        <w:t xml:space="preserve"> </w:t>
      </w:r>
      <w:r w:rsidRPr="0018590D">
        <w:rPr>
          <w:color w:val="auto"/>
        </w:rPr>
        <w:t>In 2022, the NT Act was amended to remove an exception that permitted religious educational authorities to discriminate based on religious belief or activity, or sexuality, in employment.</w:t>
      </w:r>
      <w:r w:rsidRPr="00A2082C">
        <w:rPr>
          <w:rStyle w:val="FootnoteReference"/>
          <w:color w:val="auto"/>
        </w:rPr>
        <w:footnoteReference w:id="687"/>
      </w:r>
      <w:r w:rsidRPr="0018590D">
        <w:rPr>
          <w:color w:val="auto"/>
        </w:rPr>
        <w:t xml:space="preserve"> The intention was to provide greater community inclusion.</w:t>
      </w:r>
      <w:r w:rsidRPr="00A2082C">
        <w:rPr>
          <w:rStyle w:val="FootnoteReference"/>
          <w:color w:val="auto"/>
        </w:rPr>
        <w:footnoteReference w:id="688"/>
      </w:r>
      <w:r>
        <w:t xml:space="preserve"> </w:t>
      </w:r>
    </w:p>
    <w:p w14:paraId="730018F4" w14:textId="77777777" w:rsidR="006A1316" w:rsidRPr="00346C84" w:rsidRDefault="006A1316" w:rsidP="006A1316">
      <w:pPr>
        <w:pStyle w:val="NormalAutoChapter"/>
        <w:tabs>
          <w:tab w:val="clear" w:pos="720"/>
          <w:tab w:val="num" w:pos="1146"/>
        </w:tabs>
        <w:rPr>
          <w:color w:val="auto"/>
        </w:rPr>
      </w:pPr>
      <w:r>
        <w:rPr>
          <w:color w:val="auto"/>
        </w:rPr>
        <w:t xml:space="preserve">One option could be to repeal the existing private educational authority employment exceptions and introduce a more general employment exception. </w:t>
      </w:r>
      <w:r>
        <w:t xml:space="preserve">The NT, for instance, still </w:t>
      </w:r>
      <w:r w:rsidRPr="00651A1B">
        <w:t xml:space="preserve">allows discrimination </w:t>
      </w:r>
      <w:r>
        <w:t xml:space="preserve">if it is </w:t>
      </w:r>
      <w:r w:rsidRPr="00651A1B">
        <w:t>based on a genuine occupational qualification</w:t>
      </w:r>
      <w:r>
        <w:t>.</w:t>
      </w:r>
      <w:r>
        <w:rPr>
          <w:rStyle w:val="FootnoteReference"/>
        </w:rPr>
        <w:footnoteReference w:id="689"/>
      </w:r>
      <w:r>
        <w:t xml:space="preserve"> </w:t>
      </w:r>
      <w:r w:rsidRPr="0018590D">
        <w:rPr>
          <w:color w:val="auto"/>
        </w:rPr>
        <w:t xml:space="preserve">We outline </w:t>
      </w:r>
      <w:r>
        <w:t xml:space="preserve">this option in more detail in </w:t>
      </w:r>
      <w:r w:rsidRPr="008A467C">
        <w:t>chapter 6.</w:t>
      </w:r>
      <w:r w:rsidRPr="00DC717E">
        <w:t xml:space="preserve"> </w:t>
      </w:r>
    </w:p>
    <w:p w14:paraId="65CA44DF" w14:textId="5A6D5EB2" w:rsidR="006A1316" w:rsidRPr="0018590D" w:rsidRDefault="006A1316" w:rsidP="006A1316">
      <w:pPr>
        <w:pStyle w:val="NormalAutoChapter"/>
        <w:tabs>
          <w:tab w:val="clear" w:pos="720"/>
          <w:tab w:val="num" w:pos="1146"/>
        </w:tabs>
        <w:rPr>
          <w:color w:val="auto"/>
        </w:rPr>
      </w:pPr>
      <w:r>
        <w:t xml:space="preserve">However, the current NT </w:t>
      </w:r>
      <w:r w:rsidR="00331333">
        <w:t>G</w:t>
      </w:r>
      <w:r>
        <w:t>overnment has indicated that it plans to reintroduce the targeted religious educational authorities’ employment exception, to “</w:t>
      </w:r>
      <w:r w:rsidRPr="00107513">
        <w:t>restore religious freedom</w:t>
      </w:r>
      <w:r>
        <w:t>s”.</w:t>
      </w:r>
      <w:r>
        <w:rPr>
          <w:rStyle w:val="FootnoteReference"/>
        </w:rPr>
        <w:footnoteReference w:id="690"/>
      </w:r>
    </w:p>
    <w:p w14:paraId="1BC0FF26" w14:textId="77777777" w:rsidR="006A1316" w:rsidRPr="00F2610C" w:rsidRDefault="006A1316" w:rsidP="006A1316">
      <w:pPr>
        <w:pStyle w:val="NormalAutoChapter"/>
        <w:tabs>
          <w:tab w:val="clear" w:pos="720"/>
          <w:tab w:val="num" w:pos="1146"/>
        </w:tabs>
      </w:pPr>
      <w:r>
        <w:t>In NSW, some may continue to support distinct employment exceptions for private educational authorities or for religious educational authorities, more specifically. This raises questions about what any such exceptions should cover. We set out some considerations, below.</w:t>
      </w:r>
    </w:p>
    <w:p w14:paraId="56090A01" w14:textId="77777777" w:rsidR="006A1316" w:rsidRDefault="006A1316" w:rsidP="006A1316">
      <w:pPr>
        <w:pStyle w:val="Heading3"/>
      </w:pPr>
      <w:r>
        <w:rPr>
          <w:color w:val="auto"/>
        </w:rPr>
        <w:t xml:space="preserve">The relevant attributes </w:t>
      </w:r>
      <w:r>
        <w:t xml:space="preserve"> </w:t>
      </w:r>
    </w:p>
    <w:p w14:paraId="33D1A0DB" w14:textId="77777777" w:rsidR="006A1316" w:rsidRPr="00CD1291" w:rsidRDefault="006A1316" w:rsidP="006A1316">
      <w:pPr>
        <w:pStyle w:val="NormalAutoChapter"/>
        <w:tabs>
          <w:tab w:val="clear" w:pos="720"/>
          <w:tab w:val="num" w:pos="1146"/>
        </w:tabs>
        <w:rPr>
          <w:color w:val="auto"/>
        </w:rPr>
      </w:pPr>
      <w:r>
        <w:t xml:space="preserve">The ADA’s exceptions for private educational authorities permit discrimination in work based on </w:t>
      </w:r>
      <w:r w:rsidRPr="009C695A">
        <w:t xml:space="preserve">sex, disability, transgender grounds, homosexuality, </w:t>
      </w:r>
      <w:r>
        <w:t>and</w:t>
      </w:r>
      <w:r w:rsidRPr="009C695A">
        <w:t xml:space="preserve"> marital or domestic status</w:t>
      </w:r>
      <w:r>
        <w:t xml:space="preserve">. </w:t>
      </w:r>
    </w:p>
    <w:p w14:paraId="0C14B8E5" w14:textId="77777777" w:rsidR="006A1316" w:rsidRPr="004C250C" w:rsidRDefault="006A1316" w:rsidP="006A1316">
      <w:pPr>
        <w:pStyle w:val="NormalAutoChapter"/>
        <w:tabs>
          <w:tab w:val="clear" w:pos="720"/>
          <w:tab w:val="num" w:pos="1146"/>
        </w:tabs>
        <w:rPr>
          <w:color w:val="auto"/>
        </w:rPr>
      </w:pPr>
      <w:r>
        <w:rPr>
          <w:color w:val="auto"/>
        </w:rPr>
        <w:t xml:space="preserve">Some Australian discrimination laws are narrower and only permit religious educational institutions to discriminate in work </w:t>
      </w:r>
      <w:r>
        <w:t xml:space="preserve">based on </w:t>
      </w:r>
      <w:r w:rsidRPr="000D6442">
        <w:t>religious belief or activity</w:t>
      </w:r>
      <w:r>
        <w:t>.</w:t>
      </w:r>
      <w:r>
        <w:rPr>
          <w:rStyle w:val="FootnoteReference"/>
        </w:rPr>
        <w:footnoteReference w:id="691"/>
      </w:r>
      <w:r>
        <w:t xml:space="preserve"> The ALRC supported this narrow application. It considered that if religious </w:t>
      </w:r>
      <w:r>
        <w:lastRenderedPageBreak/>
        <w:t>discrimination is made unlawful at the Commonwealth level, there should be a limited exception for religious educational institutions.</w:t>
      </w:r>
      <w:r>
        <w:rPr>
          <w:rStyle w:val="FootnoteReference"/>
        </w:rPr>
        <w:footnoteReference w:id="692"/>
      </w:r>
    </w:p>
    <w:p w14:paraId="1205D9AC" w14:textId="77777777" w:rsidR="006A1316" w:rsidRPr="00340055" w:rsidRDefault="006A1316" w:rsidP="006A1316">
      <w:pPr>
        <w:pStyle w:val="NormalAutoChapter"/>
        <w:tabs>
          <w:tab w:val="clear" w:pos="720"/>
          <w:tab w:val="num" w:pos="1146"/>
        </w:tabs>
        <w:rPr>
          <w:color w:val="auto"/>
        </w:rPr>
      </w:pPr>
      <w:r>
        <w:t>However, this may still raise issues about how to reconcile competing views. There is an argument that such an exception could permit a religious school to terminate an employee who refused to believe that marriage can only be between a man and a woman. This could be considered a form of discrimination based on religious belief (or lack of).</w:t>
      </w:r>
      <w:r>
        <w:rPr>
          <w:rStyle w:val="FootnoteReference"/>
        </w:rPr>
        <w:footnoteReference w:id="693"/>
      </w:r>
      <w:r>
        <w:t xml:space="preserve"> Opinions will differ on whether such an outcome would strike the right balance, with some arguing that certain safeguards should apply to limit the exception.</w:t>
      </w:r>
    </w:p>
    <w:p w14:paraId="057C62F8" w14:textId="77777777" w:rsidR="006A1316" w:rsidRDefault="006A1316" w:rsidP="006A1316">
      <w:pPr>
        <w:pStyle w:val="NormalAutoChapter"/>
        <w:tabs>
          <w:tab w:val="clear" w:pos="720"/>
          <w:tab w:val="num" w:pos="1146"/>
        </w:tabs>
        <w:rPr>
          <w:color w:val="auto"/>
        </w:rPr>
      </w:pPr>
      <w:r>
        <w:rPr>
          <w:color w:val="auto"/>
        </w:rPr>
        <w:t xml:space="preserve">Others have supported allowing religious educational authorities to discriminate based on other attributes. </w:t>
      </w:r>
      <w:r>
        <w:rPr>
          <w:color w:val="auto"/>
          <w:lang w:eastAsia="en-US"/>
        </w:rPr>
        <w:t>T</w:t>
      </w:r>
      <w:r w:rsidRPr="006D28B4">
        <w:rPr>
          <w:color w:val="auto"/>
          <w:lang w:eastAsia="en-US"/>
        </w:rPr>
        <w:t xml:space="preserve">he Religious Freedom Review </w:t>
      </w:r>
      <w:r>
        <w:rPr>
          <w:color w:val="auto"/>
          <w:lang w:eastAsia="en-US"/>
        </w:rPr>
        <w:t>concluded</w:t>
      </w:r>
      <w:r w:rsidRPr="006D28B4">
        <w:rPr>
          <w:color w:val="auto"/>
          <w:lang w:eastAsia="en-US"/>
        </w:rPr>
        <w:t xml:space="preserve"> that </w:t>
      </w:r>
      <w:r>
        <w:rPr>
          <w:color w:val="auto"/>
        </w:rPr>
        <w:t xml:space="preserve">religious educational authorities </w:t>
      </w:r>
      <w:r>
        <w:rPr>
          <w:color w:val="auto"/>
          <w:lang w:eastAsia="en-US"/>
        </w:rPr>
        <w:t>should be able to</w:t>
      </w:r>
      <w:r w:rsidRPr="006D28B4">
        <w:rPr>
          <w:color w:val="auto"/>
          <w:lang w:eastAsia="en-US"/>
        </w:rPr>
        <w:t xml:space="preserve"> discriminate </w:t>
      </w:r>
      <w:r>
        <w:rPr>
          <w:color w:val="auto"/>
          <w:lang w:eastAsia="en-US"/>
        </w:rPr>
        <w:t xml:space="preserve">in employment based on </w:t>
      </w:r>
      <w:r w:rsidRPr="006D28B4">
        <w:rPr>
          <w:color w:val="auto"/>
          <w:lang w:eastAsia="en-US"/>
        </w:rPr>
        <w:t xml:space="preserve">sexual orientation, gender identity </w:t>
      </w:r>
      <w:r>
        <w:rPr>
          <w:color w:val="auto"/>
          <w:lang w:eastAsia="en-US"/>
        </w:rPr>
        <w:t>and</w:t>
      </w:r>
      <w:r w:rsidRPr="006D28B4">
        <w:rPr>
          <w:color w:val="auto"/>
          <w:lang w:eastAsia="en-US"/>
        </w:rPr>
        <w:t xml:space="preserve"> relationship status</w:t>
      </w:r>
      <w:r>
        <w:rPr>
          <w:color w:val="auto"/>
          <w:lang w:eastAsia="en-US"/>
        </w:rPr>
        <w:t xml:space="preserve">. But they should not be able to discriminate based on </w:t>
      </w:r>
      <w:r w:rsidRPr="00961C50">
        <w:rPr>
          <w:color w:val="auto"/>
          <w:lang w:eastAsia="en-US"/>
        </w:rPr>
        <w:t>race, disability, pregnancy or intersex status</w:t>
      </w:r>
      <w:r w:rsidRPr="006D28B4">
        <w:rPr>
          <w:color w:val="auto"/>
          <w:lang w:eastAsia="en-US"/>
        </w:rPr>
        <w:t>.</w:t>
      </w:r>
      <w:r>
        <w:rPr>
          <w:rStyle w:val="FootnoteReference"/>
          <w:color w:val="auto"/>
          <w:lang w:eastAsia="en-US"/>
        </w:rPr>
        <w:footnoteReference w:id="694"/>
      </w:r>
      <w:r>
        <w:rPr>
          <w:color w:val="auto"/>
          <w:lang w:eastAsia="en-US"/>
        </w:rPr>
        <w:t xml:space="preserve"> </w:t>
      </w:r>
    </w:p>
    <w:p w14:paraId="0FED8283" w14:textId="77777777" w:rsidR="006A1316" w:rsidRPr="00340055" w:rsidRDefault="006A1316" w:rsidP="006A1316">
      <w:pPr>
        <w:pStyle w:val="NormalAutoChapter"/>
        <w:tabs>
          <w:tab w:val="clear" w:pos="720"/>
          <w:tab w:val="num" w:pos="1146"/>
        </w:tabs>
      </w:pPr>
      <w:r>
        <w:t>In 1999 the</w:t>
      </w:r>
      <w:r w:rsidRPr="004B5A5B">
        <w:t xml:space="preserve"> NSWLRC </w:t>
      </w:r>
      <w:r>
        <w:t xml:space="preserve">concluded that </w:t>
      </w:r>
      <w:r>
        <w:rPr>
          <w:color w:val="auto"/>
        </w:rPr>
        <w:t xml:space="preserve">religious educational authorities </w:t>
      </w:r>
      <w:r>
        <w:t>should be allowed to discriminate in employment based on sexual orientation, transgender status, domestic status, sex and pregnancy. It also recommended permitting</w:t>
      </w:r>
      <w:r w:rsidRPr="007E4F06">
        <w:t xml:space="preserve"> </w:t>
      </w:r>
      <w:r>
        <w:t xml:space="preserve">religious discrimination in employment </w:t>
      </w:r>
      <w:r w:rsidRPr="002D4F69">
        <w:t>where religious belief is a genuine occupational requirement</w:t>
      </w:r>
      <w:r>
        <w:t>.</w:t>
      </w:r>
      <w:r>
        <w:rPr>
          <w:rStyle w:val="FootnoteReference"/>
        </w:rPr>
        <w:footnoteReference w:id="695"/>
      </w:r>
    </w:p>
    <w:p w14:paraId="25B49AD5" w14:textId="77777777" w:rsidR="006A1316" w:rsidRDefault="006A1316" w:rsidP="006A1316">
      <w:pPr>
        <w:pStyle w:val="Heading3"/>
      </w:pPr>
      <w:r>
        <w:t>The circumstances in which an exception applies</w:t>
      </w:r>
    </w:p>
    <w:p w14:paraId="1CA49C8C" w14:textId="4A7A18B1" w:rsidR="006A1316" w:rsidRDefault="006A1316" w:rsidP="006A1316">
      <w:pPr>
        <w:pStyle w:val="NormalAutoChapter"/>
        <w:tabs>
          <w:tab w:val="clear" w:pos="720"/>
          <w:tab w:val="num" w:pos="1146"/>
        </w:tabs>
      </w:pPr>
      <w:r>
        <w:t xml:space="preserve">Another issue is whether the ADA should contain further requirements that must be met before any such exceptions to discrimination in work apply. </w:t>
      </w:r>
    </w:p>
    <w:p w14:paraId="72165F0E" w14:textId="77777777" w:rsidR="006A1316" w:rsidRDefault="006A1316" w:rsidP="006A1316">
      <w:pPr>
        <w:pStyle w:val="NormalAutoChapter"/>
        <w:tabs>
          <w:tab w:val="clear" w:pos="720"/>
          <w:tab w:val="num" w:pos="1146"/>
        </w:tabs>
      </w:pPr>
      <w:r>
        <w:t>If an exception applies only to religious educational authorities, one approach could be to confine it</w:t>
      </w:r>
      <w:r>
        <w:rPr>
          <w:color w:val="auto"/>
        </w:rPr>
        <w:t xml:space="preserve"> to acts promoting or protecting the observance of religious beliefs.</w:t>
      </w:r>
      <w:r>
        <w:t xml:space="preserve"> </w:t>
      </w:r>
    </w:p>
    <w:p w14:paraId="5F497EC4" w14:textId="77777777" w:rsidR="006A1316" w:rsidRDefault="006A1316" w:rsidP="006A1316">
      <w:pPr>
        <w:pStyle w:val="NormalAutoChapter"/>
        <w:tabs>
          <w:tab w:val="clear" w:pos="720"/>
          <w:tab w:val="num" w:pos="1146"/>
        </w:tabs>
      </w:pPr>
      <w:r>
        <w:t xml:space="preserve">The </w:t>
      </w:r>
      <w:r w:rsidRPr="0034112D">
        <w:rPr>
          <w:i/>
          <w:iCs/>
        </w:rPr>
        <w:t>Sex Discrimination Act</w:t>
      </w:r>
      <w:r>
        <w:t xml:space="preserve">, for example, applies an exception to acts done in good faith </w:t>
      </w:r>
      <w:r w:rsidRPr="00E66E7C">
        <w:t>to avoid injury to the religious susceptibilities of adherents of that religion.</w:t>
      </w:r>
      <w:r w:rsidRPr="00E66E7C">
        <w:rPr>
          <w:rStyle w:val="FootnoteReference"/>
        </w:rPr>
        <w:footnoteReference w:id="696"/>
      </w:r>
      <w:r>
        <w:t xml:space="preserve"> However, t</w:t>
      </w:r>
      <w:r w:rsidRPr="00E66E7C">
        <w:t xml:space="preserve">he ALRC recommended repealing this </w:t>
      </w:r>
      <w:r w:rsidRPr="00340055">
        <w:t>exception</w:t>
      </w:r>
      <w:r w:rsidRPr="00E66E7C">
        <w:t>.</w:t>
      </w:r>
      <w:r w:rsidRPr="00340055">
        <w:rPr>
          <w:rStyle w:val="FootnoteReference"/>
        </w:rPr>
        <w:footnoteReference w:id="697"/>
      </w:r>
    </w:p>
    <w:p w14:paraId="21910796" w14:textId="77777777" w:rsidR="006A1316" w:rsidRDefault="006A1316" w:rsidP="006A1316">
      <w:pPr>
        <w:pStyle w:val="NormalAutoChapter"/>
        <w:tabs>
          <w:tab w:val="clear" w:pos="720"/>
          <w:tab w:val="num" w:pos="1146"/>
        </w:tabs>
        <w:rPr>
          <w:color w:val="auto"/>
        </w:rPr>
      </w:pPr>
      <w:r>
        <w:rPr>
          <w:color w:val="auto"/>
        </w:rPr>
        <w:lastRenderedPageBreak/>
        <w:t>Some other reviews have proposed that religious educational authorities should be able to discriminate in employment if:</w:t>
      </w:r>
    </w:p>
    <w:p w14:paraId="53DCCBED" w14:textId="77777777" w:rsidR="006A1316" w:rsidRDefault="006A1316" w:rsidP="006A1316">
      <w:pPr>
        <w:pStyle w:val="Normalbullet"/>
      </w:pPr>
      <w:r w:rsidRPr="004B5A5B">
        <w:t>the discrimination is founded in the precepts of the religion</w:t>
      </w:r>
      <w:r>
        <w:t>,</w:t>
      </w:r>
      <w:r w:rsidRPr="00F61CFD">
        <w:rPr>
          <w:rStyle w:val="FootnoteReference"/>
        </w:rPr>
        <w:footnoteReference w:id="698"/>
      </w:r>
      <w:r w:rsidRPr="004B5A5B">
        <w:t xml:space="preserve"> </w:t>
      </w:r>
      <w:r>
        <w:t xml:space="preserve">or </w:t>
      </w:r>
    </w:p>
    <w:p w14:paraId="5888130C" w14:textId="77777777" w:rsidR="006A1316" w:rsidRPr="004B5A5B" w:rsidRDefault="006A1316" w:rsidP="006A1316">
      <w:pPr>
        <w:pStyle w:val="Normalbullet"/>
      </w:pPr>
      <w:r>
        <w:t xml:space="preserve">the school has </w:t>
      </w:r>
      <w:r w:rsidRPr="004B5A5B">
        <w:t>a genuine belief that the discrimination is required to comply with the ten</w:t>
      </w:r>
      <w:r>
        <w:t>ets</w:t>
      </w:r>
      <w:r w:rsidRPr="004B5A5B">
        <w:t xml:space="preserve"> of the religion.</w:t>
      </w:r>
      <w:r w:rsidRPr="004B5A5B">
        <w:rPr>
          <w:rStyle w:val="FootnoteReference"/>
        </w:rPr>
        <w:footnoteReference w:id="699"/>
      </w:r>
      <w:r>
        <w:t xml:space="preserve"> </w:t>
      </w:r>
    </w:p>
    <w:p w14:paraId="774F85ED" w14:textId="77777777" w:rsidR="006A1316" w:rsidRPr="00A2082C" w:rsidRDefault="006A1316" w:rsidP="006A1316">
      <w:pPr>
        <w:pStyle w:val="NormalAutoChapter"/>
        <w:tabs>
          <w:tab w:val="clear" w:pos="720"/>
          <w:tab w:val="num" w:pos="1146"/>
        </w:tabs>
        <w:rPr>
          <w:color w:val="auto"/>
        </w:rPr>
      </w:pPr>
      <w:r>
        <w:t>Another view is</w:t>
      </w:r>
      <w:r w:rsidRPr="00A2082C">
        <w:rPr>
          <w:color w:val="auto"/>
          <w:szCs w:val="22"/>
        </w:rPr>
        <w:t xml:space="preserve"> that the </w:t>
      </w:r>
      <w:r w:rsidRPr="003B7627">
        <w:rPr>
          <w:i/>
          <w:iCs/>
          <w:color w:val="auto"/>
          <w:szCs w:val="22"/>
        </w:rPr>
        <w:t>Sex Discrimination Ac</w:t>
      </w:r>
      <w:r>
        <w:rPr>
          <w:i/>
          <w:iCs/>
          <w:color w:val="auto"/>
          <w:szCs w:val="22"/>
        </w:rPr>
        <w:t>t</w:t>
      </w:r>
      <w:r w:rsidRPr="00584D15">
        <w:rPr>
          <w:color w:val="auto"/>
          <w:szCs w:val="22"/>
        </w:rPr>
        <w:t xml:space="preserve"> should</w:t>
      </w:r>
      <w:r w:rsidRPr="00A2082C">
        <w:rPr>
          <w:color w:val="auto"/>
          <w:szCs w:val="22"/>
        </w:rPr>
        <w:t xml:space="preserve"> allow religious institutions (including religious schools) to discriminate in employment by preferring a candidate, or refusing to hire them, </w:t>
      </w:r>
      <w:r>
        <w:rPr>
          <w:color w:val="auto"/>
          <w:szCs w:val="22"/>
        </w:rPr>
        <w:t>depending on whether</w:t>
      </w:r>
      <w:r w:rsidRPr="00A2082C">
        <w:rPr>
          <w:color w:val="auto"/>
          <w:szCs w:val="22"/>
        </w:rPr>
        <w:t>:</w:t>
      </w:r>
    </w:p>
    <w:p w14:paraId="40D1DBBE" w14:textId="77777777" w:rsidR="006A1316" w:rsidRPr="00A2082C" w:rsidRDefault="006A1316" w:rsidP="006A1316">
      <w:pPr>
        <w:pStyle w:val="Normalbullet"/>
      </w:pPr>
      <w:r>
        <w:t xml:space="preserve">they </w:t>
      </w:r>
      <w:r w:rsidRPr="00A2082C">
        <w:t>adhere to the institution’s religious beliefs and practices, or</w:t>
      </w:r>
    </w:p>
    <w:p w14:paraId="4DE7F199" w14:textId="77777777" w:rsidR="006A1316" w:rsidRPr="00A2082C" w:rsidRDefault="006A1316" w:rsidP="006A1316">
      <w:pPr>
        <w:pStyle w:val="Normalbullet"/>
      </w:pPr>
      <w:r w:rsidRPr="00A2082C">
        <w:t>the</w:t>
      </w:r>
      <w:r>
        <w:t>ir</w:t>
      </w:r>
      <w:r w:rsidRPr="00A2082C">
        <w:t xml:space="preserve"> conduct is consistent with the institution’s religious beliefs and practices.</w:t>
      </w:r>
      <w:r w:rsidRPr="00A2082C">
        <w:rPr>
          <w:rStyle w:val="FootnoteReference"/>
        </w:rPr>
        <w:footnoteReference w:id="700"/>
      </w:r>
    </w:p>
    <w:p w14:paraId="562C51CC" w14:textId="77777777" w:rsidR="006A1316" w:rsidRPr="004B5A5B" w:rsidRDefault="006A1316" w:rsidP="006A1316">
      <w:pPr>
        <w:pStyle w:val="NormalAutoChapter"/>
        <w:tabs>
          <w:tab w:val="clear" w:pos="720"/>
          <w:tab w:val="num" w:pos="1146"/>
        </w:tabs>
        <w:rPr>
          <w:color w:val="auto"/>
        </w:rPr>
      </w:pPr>
      <w:r w:rsidRPr="00F61CFD">
        <w:rPr>
          <w:color w:val="auto"/>
          <w:szCs w:val="22"/>
        </w:rPr>
        <w:t xml:space="preserve">Employers would be allowed to terminate employees </w:t>
      </w:r>
      <w:r>
        <w:rPr>
          <w:color w:val="auto"/>
          <w:szCs w:val="22"/>
        </w:rPr>
        <w:t>that breach</w:t>
      </w:r>
      <w:r w:rsidRPr="00F61CFD">
        <w:rPr>
          <w:color w:val="auto"/>
          <w:szCs w:val="22"/>
        </w:rPr>
        <w:t xml:space="preserve"> a written agreement to conduct themselves in accordance with the ethos of the school.</w:t>
      </w:r>
      <w:r w:rsidRPr="00F61CFD">
        <w:rPr>
          <w:rStyle w:val="FootnoteReference"/>
          <w:color w:val="auto"/>
        </w:rPr>
        <w:footnoteReference w:id="701"/>
      </w:r>
      <w:r w:rsidRPr="004B5A5B">
        <w:rPr>
          <w:color w:val="auto"/>
        </w:rPr>
        <w:t xml:space="preserve"> </w:t>
      </w:r>
      <w:r w:rsidRPr="004B5A5B">
        <w:rPr>
          <w:color w:val="auto"/>
          <w:lang w:eastAsia="en-US"/>
        </w:rPr>
        <w:t xml:space="preserve"> </w:t>
      </w:r>
    </w:p>
    <w:p w14:paraId="7D4AE96E" w14:textId="77777777" w:rsidR="006A1316" w:rsidRDefault="006A1316" w:rsidP="006A1316">
      <w:pPr>
        <w:pStyle w:val="NormalAutoChapter"/>
        <w:tabs>
          <w:tab w:val="clear" w:pos="720"/>
          <w:tab w:val="num" w:pos="1146"/>
        </w:tabs>
        <w:rPr>
          <w:color w:val="auto"/>
        </w:rPr>
      </w:pPr>
      <w:r>
        <w:rPr>
          <w:color w:val="auto"/>
        </w:rPr>
        <w:t>As an additional safeguard, some</w:t>
      </w:r>
      <w:r w:rsidRPr="004B5A5B">
        <w:rPr>
          <w:color w:val="auto"/>
        </w:rPr>
        <w:t xml:space="preserve"> </w:t>
      </w:r>
      <w:r>
        <w:rPr>
          <w:color w:val="auto"/>
        </w:rPr>
        <w:t xml:space="preserve">discrimination </w:t>
      </w:r>
      <w:r w:rsidRPr="004B5A5B">
        <w:rPr>
          <w:color w:val="auto"/>
        </w:rPr>
        <w:t xml:space="preserve">laws require </w:t>
      </w:r>
      <w:r>
        <w:rPr>
          <w:color w:val="auto"/>
        </w:rPr>
        <w:t>educational authorities to publish a</w:t>
      </w:r>
      <w:r w:rsidRPr="004B5A5B">
        <w:rPr>
          <w:color w:val="auto"/>
        </w:rPr>
        <w:t xml:space="preserve"> policy</w:t>
      </w:r>
      <w:r>
        <w:rPr>
          <w:color w:val="auto"/>
        </w:rPr>
        <w:t>.</w:t>
      </w:r>
      <w:r w:rsidRPr="004B5A5B">
        <w:rPr>
          <w:color w:val="auto"/>
        </w:rPr>
        <w:t xml:space="preserve"> </w:t>
      </w:r>
      <w:r>
        <w:rPr>
          <w:color w:val="auto"/>
        </w:rPr>
        <w:t>The ACT requires the school to publish a readily accessible policy in relation to employment of staff and engagement of contractors.</w:t>
      </w:r>
      <w:r>
        <w:rPr>
          <w:rStyle w:val="FootnoteReference"/>
          <w:color w:val="auto"/>
        </w:rPr>
        <w:footnoteReference w:id="702"/>
      </w:r>
      <w:r>
        <w:rPr>
          <w:color w:val="auto"/>
        </w:rPr>
        <w:t xml:space="preserve"> South Australia requires a school to have a written policy stating its position in relation to the matter </w:t>
      </w:r>
      <w:r w:rsidRPr="00C06B4C">
        <w:rPr>
          <w:color w:val="auto"/>
        </w:rPr>
        <w:t>of the precepts of the religion as it relates to sexual orientation, gender identity or intersex status</w:t>
      </w:r>
      <w:r>
        <w:rPr>
          <w:color w:val="auto"/>
        </w:rPr>
        <w:t>, which is provided on request.</w:t>
      </w:r>
      <w:r>
        <w:rPr>
          <w:rStyle w:val="FootnoteReference"/>
          <w:color w:val="auto"/>
        </w:rPr>
        <w:footnoteReference w:id="703"/>
      </w:r>
      <w:r w:rsidRPr="004B5A5B">
        <w:rPr>
          <w:color w:val="auto"/>
        </w:rPr>
        <w:t xml:space="preserve"> </w:t>
      </w:r>
    </w:p>
    <w:p w14:paraId="3DEA177F" w14:textId="77777777" w:rsidR="006A1316" w:rsidRPr="00A2082C" w:rsidRDefault="006A1316" w:rsidP="006A1316">
      <w:pPr>
        <w:pStyle w:val="NormalAutoChapter"/>
        <w:tabs>
          <w:tab w:val="clear" w:pos="720"/>
          <w:tab w:val="num" w:pos="1146"/>
        </w:tabs>
        <w:rPr>
          <w:color w:val="auto"/>
        </w:rPr>
      </w:pPr>
      <w:r w:rsidRPr="004B5A5B">
        <w:rPr>
          <w:color w:val="auto"/>
        </w:rPr>
        <w:t xml:space="preserve">The </w:t>
      </w:r>
      <w:r>
        <w:rPr>
          <w:color w:val="auto"/>
        </w:rPr>
        <w:t xml:space="preserve">Religious Freedom </w:t>
      </w:r>
      <w:r w:rsidRPr="004B5A5B">
        <w:rPr>
          <w:color w:val="auto"/>
        </w:rPr>
        <w:t xml:space="preserve">Review </w:t>
      </w:r>
      <w:r>
        <w:rPr>
          <w:color w:val="auto"/>
        </w:rPr>
        <w:t>supported a similar requirement</w:t>
      </w:r>
      <w:r w:rsidRPr="004B5A5B">
        <w:rPr>
          <w:color w:val="auto"/>
        </w:rPr>
        <w:t>.</w:t>
      </w:r>
      <w:r w:rsidRPr="00CB799E">
        <w:rPr>
          <w:rStyle w:val="FootnoteReference"/>
          <w:color w:val="auto"/>
        </w:rPr>
        <w:footnoteReference w:id="704"/>
      </w:r>
      <w:r w:rsidRPr="004B5A5B">
        <w:rPr>
          <w:color w:val="auto"/>
        </w:rPr>
        <w:t xml:space="preserve"> </w:t>
      </w:r>
      <w:r>
        <w:rPr>
          <w:color w:val="auto"/>
        </w:rPr>
        <w:t>This can make prospective employees aware of the school’s beliefs, and they can choose not to apply for roles at the school if this raises any concerns.</w:t>
      </w:r>
    </w:p>
    <w:p w14:paraId="58944AC3" w14:textId="77777777" w:rsidR="006A1316" w:rsidRDefault="006A1316" w:rsidP="006A1316">
      <w:pPr>
        <w:pStyle w:val="NormalAutoChapter"/>
        <w:tabs>
          <w:tab w:val="clear" w:pos="720"/>
          <w:tab w:val="num" w:pos="1146"/>
        </w:tabs>
      </w:pPr>
      <w:r>
        <w:t>Other models apply further safeguards to confine the application of the exception. In Victoria, religious educational institutions may only discriminate against someone in relation to employment where:</w:t>
      </w:r>
    </w:p>
    <w:p w14:paraId="4C04FCB2" w14:textId="77777777" w:rsidR="006A1316" w:rsidRDefault="006A1316" w:rsidP="006A1316">
      <w:pPr>
        <w:pStyle w:val="Normalbullet"/>
      </w:pPr>
      <w:r>
        <w:t xml:space="preserve">conformity with the doctrines of the religion is an inherent requirement of the position </w:t>
      </w:r>
    </w:p>
    <w:p w14:paraId="765F1B0B" w14:textId="77777777" w:rsidR="006A1316" w:rsidRDefault="006A1316" w:rsidP="006A1316">
      <w:pPr>
        <w:pStyle w:val="Normalbullet"/>
      </w:pPr>
      <w:r>
        <w:lastRenderedPageBreak/>
        <w:t>the person cannot meet the inherent requirement because of their religious belief or activity, and</w:t>
      </w:r>
    </w:p>
    <w:p w14:paraId="399D61CB" w14:textId="77777777" w:rsidR="006A1316" w:rsidRDefault="006A1316" w:rsidP="006A1316">
      <w:pPr>
        <w:pStyle w:val="Normalbullet"/>
      </w:pPr>
      <w:r>
        <w:t>the discrimination is reasonable and proportionate based on the circumstances.</w:t>
      </w:r>
      <w:r>
        <w:rPr>
          <w:rStyle w:val="FootnoteReference"/>
        </w:rPr>
        <w:footnoteReference w:id="705"/>
      </w:r>
      <w:r>
        <w:t xml:space="preserve"> </w:t>
      </w:r>
    </w:p>
    <w:p w14:paraId="65BD78B1" w14:textId="77777777" w:rsidR="006A1316" w:rsidRDefault="006A1316" w:rsidP="006A1316">
      <w:pPr>
        <w:pStyle w:val="NormalAutoChapter"/>
        <w:tabs>
          <w:tab w:val="clear" w:pos="720"/>
          <w:tab w:val="num" w:pos="1146"/>
        </w:tabs>
      </w:pPr>
      <w:r>
        <w:t>In determining the inherent requirements of the position, the nature of the religious body and the religious doctrines, beliefs or principles in accordance with which it is conducted must be considered.</w:t>
      </w:r>
      <w:r>
        <w:rPr>
          <w:rStyle w:val="FootnoteReference"/>
        </w:rPr>
        <w:footnoteReference w:id="706"/>
      </w:r>
    </w:p>
    <w:p w14:paraId="30CC173C" w14:textId="77777777" w:rsidR="006A1316" w:rsidRDefault="006A1316" w:rsidP="006A1316">
      <w:pPr>
        <w:pStyle w:val="NormalAutoChapter"/>
        <w:tabs>
          <w:tab w:val="clear" w:pos="720"/>
          <w:tab w:val="num" w:pos="1146"/>
        </w:tabs>
      </w:pPr>
      <w:r>
        <w:t>For example, the Victorian Attorney-General observed that, in most religious schools, conformity with the doctrines, beliefs or principles of the school’s religion would be an inherent requirement of a religious education position. This is unlikely to be the case for support positions, such as school gardeners. Another safeguard in Victorian law is the requirement that the discrimination be reasonable and proportionate. The Attorney-General indicated that this may require consideration of factors such as:</w:t>
      </w:r>
    </w:p>
    <w:p w14:paraId="20A43915" w14:textId="77777777" w:rsidR="006A1316" w:rsidRDefault="006A1316" w:rsidP="006A1316">
      <w:pPr>
        <w:pStyle w:val="Normalbullet"/>
      </w:pPr>
      <w:r>
        <w:t xml:space="preserve">the </w:t>
      </w:r>
      <w:r w:rsidRPr="008A1987">
        <w:t>nature of the role</w:t>
      </w:r>
    </w:p>
    <w:p w14:paraId="572E9DC3" w14:textId="77777777" w:rsidR="006A1316" w:rsidRDefault="006A1316" w:rsidP="006A1316">
      <w:pPr>
        <w:pStyle w:val="Normalbullet"/>
      </w:pPr>
      <w:r w:rsidRPr="008A1987">
        <w:t>the nature and extent of the inconsistency of the employee’s belief</w:t>
      </w:r>
      <w:r>
        <w:t xml:space="preserve"> </w:t>
      </w:r>
    </w:p>
    <w:p w14:paraId="32673874" w14:textId="77777777" w:rsidR="006A1316" w:rsidRDefault="006A1316" w:rsidP="006A1316">
      <w:pPr>
        <w:pStyle w:val="Normalbullet"/>
      </w:pPr>
      <w:r w:rsidRPr="008A1987">
        <w:t>the consequences for both the employee and the employer should the discriminatory action happen or not happen</w:t>
      </w:r>
      <w:r>
        <w:t xml:space="preserve">, </w:t>
      </w:r>
      <w:r w:rsidRPr="008A1987">
        <w:t xml:space="preserve">and </w:t>
      </w:r>
    </w:p>
    <w:p w14:paraId="3CED8239" w14:textId="77777777" w:rsidR="006A1316" w:rsidRDefault="006A1316" w:rsidP="006A1316">
      <w:pPr>
        <w:pStyle w:val="Normalbullet"/>
      </w:pPr>
      <w:r w:rsidRPr="008A1987">
        <w:t>whether there are any other responses available to the employer.</w:t>
      </w:r>
      <w:r>
        <w:rPr>
          <w:rStyle w:val="FootnoteReference"/>
        </w:rPr>
        <w:footnoteReference w:id="707"/>
      </w:r>
    </w:p>
    <w:p w14:paraId="7EA99481" w14:textId="77777777" w:rsidR="006A1316" w:rsidRDefault="006A1316" w:rsidP="006A1316">
      <w:pPr>
        <w:pStyle w:val="NormalAutoChapter"/>
        <w:tabs>
          <w:tab w:val="clear" w:pos="720"/>
          <w:tab w:val="num" w:pos="1146"/>
        </w:tabs>
      </w:pPr>
      <w:r>
        <w:t>Others have also suggested adding requirements of reasonableness and proportionality.</w:t>
      </w:r>
      <w:r>
        <w:rPr>
          <w:rStyle w:val="FootnoteReference"/>
        </w:rPr>
        <w:footnoteReference w:id="708"/>
      </w:r>
      <w:r>
        <w:t xml:space="preserve"> For example, the ALRC recommended only allowing religious educational authorities to discriminate based on religion and only when selecting staff. The discrimination must be:</w:t>
      </w:r>
    </w:p>
    <w:p w14:paraId="4AB303DC" w14:textId="77777777" w:rsidR="006A1316" w:rsidRPr="005C6788" w:rsidRDefault="006A1316" w:rsidP="006A1316">
      <w:pPr>
        <w:pStyle w:val="Normalbullet"/>
      </w:pPr>
      <w:r>
        <w:t>r</w:t>
      </w:r>
      <w:r w:rsidRPr="005C6788">
        <w:t xml:space="preserve">easonably necessary to build </w:t>
      </w:r>
      <w:r>
        <w:t>a</w:t>
      </w:r>
      <w:r w:rsidRPr="005C6788">
        <w:t xml:space="preserve"> community of faith</w:t>
      </w:r>
      <w:r>
        <w:t>, and</w:t>
      </w:r>
    </w:p>
    <w:p w14:paraId="50A7F772" w14:textId="77777777" w:rsidR="006A1316" w:rsidRDefault="006A1316" w:rsidP="006A1316">
      <w:pPr>
        <w:pStyle w:val="Normalbullet"/>
      </w:pPr>
      <w:r w:rsidRPr="005C6788">
        <w:t xml:space="preserve">proportionate to the aim of building a community of faith, including considering any disadvantage or harm that may be caused </w:t>
      </w:r>
      <w:r>
        <w:t>to any person.</w:t>
      </w:r>
      <w:r>
        <w:rPr>
          <w:rStyle w:val="FootnoteReference"/>
        </w:rPr>
        <w:footnoteReference w:id="709"/>
      </w:r>
    </w:p>
    <w:p w14:paraId="56CCB92A" w14:textId="77777777" w:rsidR="006A1316" w:rsidRPr="00821D39" w:rsidRDefault="006A1316" w:rsidP="006A1316">
      <w:pPr>
        <w:pStyle w:val="Recommendationheading"/>
      </w:pPr>
      <w:r w:rsidRPr="00821D39">
        <w:lastRenderedPageBreak/>
        <w:t>Question 7.5: Private educational authorities employment exceptions</w:t>
      </w:r>
    </w:p>
    <w:p w14:paraId="06E8578E" w14:textId="77777777" w:rsidR="006A1316" w:rsidRDefault="006A1316" w:rsidP="006A1316">
      <w:pPr>
        <w:pStyle w:val="Recommendationhanging1"/>
      </w:pPr>
      <w:r>
        <w:t xml:space="preserve">(1) </w:t>
      </w:r>
      <w:r>
        <w:tab/>
        <w:t>Should the</w:t>
      </w:r>
      <w:r>
        <w:rPr>
          <w:i/>
          <w:iCs/>
        </w:rPr>
        <w:t xml:space="preserve"> </w:t>
      </w:r>
      <w:r w:rsidRPr="009D7597">
        <w:t>ADA</w:t>
      </w:r>
      <w:r>
        <w:t xml:space="preserve"> contain exceptions for private educational authorities in employment? Should these be limited to religious educational authorities? </w:t>
      </w:r>
    </w:p>
    <w:p w14:paraId="1A738727" w14:textId="77777777" w:rsidR="006A1316" w:rsidRDefault="006A1316" w:rsidP="006A1316">
      <w:pPr>
        <w:pStyle w:val="Recommendationhanging1"/>
      </w:pPr>
      <w:r>
        <w:t xml:space="preserve">(2) </w:t>
      </w:r>
      <w:r>
        <w:tab/>
        <w:t>If you think the Act should provide exceptions in this area:</w:t>
      </w:r>
    </w:p>
    <w:p w14:paraId="5D14AF38" w14:textId="77777777" w:rsidR="006A1316" w:rsidRDefault="006A1316" w:rsidP="006A1316">
      <w:pPr>
        <w:pStyle w:val="Recommendationhanginga"/>
      </w:pPr>
      <w:r>
        <w:tab/>
        <w:t xml:space="preserve">(a) </w:t>
      </w:r>
      <w:r>
        <w:tab/>
        <w:t xml:space="preserve">what attributes should the exceptions apply to? </w:t>
      </w:r>
    </w:p>
    <w:p w14:paraId="7D92DF31" w14:textId="5F1D3F4F" w:rsidR="006A1316" w:rsidRDefault="006A1316" w:rsidP="006A1316">
      <w:pPr>
        <w:pStyle w:val="Recommendationhanginga"/>
      </w:pPr>
      <w:r>
        <w:tab/>
        <w:t>(b)</w:t>
      </w:r>
      <w:r>
        <w:tab/>
        <w:t>what</w:t>
      </w:r>
      <w:r w:rsidR="00F55080">
        <w:t xml:space="preserve"> requirements, if any,</w:t>
      </w:r>
      <w:r>
        <w:t xml:space="preserve"> should duty holders meet before an exception applies?</w:t>
      </w:r>
    </w:p>
    <w:p w14:paraId="06895191" w14:textId="77777777" w:rsidR="006A1316" w:rsidRPr="009C695A" w:rsidRDefault="006A1316" w:rsidP="006A1316">
      <w:pPr>
        <w:pStyle w:val="Heading2"/>
      </w:pPr>
      <w:bookmarkStart w:id="319" w:name="_Toc196742768"/>
      <w:bookmarkStart w:id="320" w:name="_Toc196826905"/>
      <w:r>
        <w:t>Discrimination in education</w:t>
      </w:r>
      <w:bookmarkEnd w:id="319"/>
      <w:bookmarkEnd w:id="320"/>
      <w:r>
        <w:t xml:space="preserve"> </w:t>
      </w:r>
    </w:p>
    <w:p w14:paraId="5D0AD767" w14:textId="77777777" w:rsidR="006A1316" w:rsidRDefault="006A1316" w:rsidP="006A1316">
      <w:pPr>
        <w:pStyle w:val="NormalAutoChapter"/>
        <w:tabs>
          <w:tab w:val="clear" w:pos="720"/>
          <w:tab w:val="num" w:pos="1146"/>
        </w:tabs>
      </w:pPr>
      <w:r>
        <w:t>Other broad exceptions in the ADA allow private educational authorities to</w:t>
      </w:r>
      <w:r w:rsidRPr="009C695A">
        <w:t xml:space="preserve"> discriminate</w:t>
      </w:r>
      <w:r>
        <w:t xml:space="preserve"> against students or potential students</w:t>
      </w:r>
      <w:r w:rsidRPr="009C695A">
        <w:t xml:space="preserve"> </w:t>
      </w:r>
      <w:r>
        <w:t xml:space="preserve">based on </w:t>
      </w:r>
      <w:r w:rsidRPr="009C695A">
        <w:t>sex, disability, age, transgender grounds, homosexuality or marital or domestic status</w:t>
      </w:r>
      <w:r>
        <w:t>.</w:t>
      </w:r>
      <w:r w:rsidRPr="009C695A">
        <w:rPr>
          <w:rStyle w:val="FootnoteReference"/>
        </w:rPr>
        <w:footnoteReference w:id="710"/>
      </w:r>
      <w:r>
        <w:t xml:space="preserve"> These institutions can discriminate based on these attributes by:</w:t>
      </w:r>
    </w:p>
    <w:p w14:paraId="03F67F4F" w14:textId="77777777" w:rsidR="006A1316" w:rsidRDefault="006A1316" w:rsidP="006A1316">
      <w:pPr>
        <w:pStyle w:val="Normalbullet"/>
      </w:pPr>
      <w:r>
        <w:t>refusing admission</w:t>
      </w:r>
    </w:p>
    <w:p w14:paraId="227EBAF7" w14:textId="77777777" w:rsidR="006A1316" w:rsidRDefault="006A1316" w:rsidP="006A1316">
      <w:pPr>
        <w:pStyle w:val="Normalbullet"/>
      </w:pPr>
      <w:r>
        <w:t>admitting students subject to certain terms</w:t>
      </w:r>
    </w:p>
    <w:p w14:paraId="72D75139" w14:textId="77777777" w:rsidR="006A1316" w:rsidRDefault="006A1316" w:rsidP="006A1316">
      <w:pPr>
        <w:pStyle w:val="Normalbullet"/>
      </w:pPr>
      <w:r>
        <w:t>denying or limiting access to benefits, or</w:t>
      </w:r>
    </w:p>
    <w:p w14:paraId="4953DA16" w14:textId="77777777" w:rsidR="006A1316" w:rsidRDefault="006A1316" w:rsidP="006A1316">
      <w:pPr>
        <w:pStyle w:val="Normalbullet"/>
      </w:pPr>
      <w:r>
        <w:t>expelling students or subjecting them to any other detriment.</w:t>
      </w:r>
      <w:r>
        <w:rPr>
          <w:rStyle w:val="FootnoteReference"/>
        </w:rPr>
        <w:footnoteReference w:id="711"/>
      </w:r>
    </w:p>
    <w:p w14:paraId="30E26ADD" w14:textId="77777777" w:rsidR="006A1316" w:rsidRDefault="006A1316" w:rsidP="006A1316">
      <w:pPr>
        <w:pStyle w:val="NormalAutoChapter"/>
        <w:tabs>
          <w:tab w:val="clear" w:pos="720"/>
          <w:tab w:val="num" w:pos="1146"/>
        </w:tabs>
        <w:rPr>
          <w:color w:val="auto"/>
        </w:rPr>
      </w:pPr>
      <w:r>
        <w:rPr>
          <w:color w:val="auto"/>
        </w:rPr>
        <w:t>For example, it is not unlawful discrimination for a private school to expel a student who identifies as transgender. Similarly, students with disability will not be protected by the ADA if they are expelled from a private school because of their disability.</w:t>
      </w:r>
      <w:r>
        <w:rPr>
          <w:rStyle w:val="FootnoteReference"/>
          <w:color w:val="auto"/>
        </w:rPr>
        <w:footnoteReference w:id="712"/>
      </w:r>
      <w:r>
        <w:rPr>
          <w:color w:val="auto"/>
        </w:rPr>
        <w:t xml:space="preserve"> </w:t>
      </w:r>
    </w:p>
    <w:p w14:paraId="792A7733" w14:textId="77777777" w:rsidR="006A1316" w:rsidRDefault="006A1316" w:rsidP="006A1316">
      <w:pPr>
        <w:pStyle w:val="NormalAutoChapter"/>
        <w:tabs>
          <w:tab w:val="clear" w:pos="720"/>
          <w:tab w:val="num" w:pos="1146"/>
        </w:tabs>
        <w:rPr>
          <w:color w:val="auto"/>
        </w:rPr>
      </w:pPr>
      <w:r>
        <w:rPr>
          <w:color w:val="auto"/>
        </w:rPr>
        <w:t>As discussed above, no other Australian laws contain exceptions for “private educational authorities”. However,</w:t>
      </w:r>
      <w:r w:rsidRPr="004D5566">
        <w:rPr>
          <w:color w:val="auto"/>
        </w:rPr>
        <w:t xml:space="preserve"> </w:t>
      </w:r>
      <w:r>
        <w:rPr>
          <w:color w:val="auto"/>
        </w:rPr>
        <w:t>s</w:t>
      </w:r>
      <w:r w:rsidRPr="004D5566">
        <w:rPr>
          <w:color w:val="auto"/>
        </w:rPr>
        <w:t xml:space="preserve">ome other Australian discrimination laws have exceptions </w:t>
      </w:r>
      <w:r>
        <w:rPr>
          <w:color w:val="auto"/>
        </w:rPr>
        <w:t xml:space="preserve">to discrimination in education </w:t>
      </w:r>
      <w:r w:rsidRPr="004D5566">
        <w:rPr>
          <w:color w:val="auto"/>
        </w:rPr>
        <w:t xml:space="preserve">that apply only to religious </w:t>
      </w:r>
      <w:r>
        <w:rPr>
          <w:color w:val="auto"/>
        </w:rPr>
        <w:t>educational institutions</w:t>
      </w:r>
      <w:r w:rsidRPr="004D5566">
        <w:rPr>
          <w:color w:val="auto"/>
        </w:rPr>
        <w:t>.</w:t>
      </w:r>
      <w:r w:rsidRPr="004D5566">
        <w:rPr>
          <w:rStyle w:val="FootnoteReference"/>
        </w:rPr>
        <w:footnoteReference w:id="713"/>
      </w:r>
      <w:r>
        <w:rPr>
          <w:color w:val="auto"/>
        </w:rPr>
        <w:t xml:space="preserve"> As above, an option could be to similarly make these exceptions only available to religious educational institutions. </w:t>
      </w:r>
    </w:p>
    <w:p w14:paraId="6D2BD457" w14:textId="77777777" w:rsidR="006A1316" w:rsidRPr="004D2790" w:rsidRDefault="006A1316" w:rsidP="006A1316">
      <w:pPr>
        <w:pStyle w:val="NormalAutoChapter"/>
        <w:tabs>
          <w:tab w:val="clear" w:pos="720"/>
          <w:tab w:val="num" w:pos="1146"/>
        </w:tabs>
        <w:rPr>
          <w:color w:val="auto"/>
        </w:rPr>
      </w:pPr>
      <w:r w:rsidRPr="004D2790">
        <w:rPr>
          <w:color w:val="auto"/>
        </w:rPr>
        <w:t xml:space="preserve">However, a more fundamental question is whether religious educational institutions should be able to access exceptions to discrimination in relation to students and prospective students. Some argue that religious educational authorities should </w:t>
      </w:r>
      <w:r w:rsidRPr="004D2790">
        <w:rPr>
          <w:color w:val="auto"/>
        </w:rPr>
        <w:lastRenderedPageBreak/>
        <w:t>never be permitted to discriminate against students or prospective students. This is because:</w:t>
      </w:r>
    </w:p>
    <w:p w14:paraId="457DEE57" w14:textId="77777777" w:rsidR="006A1316" w:rsidRDefault="006A1316" w:rsidP="006A1316">
      <w:pPr>
        <w:pStyle w:val="Normalbullet"/>
      </w:pPr>
      <w:bookmarkStart w:id="321" w:name="_Hlk192679580"/>
      <w:r>
        <w:t>discrimination is harmful to vulnerable students</w:t>
      </w:r>
    </w:p>
    <w:bookmarkEnd w:id="321"/>
    <w:p w14:paraId="0B2D4644" w14:textId="77777777" w:rsidR="006A1316" w:rsidRDefault="006A1316" w:rsidP="006A1316">
      <w:pPr>
        <w:pStyle w:val="Normalbullet"/>
      </w:pPr>
      <w:r>
        <w:t>discriminating against students with protected attributes in the name of religion is inconsistent with international human rights obligations, and</w:t>
      </w:r>
    </w:p>
    <w:p w14:paraId="62ED5D31" w14:textId="77777777" w:rsidR="006A1316" w:rsidRDefault="006A1316" w:rsidP="006A1316">
      <w:pPr>
        <w:pStyle w:val="Normalbullet"/>
      </w:pPr>
      <w:r>
        <w:t>schools that are funded with public money should be safe for all students and accountable to community expectations.</w:t>
      </w:r>
      <w:r w:rsidRPr="00301BF9">
        <w:rPr>
          <w:rStyle w:val="FootnoteReference"/>
        </w:rPr>
        <w:footnoteReference w:id="714"/>
      </w:r>
    </w:p>
    <w:p w14:paraId="471D0D5F" w14:textId="77777777" w:rsidR="006A1316" w:rsidRPr="004C2B39" w:rsidRDefault="006A1316" w:rsidP="006A1316">
      <w:pPr>
        <w:pStyle w:val="NormalAutoChapter"/>
        <w:tabs>
          <w:tab w:val="clear" w:pos="720"/>
          <w:tab w:val="num" w:pos="1146"/>
        </w:tabs>
        <w:rPr>
          <w:lang w:eastAsia="en-US"/>
        </w:rPr>
      </w:pPr>
      <w:r>
        <w:rPr>
          <w:color w:val="auto"/>
        </w:rPr>
        <w:t>T</w:t>
      </w:r>
      <w:r w:rsidRPr="007C4885">
        <w:rPr>
          <w:lang w:eastAsia="en-US"/>
        </w:rPr>
        <w:t xml:space="preserve">he </w:t>
      </w:r>
      <w:r>
        <w:rPr>
          <w:lang w:eastAsia="en-US"/>
        </w:rPr>
        <w:t>ALRC</w:t>
      </w:r>
      <w:r w:rsidRPr="007C4885">
        <w:rPr>
          <w:lang w:eastAsia="en-US"/>
        </w:rPr>
        <w:t xml:space="preserve"> recently recommended repealing the </w:t>
      </w:r>
      <w:r w:rsidRPr="007C4885">
        <w:rPr>
          <w:i/>
          <w:iCs/>
          <w:lang w:eastAsia="en-US"/>
        </w:rPr>
        <w:t>S</w:t>
      </w:r>
      <w:r>
        <w:rPr>
          <w:i/>
          <w:iCs/>
          <w:lang w:eastAsia="en-US"/>
        </w:rPr>
        <w:t xml:space="preserve">ex </w:t>
      </w:r>
      <w:r w:rsidRPr="007C4885">
        <w:rPr>
          <w:i/>
          <w:iCs/>
          <w:lang w:eastAsia="en-US"/>
        </w:rPr>
        <w:t>D</w:t>
      </w:r>
      <w:r>
        <w:rPr>
          <w:i/>
          <w:iCs/>
          <w:lang w:eastAsia="en-US"/>
        </w:rPr>
        <w:t xml:space="preserve">iscrimination </w:t>
      </w:r>
      <w:r w:rsidRPr="007C4885">
        <w:rPr>
          <w:i/>
          <w:iCs/>
          <w:lang w:eastAsia="en-US"/>
        </w:rPr>
        <w:t>A</w:t>
      </w:r>
      <w:r>
        <w:rPr>
          <w:i/>
          <w:iCs/>
          <w:lang w:eastAsia="en-US"/>
        </w:rPr>
        <w:t>ct</w:t>
      </w:r>
      <w:r w:rsidRPr="007C4885">
        <w:rPr>
          <w:lang w:eastAsia="en-US"/>
        </w:rPr>
        <w:t xml:space="preserve"> exception that allows religious schools to discriminate against students and prospective students.</w:t>
      </w:r>
      <w:r w:rsidRPr="007C4885">
        <w:rPr>
          <w:rStyle w:val="FootnoteReference"/>
          <w:lang w:eastAsia="en-US"/>
        </w:rPr>
        <w:footnoteReference w:id="715"/>
      </w:r>
      <w:r>
        <w:rPr>
          <w:lang w:eastAsia="en-US"/>
        </w:rPr>
        <w:t xml:space="preserve"> If this option is pursued in NSW, consideration would need to be given to the overlapping operation of the exceptions for private educational authorities and the general exceptions for religious bodies in s 56. </w:t>
      </w:r>
    </w:p>
    <w:p w14:paraId="4096D6EB" w14:textId="77777777" w:rsidR="006A1316" w:rsidRDefault="006A1316" w:rsidP="006A1316">
      <w:pPr>
        <w:pStyle w:val="NormalAutoChapter"/>
        <w:tabs>
          <w:tab w:val="clear" w:pos="720"/>
          <w:tab w:val="num" w:pos="1146"/>
        </w:tabs>
        <w:rPr>
          <w:color w:val="auto"/>
        </w:rPr>
      </w:pPr>
      <w:r>
        <w:rPr>
          <w:color w:val="auto"/>
        </w:rPr>
        <w:t xml:space="preserve">However, as we acknowledge above, others argue that exceptions for religious schools are important to protect religious freedom, enable religious schools to uphold their ethos and values, and give families a choice of education for their children. On this basis, some may argue that the exceptions should be retained — at least in some form. </w:t>
      </w:r>
    </w:p>
    <w:p w14:paraId="75BFD44D" w14:textId="77777777" w:rsidR="006A1316" w:rsidRDefault="006A1316" w:rsidP="006A1316">
      <w:pPr>
        <w:pStyle w:val="NormalAutoChapter"/>
        <w:tabs>
          <w:tab w:val="clear" w:pos="720"/>
          <w:tab w:val="num" w:pos="1146"/>
        </w:tabs>
        <w:rPr>
          <w:color w:val="auto"/>
        </w:rPr>
      </w:pPr>
      <w:r>
        <w:rPr>
          <w:color w:val="auto"/>
        </w:rPr>
        <w:t xml:space="preserve">This raises further questions about what any such exceptions should cover. We set out some considerations, below.  </w:t>
      </w:r>
    </w:p>
    <w:p w14:paraId="5B40937E" w14:textId="77777777" w:rsidR="006A1316" w:rsidRDefault="006A1316" w:rsidP="006A1316">
      <w:pPr>
        <w:pStyle w:val="Heading3"/>
      </w:pPr>
      <w:r>
        <w:t xml:space="preserve">The relevant attributes </w:t>
      </w:r>
    </w:p>
    <w:p w14:paraId="57673CFC" w14:textId="77777777" w:rsidR="006A1316" w:rsidRDefault="006A1316" w:rsidP="006A1316">
      <w:pPr>
        <w:pStyle w:val="NormalAutoChapter"/>
        <w:tabs>
          <w:tab w:val="clear" w:pos="720"/>
          <w:tab w:val="num" w:pos="1146"/>
        </w:tabs>
      </w:pPr>
      <w:r>
        <w:t xml:space="preserve">The current exceptions in the ADA apply to discrimination in education based on </w:t>
      </w:r>
      <w:r w:rsidRPr="009C695A">
        <w:t>sex, disability, transgender grounds, homosexuality, or marital or domestic status</w:t>
      </w:r>
      <w:r>
        <w:t>.</w:t>
      </w:r>
    </w:p>
    <w:p w14:paraId="2E9B8530" w14:textId="77777777" w:rsidR="006A1316" w:rsidRDefault="006A1316" w:rsidP="006A1316">
      <w:pPr>
        <w:pStyle w:val="NormalAutoChapter"/>
        <w:tabs>
          <w:tab w:val="clear" w:pos="720"/>
          <w:tab w:val="num" w:pos="1146"/>
        </w:tabs>
      </w:pPr>
      <w:r>
        <w:t xml:space="preserve">Other discrimination laws take a narrower approach. In </w:t>
      </w:r>
      <w:r w:rsidRPr="00242389">
        <w:t>Victoria</w:t>
      </w:r>
      <w:r>
        <w:t>, the ACT, Queensland and Tasmania, religious educational authorities can only discriminate in education based on religious belief. South Australia only allows discrimination based on religious appearance.</w:t>
      </w:r>
      <w:r>
        <w:rPr>
          <w:rStyle w:val="FootnoteReference"/>
        </w:rPr>
        <w:footnoteReference w:id="716"/>
      </w:r>
    </w:p>
    <w:p w14:paraId="1F513CA9" w14:textId="77777777" w:rsidR="006A1316" w:rsidRPr="00BD24C6" w:rsidRDefault="006A1316" w:rsidP="006A1316">
      <w:pPr>
        <w:pStyle w:val="NormalAutoChapter"/>
        <w:tabs>
          <w:tab w:val="clear" w:pos="720"/>
          <w:tab w:val="num" w:pos="1146"/>
        </w:tabs>
        <w:rPr>
          <w:color w:val="auto"/>
        </w:rPr>
      </w:pPr>
      <w:r>
        <w:rPr>
          <w:color w:val="auto"/>
        </w:rPr>
        <w:t>B</w:t>
      </w:r>
      <w:r w:rsidRPr="00BD24C6">
        <w:rPr>
          <w:color w:val="auto"/>
        </w:rPr>
        <w:t>oth the NSWLRC and the R</w:t>
      </w:r>
      <w:r>
        <w:rPr>
          <w:color w:val="auto"/>
        </w:rPr>
        <w:t xml:space="preserve">eligious Freedom Review </w:t>
      </w:r>
      <w:r w:rsidRPr="00BD24C6">
        <w:rPr>
          <w:color w:val="auto"/>
        </w:rPr>
        <w:t xml:space="preserve">recommended that </w:t>
      </w:r>
      <w:r>
        <w:rPr>
          <w:color w:val="auto"/>
        </w:rPr>
        <w:t xml:space="preserve">religious educational authorities </w:t>
      </w:r>
      <w:r w:rsidRPr="00BD24C6">
        <w:rPr>
          <w:color w:val="auto"/>
        </w:rPr>
        <w:t xml:space="preserve">should also be permitted to discriminate </w:t>
      </w:r>
      <w:r>
        <w:rPr>
          <w:color w:val="auto"/>
        </w:rPr>
        <w:t xml:space="preserve">based on </w:t>
      </w:r>
      <w:r w:rsidRPr="00BD24C6">
        <w:rPr>
          <w:color w:val="auto"/>
        </w:rPr>
        <w:t xml:space="preserve">domestic </w:t>
      </w:r>
      <w:r w:rsidRPr="00BD24C6">
        <w:rPr>
          <w:color w:val="auto"/>
        </w:rPr>
        <w:lastRenderedPageBreak/>
        <w:t>status, sexuality, and gender identity.</w:t>
      </w:r>
      <w:r w:rsidRPr="00BD24C6">
        <w:rPr>
          <w:rStyle w:val="FootnoteReference"/>
          <w:color w:val="auto"/>
        </w:rPr>
        <w:t xml:space="preserve"> </w:t>
      </w:r>
      <w:r w:rsidRPr="00BD24C6">
        <w:rPr>
          <w:color w:val="auto"/>
        </w:rPr>
        <w:t xml:space="preserve"> </w:t>
      </w:r>
      <w:r>
        <w:rPr>
          <w:color w:val="auto"/>
        </w:rPr>
        <w:t>In 1999, t</w:t>
      </w:r>
      <w:r w:rsidRPr="00BD24C6">
        <w:rPr>
          <w:color w:val="auto"/>
        </w:rPr>
        <w:t xml:space="preserve">he NSWLRC </w:t>
      </w:r>
      <w:r>
        <w:rPr>
          <w:color w:val="auto"/>
        </w:rPr>
        <w:t xml:space="preserve">also recommended the exception should permit </w:t>
      </w:r>
      <w:r w:rsidRPr="00BD24C6">
        <w:rPr>
          <w:color w:val="auto"/>
        </w:rPr>
        <w:t xml:space="preserve">sex </w:t>
      </w:r>
      <w:r>
        <w:rPr>
          <w:color w:val="auto"/>
        </w:rPr>
        <w:t>discrimination</w:t>
      </w:r>
      <w:r w:rsidRPr="00BD24C6">
        <w:rPr>
          <w:color w:val="auto"/>
        </w:rPr>
        <w:t>.</w:t>
      </w:r>
      <w:r w:rsidRPr="00BD24C6">
        <w:rPr>
          <w:rStyle w:val="FootnoteReference"/>
          <w:color w:val="auto"/>
        </w:rPr>
        <w:footnoteReference w:id="717"/>
      </w:r>
      <w:r w:rsidRPr="00BD24C6">
        <w:rPr>
          <w:color w:val="auto"/>
        </w:rPr>
        <w:t xml:space="preserve"> </w:t>
      </w:r>
    </w:p>
    <w:p w14:paraId="0A90D80B" w14:textId="77777777" w:rsidR="006A1316" w:rsidRDefault="006A1316" w:rsidP="006A1316">
      <w:pPr>
        <w:pStyle w:val="Heading3"/>
        <w:ind w:left="357" w:firstLine="357"/>
      </w:pPr>
      <w:r>
        <w:t xml:space="preserve">Application to prospective or existing students </w:t>
      </w:r>
    </w:p>
    <w:p w14:paraId="71BCDDC2" w14:textId="6FB970DE" w:rsidR="006A1316" w:rsidRPr="00C66D90" w:rsidRDefault="006A1316" w:rsidP="006A1316">
      <w:pPr>
        <w:pStyle w:val="NormalAutoChapter"/>
        <w:tabs>
          <w:tab w:val="clear" w:pos="720"/>
          <w:tab w:val="num" w:pos="1146"/>
        </w:tabs>
        <w:rPr>
          <w:color w:val="auto"/>
        </w:rPr>
      </w:pPr>
      <w:r>
        <w:t>Another question is</w:t>
      </w:r>
      <w:r w:rsidR="00504DED">
        <w:t>:</w:t>
      </w:r>
      <w:r>
        <w:t xml:space="preserve"> at what point in the educational relationship should the exceptions apply? Currently, as noted above, the exceptions apply across a wide range of points in the relationship between a student or prospective student, and a private educational authority. </w:t>
      </w:r>
    </w:p>
    <w:p w14:paraId="75944B6B" w14:textId="77777777" w:rsidR="006A1316" w:rsidRPr="008574CE" w:rsidRDefault="006A1316" w:rsidP="006A1316">
      <w:pPr>
        <w:pStyle w:val="NormalAutoChapter"/>
        <w:tabs>
          <w:tab w:val="clear" w:pos="720"/>
          <w:tab w:val="num" w:pos="1146"/>
        </w:tabs>
        <w:rPr>
          <w:color w:val="auto"/>
        </w:rPr>
      </w:pPr>
      <w:r>
        <w:t>Other Australian discrimination laws provide more limited exceptions. For example, some only allow discrimination against prospective students at admission, and not when students are already enrolled.</w:t>
      </w:r>
      <w:r>
        <w:rPr>
          <w:rStyle w:val="FootnoteReference"/>
        </w:rPr>
        <w:footnoteReference w:id="718"/>
      </w:r>
      <w:r>
        <w:t xml:space="preserve"> This would allow a school to refuse to admit a student because of their religious beliefs at the time of enrolment. But they could not discriminate against a student once they are enrolled.</w:t>
      </w:r>
      <w:r>
        <w:rPr>
          <w:rStyle w:val="FootnoteReference"/>
        </w:rPr>
        <w:footnoteReference w:id="719"/>
      </w:r>
      <w:r>
        <w:t xml:space="preserve"> </w:t>
      </w:r>
    </w:p>
    <w:p w14:paraId="551E3018" w14:textId="77777777" w:rsidR="006A1316" w:rsidRPr="00AB0EF5" w:rsidRDefault="006A1316" w:rsidP="006A1316">
      <w:pPr>
        <w:pStyle w:val="NormalAutoChapter"/>
        <w:tabs>
          <w:tab w:val="clear" w:pos="720"/>
          <w:tab w:val="num" w:pos="1146"/>
        </w:tabs>
        <w:rPr>
          <w:color w:val="auto"/>
        </w:rPr>
      </w:pPr>
      <w:r>
        <w:t xml:space="preserve">Similarly, </w:t>
      </w:r>
      <w:r>
        <w:rPr>
          <w:color w:val="auto"/>
        </w:rPr>
        <w:t xml:space="preserve">the </w:t>
      </w:r>
      <w:r>
        <w:t>NSWLRC</w:t>
      </w:r>
      <w:r w:rsidRPr="00AC7F08">
        <w:t xml:space="preserve"> </w:t>
      </w:r>
      <w:r>
        <w:t>previously</w:t>
      </w:r>
      <w:r w:rsidRPr="00AC7F08">
        <w:t xml:space="preserve"> recommended </w:t>
      </w:r>
      <w:r>
        <w:t>an exception to religious discrimination relating to admiss</w:t>
      </w:r>
      <w:r w:rsidRPr="00AC7F08">
        <w:t xml:space="preserve">ion to educational institutions established for </w:t>
      </w:r>
      <w:proofErr w:type="gramStart"/>
      <w:r w:rsidRPr="00AC7F08">
        <w:t>particular religious</w:t>
      </w:r>
      <w:proofErr w:type="gramEnd"/>
      <w:r w:rsidRPr="00AC7F08">
        <w:t xml:space="preserve"> groups.</w:t>
      </w:r>
      <w:r>
        <w:rPr>
          <w:rStyle w:val="FootnoteReference"/>
        </w:rPr>
        <w:footnoteReference w:id="720"/>
      </w:r>
    </w:p>
    <w:p w14:paraId="0227FC0A" w14:textId="77777777" w:rsidR="006A1316" w:rsidRDefault="006A1316" w:rsidP="006A1316">
      <w:pPr>
        <w:pStyle w:val="Heading3"/>
      </w:pPr>
      <w:r>
        <w:t>The circumstances in which the exception should apply</w:t>
      </w:r>
    </w:p>
    <w:p w14:paraId="52FCADA6" w14:textId="77777777" w:rsidR="006A1316" w:rsidRPr="00633DD3" w:rsidRDefault="006A1316" w:rsidP="006A1316">
      <w:pPr>
        <w:pStyle w:val="NormalAutoChapter"/>
        <w:tabs>
          <w:tab w:val="clear" w:pos="720"/>
          <w:tab w:val="num" w:pos="1146"/>
        </w:tabs>
        <w:rPr>
          <w:color w:val="auto"/>
        </w:rPr>
      </w:pPr>
      <w:r>
        <w:t>Another issue is whether the ADA should contain further requirements that must be met before any such exceptions to discrimination in education will apply.</w:t>
      </w:r>
    </w:p>
    <w:p w14:paraId="429EA4FB" w14:textId="77777777" w:rsidR="006A1316" w:rsidRPr="005130B5" w:rsidRDefault="006A1316" w:rsidP="006A1316">
      <w:pPr>
        <w:pStyle w:val="NormalAutoChapter"/>
        <w:tabs>
          <w:tab w:val="clear" w:pos="720"/>
          <w:tab w:val="num" w:pos="1146"/>
        </w:tabs>
        <w:rPr>
          <w:color w:val="auto"/>
        </w:rPr>
      </w:pPr>
      <w:r>
        <w:rPr>
          <w:color w:val="auto"/>
        </w:rPr>
        <w:t xml:space="preserve">As with discrimination in work, one approach could be to link the exception to acts promoting or protecting the observance of religious beliefs. The </w:t>
      </w:r>
      <w:r w:rsidRPr="00FA049B">
        <w:rPr>
          <w:i/>
          <w:iCs/>
          <w:color w:val="auto"/>
        </w:rPr>
        <w:t>Sex Discrimination Act</w:t>
      </w:r>
      <w:r>
        <w:rPr>
          <w:color w:val="auto"/>
        </w:rPr>
        <w:t xml:space="preserve">, for instance, applies an exception in education to acts done </w:t>
      </w:r>
      <w:r>
        <w:t xml:space="preserve">in good faith to </w:t>
      </w:r>
      <w:r w:rsidRPr="00F34A84">
        <w:t>avoid injury to the religious susceptibilities of adherents of that religion</w:t>
      </w:r>
      <w:r>
        <w:t>.</w:t>
      </w:r>
      <w:r>
        <w:rPr>
          <w:rStyle w:val="FootnoteReference"/>
        </w:rPr>
        <w:footnoteReference w:id="721"/>
      </w:r>
      <w:r>
        <w:t xml:space="preserve"> However, as noted above, the ALRC has recommended </w:t>
      </w:r>
      <w:r w:rsidRPr="00664AAC">
        <w:t>repealing this exception</w:t>
      </w:r>
      <w:r>
        <w:t>.</w:t>
      </w:r>
      <w:r>
        <w:rPr>
          <w:rStyle w:val="FootnoteReference"/>
        </w:rPr>
        <w:footnoteReference w:id="722"/>
      </w:r>
      <w:r>
        <w:t xml:space="preserve">  </w:t>
      </w:r>
    </w:p>
    <w:p w14:paraId="5B2BFC56" w14:textId="77777777" w:rsidR="006A1316" w:rsidRPr="007C4885" w:rsidRDefault="006A1316" w:rsidP="006A1316">
      <w:pPr>
        <w:pStyle w:val="NormalAutoChapter"/>
        <w:tabs>
          <w:tab w:val="clear" w:pos="720"/>
          <w:tab w:val="num" w:pos="1146"/>
        </w:tabs>
        <w:rPr>
          <w:color w:val="auto"/>
        </w:rPr>
      </w:pPr>
      <w:r>
        <w:rPr>
          <w:color w:val="auto"/>
        </w:rPr>
        <w:t>Another view is that religious educational authorities should be allowed to</w:t>
      </w:r>
      <w:r w:rsidRPr="007C4885">
        <w:rPr>
          <w:color w:val="auto"/>
        </w:rPr>
        <w:t xml:space="preserve"> prefer or refuse to admit a student based on</w:t>
      </w:r>
      <w:r>
        <w:rPr>
          <w:color w:val="auto"/>
        </w:rPr>
        <w:t xml:space="preserve"> whether:</w:t>
      </w:r>
    </w:p>
    <w:p w14:paraId="417C5033" w14:textId="77777777" w:rsidR="006A1316" w:rsidRPr="007C4885" w:rsidRDefault="006A1316" w:rsidP="006A1316">
      <w:pPr>
        <w:pStyle w:val="Normalbullet"/>
      </w:pPr>
      <w:r>
        <w:lastRenderedPageBreak/>
        <w:t xml:space="preserve">the </w:t>
      </w:r>
      <w:r w:rsidRPr="007C4885">
        <w:t>student (or their parents)</w:t>
      </w:r>
      <w:r>
        <w:t xml:space="preserve"> adheres to </w:t>
      </w:r>
      <w:r w:rsidRPr="007C4885">
        <w:t xml:space="preserve">the religious beliefs and practices of the institution, and </w:t>
      </w:r>
    </w:p>
    <w:p w14:paraId="591D9003" w14:textId="77777777" w:rsidR="006A1316" w:rsidRPr="007C4885" w:rsidRDefault="006A1316" w:rsidP="006A1316">
      <w:pPr>
        <w:pStyle w:val="Normalbullet"/>
      </w:pPr>
      <w:r w:rsidRPr="007C4885">
        <w:t xml:space="preserve">the student </w:t>
      </w:r>
      <w:r>
        <w:t xml:space="preserve">is </w:t>
      </w:r>
      <w:r w:rsidRPr="007C4885">
        <w:t xml:space="preserve">recognised by the institution as </w:t>
      </w:r>
      <w:r>
        <w:t xml:space="preserve">either </w:t>
      </w:r>
      <w:r w:rsidRPr="007C4885">
        <w:t>“having the relevant religious status</w:t>
      </w:r>
      <w:r>
        <w:t>”</w:t>
      </w:r>
      <w:r w:rsidRPr="007C4885">
        <w:t xml:space="preserve"> or conducting themselves in accordance with the religious beliefs and practices of the institution.</w:t>
      </w:r>
    </w:p>
    <w:p w14:paraId="5E2ABAF9" w14:textId="77777777" w:rsidR="006A1316" w:rsidRPr="00166685" w:rsidRDefault="006A1316" w:rsidP="006A1316">
      <w:pPr>
        <w:pStyle w:val="NormalAutoChapter"/>
        <w:numPr>
          <w:ilvl w:val="0"/>
          <w:numId w:val="0"/>
        </w:numPr>
        <w:ind w:left="720"/>
        <w:rPr>
          <w:b/>
          <w:bCs/>
          <w:color w:val="auto"/>
        </w:rPr>
      </w:pPr>
      <w:r>
        <w:rPr>
          <w:color w:val="auto"/>
        </w:rPr>
        <w:t>Under this model, the exception w</w:t>
      </w:r>
      <w:r w:rsidRPr="007C4885">
        <w:rPr>
          <w:color w:val="auto"/>
        </w:rPr>
        <w:t>ould only apply</w:t>
      </w:r>
      <w:r>
        <w:rPr>
          <w:color w:val="auto"/>
        </w:rPr>
        <w:t xml:space="preserve"> to </w:t>
      </w:r>
      <w:r w:rsidRPr="007C4885">
        <w:t xml:space="preserve">conduct </w:t>
      </w:r>
      <w:r>
        <w:t xml:space="preserve">that </w:t>
      </w:r>
      <w:r w:rsidRPr="007C4885">
        <w:t>is consistent with the religious beliefs and practices of the institution.</w:t>
      </w:r>
      <w:r>
        <w:rPr>
          <w:rStyle w:val="FootnoteReference"/>
        </w:rPr>
        <w:footnoteReference w:id="723"/>
      </w:r>
    </w:p>
    <w:p w14:paraId="2853D446" w14:textId="77777777" w:rsidR="006A1316" w:rsidRPr="007C4885" w:rsidRDefault="006A1316" w:rsidP="006A1316">
      <w:pPr>
        <w:pStyle w:val="NormalAutoChapter"/>
        <w:tabs>
          <w:tab w:val="clear" w:pos="720"/>
          <w:tab w:val="num" w:pos="1146"/>
        </w:tabs>
        <w:rPr>
          <w:color w:val="auto"/>
          <w:lang w:eastAsia="en-US"/>
        </w:rPr>
      </w:pPr>
      <w:r>
        <w:t xml:space="preserve">Other reviews suggested other requirements, such as consideration of the best interests of the child. The Religious Freedom Review </w:t>
      </w:r>
      <w:r>
        <w:rPr>
          <w:color w:val="auto"/>
        </w:rPr>
        <w:t xml:space="preserve">recommended </w:t>
      </w:r>
      <w:r w:rsidRPr="007C4885">
        <w:rPr>
          <w:color w:val="auto"/>
          <w:lang w:eastAsia="en-US"/>
        </w:rPr>
        <w:t xml:space="preserve">that religious schools </w:t>
      </w:r>
      <w:r>
        <w:rPr>
          <w:color w:val="auto"/>
          <w:lang w:eastAsia="en-US"/>
        </w:rPr>
        <w:t>be allowed</w:t>
      </w:r>
      <w:r w:rsidRPr="007C4885">
        <w:rPr>
          <w:color w:val="auto"/>
          <w:lang w:eastAsia="en-US"/>
        </w:rPr>
        <w:t xml:space="preserve"> </w:t>
      </w:r>
      <w:r>
        <w:rPr>
          <w:color w:val="auto"/>
          <w:lang w:eastAsia="en-US"/>
        </w:rPr>
        <w:t>to discriminate</w:t>
      </w:r>
      <w:r w:rsidRPr="007C4885">
        <w:rPr>
          <w:color w:val="auto"/>
          <w:lang w:eastAsia="en-US"/>
        </w:rPr>
        <w:t xml:space="preserve"> against students</w:t>
      </w:r>
      <w:r>
        <w:rPr>
          <w:color w:val="auto"/>
          <w:lang w:eastAsia="en-US"/>
        </w:rPr>
        <w:t>, including enrolled students,</w:t>
      </w:r>
      <w:r w:rsidRPr="007C4885">
        <w:rPr>
          <w:color w:val="auto"/>
          <w:lang w:eastAsia="en-US"/>
        </w:rPr>
        <w:t xml:space="preserve"> </w:t>
      </w:r>
      <w:r>
        <w:rPr>
          <w:color w:val="auto"/>
          <w:lang w:eastAsia="en-US"/>
        </w:rPr>
        <w:t>if</w:t>
      </w:r>
      <w:r w:rsidRPr="007C4885">
        <w:rPr>
          <w:color w:val="auto"/>
          <w:lang w:eastAsia="en-US"/>
        </w:rPr>
        <w:t>:</w:t>
      </w:r>
    </w:p>
    <w:p w14:paraId="330357E6" w14:textId="77777777" w:rsidR="006A1316" w:rsidRPr="007C4885" w:rsidRDefault="006A1316" w:rsidP="006A1316">
      <w:pPr>
        <w:pStyle w:val="Normalbullet"/>
      </w:pPr>
      <w:r w:rsidRPr="007C4885">
        <w:t>the discrimination is founded in the precepts of the religion</w:t>
      </w:r>
      <w:r>
        <w:t>, and</w:t>
      </w:r>
    </w:p>
    <w:p w14:paraId="224FDD8F" w14:textId="77777777" w:rsidR="006A1316" w:rsidRPr="007C4885" w:rsidRDefault="006A1316" w:rsidP="006A1316">
      <w:pPr>
        <w:pStyle w:val="Normalbullet"/>
      </w:pPr>
      <w:r w:rsidRPr="007C4885">
        <w:t>the school has regard to the best interests of the child as the primary consideration.</w:t>
      </w:r>
      <w:r w:rsidRPr="007C4885">
        <w:rPr>
          <w:rStyle w:val="FootnoteReference"/>
        </w:rPr>
        <w:footnoteReference w:id="724"/>
      </w:r>
    </w:p>
    <w:p w14:paraId="6CF389F8" w14:textId="77777777" w:rsidR="006A1316" w:rsidRPr="001005A3" w:rsidRDefault="006A1316" w:rsidP="006A1316">
      <w:pPr>
        <w:pStyle w:val="NormalAutoChapter"/>
        <w:tabs>
          <w:tab w:val="clear" w:pos="720"/>
          <w:tab w:val="num" w:pos="1146"/>
        </w:tabs>
        <w:rPr>
          <w:color w:val="auto"/>
        </w:rPr>
      </w:pPr>
      <w:r>
        <w:rPr>
          <w:color w:val="auto"/>
        </w:rPr>
        <w:t>The</w:t>
      </w:r>
      <w:r w:rsidRPr="001005A3">
        <w:rPr>
          <w:color w:val="auto"/>
        </w:rPr>
        <w:t xml:space="preserve"> Religious Freedom Review </w:t>
      </w:r>
      <w:r>
        <w:rPr>
          <w:color w:val="auto"/>
        </w:rPr>
        <w:t xml:space="preserve">also </w:t>
      </w:r>
      <w:r w:rsidRPr="001005A3">
        <w:rPr>
          <w:color w:val="auto"/>
        </w:rPr>
        <w:t>recommended that religious educational authorities should have to publish policies setting out their position.</w:t>
      </w:r>
      <w:r w:rsidRPr="004378E5">
        <w:rPr>
          <w:rStyle w:val="FootnoteReference"/>
          <w:color w:val="auto"/>
        </w:rPr>
        <w:footnoteReference w:id="725"/>
      </w:r>
      <w:r w:rsidRPr="001005A3">
        <w:rPr>
          <w:color w:val="auto"/>
        </w:rPr>
        <w:t xml:space="preserve"> </w:t>
      </w:r>
      <w:r>
        <w:rPr>
          <w:color w:val="auto"/>
        </w:rPr>
        <w:t>T</w:t>
      </w:r>
      <w:r w:rsidRPr="001005A3">
        <w:rPr>
          <w:color w:val="auto"/>
        </w:rPr>
        <w:t xml:space="preserve">his enables parents to choose not to enrol their child in </w:t>
      </w:r>
      <w:r>
        <w:rPr>
          <w:color w:val="auto"/>
        </w:rPr>
        <w:t xml:space="preserve">a </w:t>
      </w:r>
      <w:r w:rsidRPr="001005A3">
        <w:rPr>
          <w:color w:val="auto"/>
        </w:rPr>
        <w:t xml:space="preserve">school if their beliefs are inconsistent with the school’s policy. </w:t>
      </w:r>
    </w:p>
    <w:p w14:paraId="5600D2D3" w14:textId="77777777" w:rsidR="006A1316" w:rsidRPr="001005A3" w:rsidRDefault="006A1316" w:rsidP="006A1316">
      <w:pPr>
        <w:pStyle w:val="NormalAutoChapter"/>
        <w:tabs>
          <w:tab w:val="clear" w:pos="720"/>
          <w:tab w:val="num" w:pos="1146"/>
        </w:tabs>
        <w:rPr>
          <w:color w:val="auto"/>
        </w:rPr>
      </w:pPr>
      <w:r w:rsidRPr="001005A3">
        <w:rPr>
          <w:color w:val="auto"/>
        </w:rPr>
        <w:t>This is currently required in Tasmania and the ACT. In Tasmania, the educational institution</w:t>
      </w:r>
      <w:r>
        <w:rPr>
          <w:color w:val="auto"/>
        </w:rPr>
        <w:t>’</w:t>
      </w:r>
      <w:r w:rsidRPr="001005A3">
        <w:rPr>
          <w:color w:val="auto"/>
        </w:rPr>
        <w:t>s admissions policy must demonstrate that the criterion for admission relates to the religious belief or affiliation, or religious activity of the prospective student, their parents or grandparents.</w:t>
      </w:r>
      <w:r w:rsidRPr="004B5A5B">
        <w:rPr>
          <w:rStyle w:val="FootnoteReference"/>
          <w:color w:val="auto"/>
        </w:rPr>
        <w:footnoteReference w:id="726"/>
      </w:r>
      <w:r w:rsidRPr="001005A3">
        <w:rPr>
          <w:color w:val="auto"/>
        </w:rPr>
        <w:t xml:space="preserve"> In the ACT, </w:t>
      </w:r>
      <w:r>
        <w:rPr>
          <w:color w:val="auto"/>
        </w:rPr>
        <w:t>a religious</w:t>
      </w:r>
      <w:r w:rsidRPr="001005A3">
        <w:rPr>
          <w:color w:val="auto"/>
        </w:rPr>
        <w:t xml:space="preserve"> educational institution must publish a widely accessible </w:t>
      </w:r>
      <w:r>
        <w:rPr>
          <w:color w:val="auto"/>
        </w:rPr>
        <w:t xml:space="preserve">admissions </w:t>
      </w:r>
      <w:r w:rsidRPr="001005A3">
        <w:rPr>
          <w:color w:val="auto"/>
        </w:rPr>
        <w:t>policy</w:t>
      </w:r>
      <w:r>
        <w:rPr>
          <w:color w:val="auto"/>
        </w:rPr>
        <w:t>.</w:t>
      </w:r>
      <w:r w:rsidRPr="004B5A5B">
        <w:rPr>
          <w:rStyle w:val="FootnoteReference"/>
          <w:color w:val="auto"/>
        </w:rPr>
        <w:footnoteReference w:id="727"/>
      </w:r>
      <w:r w:rsidRPr="001005A3">
        <w:rPr>
          <w:color w:val="auto"/>
        </w:rPr>
        <w:t xml:space="preserve">  </w:t>
      </w:r>
    </w:p>
    <w:p w14:paraId="78A4B97F" w14:textId="77777777" w:rsidR="006A1316" w:rsidRDefault="006A1316" w:rsidP="006A1316">
      <w:pPr>
        <w:pStyle w:val="NormalAutoChapter"/>
        <w:tabs>
          <w:tab w:val="clear" w:pos="720"/>
          <w:tab w:val="num" w:pos="1146"/>
        </w:tabs>
      </w:pPr>
      <w:r>
        <w:t>However, some argue that more safeguards are required. Even if religious schools are only permitted to discriminate based on religious belief, there is a view that this could still be used indirectly to discriminate against LGBTQIA+ students and their supporters. For example, it may still be open to a school to require students to adhere to a particular religion’s teachings on gender and sexuality.</w:t>
      </w:r>
      <w:r>
        <w:rPr>
          <w:rStyle w:val="FootnoteReference"/>
        </w:rPr>
        <w:footnoteReference w:id="728"/>
      </w:r>
      <w:r>
        <w:t xml:space="preserve"> </w:t>
      </w:r>
    </w:p>
    <w:p w14:paraId="626D3CF6" w14:textId="77777777" w:rsidR="006A1316" w:rsidRDefault="006A1316" w:rsidP="006A1316">
      <w:pPr>
        <w:pStyle w:val="NormalAutoChapter"/>
        <w:tabs>
          <w:tab w:val="clear" w:pos="720"/>
          <w:tab w:val="num" w:pos="1146"/>
        </w:tabs>
      </w:pPr>
      <w:r>
        <w:t xml:space="preserve">Another option is to require religious schools to meet requirements of reasonableness and proportionality. Victoria permits religious educational </w:t>
      </w:r>
      <w:r>
        <w:lastRenderedPageBreak/>
        <w:t xml:space="preserve">institutions to discriminate based on religious belief or activity. However, the discrimination must be reasonable and proportionate in the circumstances. It must also either: </w:t>
      </w:r>
    </w:p>
    <w:p w14:paraId="13C8A514" w14:textId="77777777" w:rsidR="006A1316" w:rsidRDefault="006A1316" w:rsidP="006A1316">
      <w:pPr>
        <w:pStyle w:val="Normalbullet"/>
      </w:pPr>
      <w:r>
        <w:t xml:space="preserve">conform with the doctrines, beliefs, or principles in accordance with which the religious educational institution is to be conducted, or </w:t>
      </w:r>
    </w:p>
    <w:p w14:paraId="13719F79" w14:textId="77777777" w:rsidR="006A1316" w:rsidRPr="00451351" w:rsidRDefault="006A1316" w:rsidP="006A1316">
      <w:pPr>
        <w:pStyle w:val="Normalbullet"/>
      </w:pPr>
      <w:r>
        <w:t>be reasonably necessary to avoid injury to the religious sensitivities of adherents of the religion in accordance with which the religious educational institution is to be conducted.</w:t>
      </w:r>
      <w:r>
        <w:rPr>
          <w:rStyle w:val="FootnoteReference"/>
        </w:rPr>
        <w:footnoteReference w:id="729"/>
      </w:r>
      <w:r>
        <w:t xml:space="preserve"> </w:t>
      </w:r>
    </w:p>
    <w:p w14:paraId="08FFA912" w14:textId="77777777" w:rsidR="006A1316" w:rsidRPr="00AA47FF" w:rsidRDefault="006A1316" w:rsidP="006A1316">
      <w:pPr>
        <w:pStyle w:val="Recommendationheading"/>
      </w:pPr>
      <w:r w:rsidRPr="00AA47FF">
        <w:t>Question 7.6: Discrimination against students and prospective students</w:t>
      </w:r>
    </w:p>
    <w:p w14:paraId="5305CF49" w14:textId="77777777" w:rsidR="006A1316" w:rsidRDefault="006A1316" w:rsidP="006A1316">
      <w:pPr>
        <w:pStyle w:val="Recommendationhanging1"/>
      </w:pPr>
      <w:r>
        <w:t xml:space="preserve">(1) </w:t>
      </w:r>
      <w:r>
        <w:tab/>
        <w:t xml:space="preserve">Should the </w:t>
      </w:r>
      <w:r w:rsidRPr="00FF383A">
        <w:t>ADA</w:t>
      </w:r>
      <w:r w:rsidRPr="003F473D">
        <w:t xml:space="preserve"> </w:t>
      </w:r>
      <w:r>
        <w:t xml:space="preserve">contain exceptions for private educational authorities in education? Should these be limited to religious educational authorities? </w:t>
      </w:r>
    </w:p>
    <w:p w14:paraId="20EE02C1" w14:textId="77777777" w:rsidR="006A1316" w:rsidRDefault="006A1316" w:rsidP="006A1316">
      <w:pPr>
        <w:pStyle w:val="Recommendationhanging1"/>
      </w:pPr>
      <w:r>
        <w:t xml:space="preserve">(2) </w:t>
      </w:r>
      <w:r>
        <w:tab/>
        <w:t>If you think it is necessary for the ADA to provide exceptions in this area:</w:t>
      </w:r>
    </w:p>
    <w:p w14:paraId="65EC7AC8" w14:textId="77777777" w:rsidR="006A1316" w:rsidRPr="002C2DB6" w:rsidRDefault="006A1316" w:rsidP="006A1316">
      <w:pPr>
        <w:pStyle w:val="Recommendationhanginga"/>
      </w:pPr>
      <w:r w:rsidRPr="002C2DB6">
        <w:tab/>
        <w:t xml:space="preserve">(a) </w:t>
      </w:r>
      <w:r w:rsidRPr="002C2DB6">
        <w:tab/>
        <w:t xml:space="preserve">what attributes should the exceptions apply to? </w:t>
      </w:r>
    </w:p>
    <w:p w14:paraId="3C2F2E3D" w14:textId="77777777" w:rsidR="006A1316" w:rsidRPr="002C2DB6" w:rsidRDefault="006A1316" w:rsidP="006A1316">
      <w:pPr>
        <w:pStyle w:val="Recommendationhanginga"/>
      </w:pPr>
      <w:r w:rsidRPr="002C2DB6">
        <w:tab/>
        <w:t>(b)</w:t>
      </w:r>
      <w:r w:rsidRPr="002C2DB6">
        <w:tab/>
        <w:t>should they apply to prospective students, existing students, or both?</w:t>
      </w:r>
    </w:p>
    <w:p w14:paraId="790D9CFE" w14:textId="67AF58E4" w:rsidR="006A1316" w:rsidRPr="002C2DB6" w:rsidRDefault="006A1316" w:rsidP="006A1316">
      <w:pPr>
        <w:pStyle w:val="Recommendationhanginga"/>
      </w:pPr>
      <w:r w:rsidRPr="002C2DB6">
        <w:tab/>
        <w:t>(c)</w:t>
      </w:r>
      <w:r w:rsidRPr="002C2DB6">
        <w:tab/>
        <w:t>what</w:t>
      </w:r>
      <w:r w:rsidR="00F55080">
        <w:t xml:space="preserve"> requirements, if any,</w:t>
      </w:r>
      <w:r w:rsidRPr="002C2DB6">
        <w:t xml:space="preserve"> should duty</w:t>
      </w:r>
      <w:r>
        <w:t xml:space="preserve"> </w:t>
      </w:r>
      <w:r w:rsidRPr="002C2DB6">
        <w:t>holders meet before an exception applies?</w:t>
      </w:r>
    </w:p>
    <w:p w14:paraId="1A4CBD61" w14:textId="77777777" w:rsidR="006A1316" w:rsidRDefault="006A1316" w:rsidP="006A1316">
      <w:pPr>
        <w:pStyle w:val="Heading1"/>
      </w:pPr>
      <w:bookmarkStart w:id="322" w:name="_Toc196742769"/>
      <w:bookmarkStart w:id="323" w:name="_Toc196826906"/>
      <w:r>
        <w:t>Sport</w:t>
      </w:r>
      <w:bookmarkEnd w:id="322"/>
      <w:bookmarkEnd w:id="323"/>
      <w:r>
        <w:t xml:space="preserve"> </w:t>
      </w:r>
    </w:p>
    <w:p w14:paraId="0D09E485" w14:textId="77777777" w:rsidR="006A1316" w:rsidRDefault="006A1316" w:rsidP="006A1316">
      <w:pPr>
        <w:pStyle w:val="NormalAutoChapter"/>
        <w:tabs>
          <w:tab w:val="clear" w:pos="720"/>
          <w:tab w:val="num" w:pos="1146"/>
        </w:tabs>
      </w:pPr>
      <w:r>
        <w:t xml:space="preserve">The </w:t>
      </w:r>
      <w:r w:rsidRPr="00BC4599">
        <w:t>ADA</w:t>
      </w:r>
      <w:r>
        <w:t xml:space="preserve"> also contains exceptions relating to discrimination in sport. </w:t>
      </w:r>
      <w:r w:rsidRPr="00CF0C2C">
        <w:rPr>
          <w:color w:val="auto"/>
        </w:rPr>
        <w:t xml:space="preserve">These </w:t>
      </w:r>
      <w:r>
        <w:rPr>
          <w:color w:val="auto"/>
        </w:rPr>
        <w:t xml:space="preserve">exceptions </w:t>
      </w:r>
      <w:r w:rsidRPr="00CF0C2C">
        <w:rPr>
          <w:color w:val="auto"/>
        </w:rPr>
        <w:t xml:space="preserve">apply to </w:t>
      </w:r>
      <w:r>
        <w:rPr>
          <w:color w:val="auto"/>
        </w:rPr>
        <w:t>discrimination based on race,</w:t>
      </w:r>
      <w:r w:rsidRPr="00CF0C2C">
        <w:rPr>
          <w:color w:val="auto"/>
        </w:rPr>
        <w:t xml:space="preserve"> </w:t>
      </w:r>
      <w:r>
        <w:t>sex, transgender grounds, disability and age.</w:t>
      </w:r>
      <w:r>
        <w:rPr>
          <w:rStyle w:val="FootnoteReference"/>
        </w:rPr>
        <w:footnoteReference w:id="730"/>
      </w:r>
      <w:r>
        <w:t xml:space="preserve"> Other exceptions may apply if, for example, the sporting organisation is a “voluntary body” (we outline this exception </w:t>
      </w:r>
      <w:r w:rsidRPr="00C0395C">
        <w:t>below</w:t>
      </w:r>
      <w:r>
        <w:t xml:space="preserve">). </w:t>
      </w:r>
    </w:p>
    <w:p w14:paraId="4F907139" w14:textId="77777777" w:rsidR="006A1316" w:rsidRDefault="006A1316" w:rsidP="006A1316">
      <w:pPr>
        <w:pStyle w:val="NormalAutoChapter"/>
        <w:tabs>
          <w:tab w:val="clear" w:pos="720"/>
          <w:tab w:val="num" w:pos="1146"/>
        </w:tabs>
        <w:rPr>
          <w:color w:val="auto"/>
        </w:rPr>
      </w:pPr>
      <w:r>
        <w:rPr>
          <w:color w:val="auto"/>
        </w:rPr>
        <w:t xml:space="preserve">The key issue is whether these exceptions for sport strike an appropriate balance between ensuring sporting competitions remain fair, while protecting the rights to equality and non-discrimination. </w:t>
      </w:r>
    </w:p>
    <w:p w14:paraId="7354664E" w14:textId="77777777" w:rsidR="006A1316" w:rsidRDefault="006A1316" w:rsidP="006A1316">
      <w:pPr>
        <w:pStyle w:val="Heading2"/>
      </w:pPr>
      <w:bookmarkStart w:id="324" w:name="_Toc196742770"/>
      <w:bookmarkStart w:id="325" w:name="_Toc196826907"/>
      <w:r>
        <w:t>Sex discrimination exception</w:t>
      </w:r>
      <w:bookmarkEnd w:id="324"/>
      <w:bookmarkEnd w:id="325"/>
    </w:p>
    <w:p w14:paraId="07E5ACEF" w14:textId="77777777" w:rsidR="006A1316" w:rsidRDefault="006A1316" w:rsidP="006A1316">
      <w:pPr>
        <w:pStyle w:val="NormalAutoChapter"/>
        <w:tabs>
          <w:tab w:val="clear" w:pos="720"/>
          <w:tab w:val="num" w:pos="1146"/>
        </w:tabs>
        <w:rPr>
          <w:lang w:eastAsia="en-US"/>
        </w:rPr>
      </w:pPr>
      <w:r>
        <w:rPr>
          <w:lang w:eastAsia="en-US"/>
        </w:rPr>
        <w:t xml:space="preserve">Under the ADA, </w:t>
      </w:r>
      <w:r w:rsidRPr="00541B9D">
        <w:rPr>
          <w:lang w:eastAsia="en-US"/>
        </w:rPr>
        <w:t>it</w:t>
      </w:r>
      <w:r>
        <w:rPr>
          <w:lang w:eastAsia="en-US"/>
        </w:rPr>
        <w:t xml:space="preserve"> is</w:t>
      </w:r>
      <w:r w:rsidRPr="00541B9D">
        <w:rPr>
          <w:lang w:eastAsia="en-US"/>
        </w:rPr>
        <w:t xml:space="preserve"> lawful to exclude people </w:t>
      </w:r>
      <w:r>
        <w:rPr>
          <w:lang w:eastAsia="en-US"/>
        </w:rPr>
        <w:t>of</w:t>
      </w:r>
      <w:r w:rsidRPr="00541B9D">
        <w:rPr>
          <w:lang w:eastAsia="en-US"/>
        </w:rPr>
        <w:t xml:space="preserve"> one sex from participating </w:t>
      </w:r>
      <w:r>
        <w:rPr>
          <w:lang w:eastAsia="en-US"/>
        </w:rPr>
        <w:t xml:space="preserve">in </w:t>
      </w:r>
      <w:r w:rsidRPr="00541B9D">
        <w:rPr>
          <w:lang w:eastAsia="en-US"/>
        </w:rPr>
        <w:t>any sporting activity</w:t>
      </w:r>
      <w:r>
        <w:rPr>
          <w:lang w:eastAsia="en-US"/>
        </w:rPr>
        <w:t>.</w:t>
      </w:r>
      <w:r w:rsidRPr="00541B9D">
        <w:rPr>
          <w:lang w:eastAsia="en-US"/>
        </w:rPr>
        <w:t xml:space="preserve"> </w:t>
      </w:r>
      <w:r>
        <w:rPr>
          <w:lang w:eastAsia="en-US"/>
        </w:rPr>
        <w:t>The exception does not include coaching or administration.</w:t>
      </w:r>
      <w:r>
        <w:rPr>
          <w:rStyle w:val="FootnoteReference"/>
          <w:lang w:eastAsia="en-US"/>
        </w:rPr>
        <w:footnoteReference w:id="731"/>
      </w:r>
      <w:r>
        <w:rPr>
          <w:lang w:eastAsia="en-US"/>
        </w:rPr>
        <w:t xml:space="preserve"> </w:t>
      </w:r>
    </w:p>
    <w:p w14:paraId="11280433" w14:textId="77777777" w:rsidR="006A1316" w:rsidRDefault="006A1316" w:rsidP="006A1316">
      <w:pPr>
        <w:pStyle w:val="NormalAutoChapter"/>
        <w:tabs>
          <w:tab w:val="clear" w:pos="720"/>
          <w:tab w:val="num" w:pos="1146"/>
        </w:tabs>
        <w:rPr>
          <w:lang w:eastAsia="en-US"/>
        </w:rPr>
      </w:pPr>
      <w:r>
        <w:rPr>
          <w:lang w:eastAsia="en-US"/>
        </w:rPr>
        <w:t>Other discrimination laws have more limited exceptions for sex discrimination in sport, which only apply:</w:t>
      </w:r>
    </w:p>
    <w:p w14:paraId="4735D4EB" w14:textId="77777777" w:rsidR="006A1316" w:rsidRDefault="006A1316" w:rsidP="006A1316">
      <w:pPr>
        <w:pStyle w:val="Normalbullet"/>
      </w:pPr>
      <w:r>
        <w:lastRenderedPageBreak/>
        <w:t>to competitive sporting activities</w:t>
      </w:r>
      <w:r>
        <w:rPr>
          <w:rStyle w:val="FootnoteReference"/>
        </w:rPr>
        <w:footnoteReference w:id="732"/>
      </w:r>
    </w:p>
    <w:p w14:paraId="773624A4" w14:textId="77777777" w:rsidR="006A1316" w:rsidRDefault="006A1316" w:rsidP="006A1316">
      <w:pPr>
        <w:pStyle w:val="Normalbullet"/>
      </w:pPr>
      <w:r>
        <w:t>where the strength, stamina or physique of competitors is relevant to the activity</w:t>
      </w:r>
      <w:r>
        <w:rPr>
          <w:rStyle w:val="FootnoteReference"/>
        </w:rPr>
        <w:footnoteReference w:id="733"/>
      </w:r>
    </w:p>
    <w:p w14:paraId="7328AFA5" w14:textId="77777777" w:rsidR="006A1316" w:rsidRDefault="006A1316" w:rsidP="006A1316">
      <w:pPr>
        <w:pStyle w:val="Normalbullet"/>
      </w:pPr>
      <w:r>
        <w:t>to people over the age of 12,</w:t>
      </w:r>
      <w:r>
        <w:rPr>
          <w:rStyle w:val="FootnoteReference"/>
        </w:rPr>
        <w:footnoteReference w:id="734"/>
      </w:r>
      <w:r>
        <w:t xml:space="preserve"> and</w:t>
      </w:r>
    </w:p>
    <w:p w14:paraId="7AE747BF" w14:textId="77777777" w:rsidR="006A1316" w:rsidRDefault="006A1316" w:rsidP="006A1316">
      <w:pPr>
        <w:pStyle w:val="Normalbullet"/>
      </w:pPr>
      <w:r>
        <w:t>where the restriction is reasonable or “reasonable, proportionate and justifiable in the circumstances”.</w:t>
      </w:r>
      <w:r>
        <w:rPr>
          <w:rStyle w:val="FootnoteReference"/>
        </w:rPr>
        <w:footnoteReference w:id="735"/>
      </w:r>
    </w:p>
    <w:p w14:paraId="15B85F81" w14:textId="77777777" w:rsidR="006A1316" w:rsidRDefault="006A1316" w:rsidP="006A1316">
      <w:pPr>
        <w:pStyle w:val="NormalAutoChapter"/>
        <w:tabs>
          <w:tab w:val="clear" w:pos="720"/>
          <w:tab w:val="num" w:pos="1146"/>
        </w:tabs>
        <w:rPr>
          <w:color w:val="auto"/>
          <w:lang w:eastAsia="en-US"/>
        </w:rPr>
      </w:pPr>
      <w:r>
        <w:rPr>
          <w:color w:val="auto"/>
          <w:lang w:eastAsia="en-US"/>
        </w:rPr>
        <w:t xml:space="preserve">The exception in the </w:t>
      </w:r>
      <w:r>
        <w:rPr>
          <w:i/>
          <w:iCs/>
          <w:color w:val="auto"/>
          <w:lang w:eastAsia="en-US"/>
        </w:rPr>
        <w:t xml:space="preserve">Sex Discrimination Act </w:t>
      </w:r>
      <w:r>
        <w:rPr>
          <w:color w:val="auto"/>
          <w:lang w:eastAsia="en-US"/>
        </w:rPr>
        <w:t>contains some of these safeguards. It allows someone to be excluded from participating in a competitive sporting activity because of their sex</w:t>
      </w:r>
      <w:r w:rsidRPr="001F2D8C">
        <w:rPr>
          <w:rFonts w:ascii="Public Sans Light" w:hAnsi="Public Sans Light" w:cs="Times New Roman"/>
          <w:szCs w:val="22"/>
          <w:lang w:eastAsia="en-US"/>
        </w:rPr>
        <w:t xml:space="preserve"> </w:t>
      </w:r>
      <w:r>
        <w:rPr>
          <w:rFonts w:ascii="Public Sans Light" w:hAnsi="Public Sans Light" w:cs="Times New Roman"/>
          <w:szCs w:val="22"/>
          <w:lang w:eastAsia="en-US"/>
        </w:rPr>
        <w:t xml:space="preserve">if the </w:t>
      </w:r>
      <w:r w:rsidRPr="001F2D8C">
        <w:rPr>
          <w:color w:val="auto"/>
          <w:lang w:eastAsia="en-US"/>
        </w:rPr>
        <w:t>strength, stamina or physique of competitors is relevant</w:t>
      </w:r>
      <w:r>
        <w:rPr>
          <w:color w:val="auto"/>
          <w:lang w:eastAsia="en-US"/>
        </w:rPr>
        <w:t>. This does not apply to sporting activities for children under the age of 12.</w:t>
      </w:r>
      <w:r>
        <w:rPr>
          <w:rStyle w:val="FootnoteReference"/>
          <w:color w:val="auto"/>
          <w:lang w:eastAsia="en-US"/>
        </w:rPr>
        <w:footnoteReference w:id="736"/>
      </w:r>
    </w:p>
    <w:p w14:paraId="5D3487BE" w14:textId="77777777" w:rsidR="006A1316" w:rsidRPr="00260716" w:rsidRDefault="006A1316" w:rsidP="006A1316">
      <w:pPr>
        <w:pStyle w:val="NormalAutoChapter"/>
        <w:tabs>
          <w:tab w:val="clear" w:pos="720"/>
          <w:tab w:val="num" w:pos="1146"/>
        </w:tabs>
        <w:rPr>
          <w:color w:val="auto"/>
          <w:lang w:eastAsia="en-US"/>
        </w:rPr>
      </w:pPr>
      <w:r w:rsidRPr="00260716">
        <w:rPr>
          <w:color w:val="auto"/>
          <w:lang w:eastAsia="en-US"/>
        </w:rPr>
        <w:t>In 1999</w:t>
      </w:r>
      <w:r>
        <w:rPr>
          <w:color w:val="auto"/>
          <w:lang w:eastAsia="en-US"/>
        </w:rPr>
        <w:t>,</w:t>
      </w:r>
      <w:r w:rsidRPr="00260716">
        <w:rPr>
          <w:color w:val="auto"/>
          <w:lang w:eastAsia="en-US"/>
        </w:rPr>
        <w:t xml:space="preserve"> the NSWLRC recommended narrowing the exception </w:t>
      </w:r>
      <w:r>
        <w:rPr>
          <w:color w:val="auto"/>
          <w:lang w:eastAsia="en-US"/>
        </w:rPr>
        <w:t xml:space="preserve">to include criteria relating to </w:t>
      </w:r>
      <w:r w:rsidRPr="00260716">
        <w:rPr>
          <w:color w:val="auto"/>
          <w:lang w:eastAsia="en-US"/>
        </w:rPr>
        <w:t xml:space="preserve">strength, stamina and physique. </w:t>
      </w:r>
      <w:r>
        <w:rPr>
          <w:color w:val="auto"/>
          <w:lang w:eastAsia="en-US"/>
        </w:rPr>
        <w:t>But it</w:t>
      </w:r>
      <w:r w:rsidRPr="00260716">
        <w:rPr>
          <w:color w:val="auto"/>
          <w:lang w:eastAsia="en-US"/>
        </w:rPr>
        <w:t xml:space="preserve"> </w:t>
      </w:r>
      <w:r>
        <w:rPr>
          <w:color w:val="auto"/>
          <w:lang w:eastAsia="en-US"/>
        </w:rPr>
        <w:t xml:space="preserve">thought </w:t>
      </w:r>
      <w:r w:rsidRPr="00260716">
        <w:rPr>
          <w:color w:val="auto"/>
          <w:lang w:eastAsia="en-US"/>
        </w:rPr>
        <w:t>the exception should continue to apply to children under the age of 12</w:t>
      </w:r>
      <w:r>
        <w:rPr>
          <w:color w:val="auto"/>
          <w:lang w:eastAsia="en-US"/>
        </w:rPr>
        <w:t xml:space="preserve">. Its view was </w:t>
      </w:r>
      <w:r w:rsidRPr="00260716">
        <w:rPr>
          <w:color w:val="auto"/>
          <w:lang w:eastAsia="en-US"/>
        </w:rPr>
        <w:t>there could still be sex</w:t>
      </w:r>
      <w:r>
        <w:rPr>
          <w:color w:val="auto"/>
          <w:lang w:eastAsia="en-US"/>
        </w:rPr>
        <w:t>-</w:t>
      </w:r>
      <w:r w:rsidRPr="00260716">
        <w:rPr>
          <w:color w:val="auto"/>
          <w:lang w:eastAsia="en-US"/>
        </w:rPr>
        <w:t>based differences in strength, stamina and physique in young children.</w:t>
      </w:r>
      <w:r w:rsidRPr="00260716">
        <w:rPr>
          <w:rStyle w:val="FootnoteReference"/>
          <w:color w:val="auto"/>
          <w:lang w:eastAsia="en-US"/>
        </w:rPr>
        <w:footnoteReference w:id="737"/>
      </w:r>
    </w:p>
    <w:p w14:paraId="4348607C" w14:textId="77777777" w:rsidR="006A1316" w:rsidRDefault="006A1316" w:rsidP="006A1316">
      <w:pPr>
        <w:pStyle w:val="Heading2"/>
      </w:pPr>
      <w:bookmarkStart w:id="326" w:name="_Toc196742771"/>
      <w:bookmarkStart w:id="327" w:name="_Toc196826908"/>
      <w:r>
        <w:t>Transgender discrimination and vilification exception</w:t>
      </w:r>
      <w:bookmarkEnd w:id="326"/>
      <w:bookmarkEnd w:id="327"/>
    </w:p>
    <w:p w14:paraId="4AAA546E" w14:textId="77777777" w:rsidR="006A1316" w:rsidRDefault="006A1316" w:rsidP="006A1316">
      <w:pPr>
        <w:pStyle w:val="NormalAutoChapter"/>
        <w:tabs>
          <w:tab w:val="clear" w:pos="720"/>
          <w:tab w:val="num" w:pos="1146"/>
        </w:tabs>
      </w:pPr>
      <w:r>
        <w:t xml:space="preserve">Another exception permits the exclusion of a transgender person from sporting activities, other than coaching or administration, “for members of the sex with which the transgender person identifies”. The exception applies to the protections against discrimination and transgender </w:t>
      </w:r>
      <w:r w:rsidRPr="004B0633">
        <w:t>vilification.</w:t>
      </w:r>
      <w:r>
        <w:rPr>
          <w:rStyle w:val="FootnoteReference"/>
        </w:rPr>
        <w:footnoteReference w:id="738"/>
      </w:r>
      <w:r>
        <w:t xml:space="preserve"> </w:t>
      </w:r>
    </w:p>
    <w:p w14:paraId="0375E292" w14:textId="77777777" w:rsidR="006A1316" w:rsidRPr="005C698D" w:rsidRDefault="006A1316" w:rsidP="006A1316">
      <w:pPr>
        <w:pStyle w:val="NormalAutoChapter"/>
        <w:tabs>
          <w:tab w:val="clear" w:pos="720"/>
          <w:tab w:val="num" w:pos="1146"/>
        </w:tabs>
        <w:rPr>
          <w:lang w:eastAsia="en-US"/>
        </w:rPr>
      </w:pPr>
      <w:r>
        <w:lastRenderedPageBreak/>
        <w:t>One view is that this exception is necessary to ensure that women’s sport is kept fair and safe.</w:t>
      </w:r>
      <w:r>
        <w:rPr>
          <w:rStyle w:val="FootnoteReference"/>
        </w:rPr>
        <w:footnoteReference w:id="739"/>
      </w:r>
      <w:r>
        <w:rPr>
          <w:lang w:eastAsia="en-US"/>
        </w:rPr>
        <w:t xml:space="preserve"> Others think the exception is too broad</w:t>
      </w:r>
      <w:r w:rsidRPr="000D12FD">
        <w:rPr>
          <w:color w:val="auto"/>
          <w:lang w:eastAsia="en-US"/>
        </w:rPr>
        <w:t>.</w:t>
      </w:r>
      <w:r w:rsidRPr="001C597C">
        <w:rPr>
          <w:rStyle w:val="FootnoteReference"/>
          <w:color w:val="auto"/>
        </w:rPr>
        <w:footnoteReference w:id="740"/>
      </w:r>
      <w:r w:rsidRPr="000D12FD">
        <w:rPr>
          <w:color w:val="auto"/>
          <w:lang w:eastAsia="en-US"/>
        </w:rPr>
        <w:t xml:space="preserve"> </w:t>
      </w:r>
      <w:r>
        <w:rPr>
          <w:color w:val="auto"/>
          <w:lang w:eastAsia="en-US"/>
        </w:rPr>
        <w:t xml:space="preserve">Some highlight that </w:t>
      </w:r>
      <w:r w:rsidRPr="000D12FD">
        <w:rPr>
          <w:color w:val="auto"/>
          <w:lang w:eastAsia="en-US"/>
        </w:rPr>
        <w:t>ban</w:t>
      </w:r>
      <w:r>
        <w:rPr>
          <w:color w:val="auto"/>
          <w:lang w:eastAsia="en-US"/>
        </w:rPr>
        <w:t>ning</w:t>
      </w:r>
      <w:r w:rsidRPr="000D12FD">
        <w:rPr>
          <w:color w:val="auto"/>
          <w:lang w:eastAsia="en-US"/>
        </w:rPr>
        <w:t xml:space="preserve"> transgender people </w:t>
      </w:r>
      <w:r>
        <w:rPr>
          <w:color w:val="auto"/>
          <w:lang w:eastAsia="en-US"/>
        </w:rPr>
        <w:t xml:space="preserve">from </w:t>
      </w:r>
      <w:r w:rsidRPr="000D12FD">
        <w:rPr>
          <w:color w:val="auto"/>
          <w:lang w:eastAsia="en-US"/>
        </w:rPr>
        <w:t>participating in sport is stigmatising and damaging to health and wellbeing.</w:t>
      </w:r>
      <w:r w:rsidRPr="001C597C">
        <w:rPr>
          <w:rStyle w:val="FootnoteReference"/>
          <w:color w:val="auto"/>
          <w:lang w:eastAsia="en-US"/>
        </w:rPr>
        <w:footnoteReference w:id="741"/>
      </w:r>
      <w:r w:rsidRPr="000D12FD">
        <w:rPr>
          <w:color w:val="auto"/>
          <w:lang w:eastAsia="en-US"/>
        </w:rPr>
        <w:t xml:space="preserve"> </w:t>
      </w:r>
    </w:p>
    <w:p w14:paraId="5C81B003" w14:textId="77777777" w:rsidR="006A1316" w:rsidRDefault="006A1316" w:rsidP="006A1316">
      <w:pPr>
        <w:pStyle w:val="NormalAutoChapter"/>
        <w:tabs>
          <w:tab w:val="clear" w:pos="720"/>
          <w:tab w:val="num" w:pos="1146"/>
        </w:tabs>
        <w:rPr>
          <w:lang w:eastAsia="en-US"/>
        </w:rPr>
      </w:pPr>
      <w:r>
        <w:rPr>
          <w:lang w:eastAsia="en-US"/>
        </w:rPr>
        <w:t xml:space="preserve">If reform is considered necessary, one option could be to repeal the exception. For example, </w:t>
      </w:r>
      <w:r>
        <w:t>the ACT, NT, Tasmania and South Australia</w:t>
      </w:r>
      <w:r>
        <w:rPr>
          <w:lang w:eastAsia="en-US"/>
        </w:rPr>
        <w:t xml:space="preserve"> </w:t>
      </w:r>
      <w:r>
        <w:t xml:space="preserve">do not provide exceptions to discrimination in sport based on gender identity. </w:t>
      </w:r>
    </w:p>
    <w:p w14:paraId="764A4D09" w14:textId="77777777" w:rsidR="006A1316" w:rsidRPr="008477D6" w:rsidRDefault="006A1316" w:rsidP="006A1316">
      <w:pPr>
        <w:pStyle w:val="NormalAutoChapter"/>
        <w:tabs>
          <w:tab w:val="clear" w:pos="720"/>
          <w:tab w:val="num" w:pos="1146"/>
        </w:tabs>
        <w:rPr>
          <w:lang w:eastAsia="en-US"/>
        </w:rPr>
      </w:pPr>
      <w:r>
        <w:t>Another option could be to retain the exception but make it more targeted. Other discrimination laws have narrower exceptions. For example, some</w:t>
      </w:r>
      <w:r w:rsidRPr="00091D91">
        <w:rPr>
          <w:color w:val="auto"/>
        </w:rPr>
        <w:t>:</w:t>
      </w:r>
    </w:p>
    <w:p w14:paraId="1B7A4C55" w14:textId="77777777" w:rsidR="006A1316" w:rsidRPr="00B87F9D" w:rsidRDefault="006A1316" w:rsidP="006A1316">
      <w:pPr>
        <w:pStyle w:val="Normalbullet"/>
      </w:pPr>
      <w:r w:rsidRPr="00B87F9D">
        <w:t>prohibit discrimination against children under 12 years old</w:t>
      </w:r>
      <w:r>
        <w:rPr>
          <w:rStyle w:val="FootnoteReference"/>
        </w:rPr>
        <w:footnoteReference w:id="742"/>
      </w:r>
    </w:p>
    <w:p w14:paraId="3DCF084F" w14:textId="77777777" w:rsidR="006A1316" w:rsidRPr="00B87F9D" w:rsidRDefault="006A1316" w:rsidP="006A1316">
      <w:pPr>
        <w:pStyle w:val="Normalbullet"/>
      </w:pPr>
      <w:r w:rsidRPr="00B87F9D">
        <w:t xml:space="preserve">limit the </w:t>
      </w:r>
      <w:r>
        <w:t>exception</w:t>
      </w:r>
      <w:r w:rsidRPr="00B87F9D">
        <w:t xml:space="preserve"> to competitive sporting activities</w:t>
      </w:r>
      <w:r>
        <w:rPr>
          <w:rStyle w:val="FootnoteReference"/>
        </w:rPr>
        <w:footnoteReference w:id="743"/>
      </w:r>
    </w:p>
    <w:p w14:paraId="4A7E97B7" w14:textId="77777777" w:rsidR="006A1316" w:rsidRDefault="006A1316" w:rsidP="006A1316">
      <w:pPr>
        <w:pStyle w:val="Normalbullet"/>
      </w:pPr>
      <w:r>
        <w:t>only apply</w:t>
      </w:r>
      <w:r w:rsidRPr="00B87F9D">
        <w:t xml:space="preserve"> to the extent that the</w:t>
      </w:r>
      <w:r>
        <w:t xml:space="preserve"> </w:t>
      </w:r>
      <w:r w:rsidRPr="00B87F9D">
        <w:t>strength, stamina or physique of competitors is relevant</w:t>
      </w:r>
      <w:r>
        <w:t xml:space="preserve"> to the sport (the NSWLRC recommended this also),</w:t>
      </w:r>
      <w:r>
        <w:rPr>
          <w:rStyle w:val="FootnoteReference"/>
        </w:rPr>
        <w:footnoteReference w:id="744"/>
      </w:r>
      <w:r>
        <w:t xml:space="preserve"> and </w:t>
      </w:r>
    </w:p>
    <w:p w14:paraId="758F1939" w14:textId="77777777" w:rsidR="006A1316" w:rsidRPr="00B87F9D" w:rsidRDefault="006A1316" w:rsidP="006A1316">
      <w:pPr>
        <w:pStyle w:val="Normalbullet"/>
      </w:pPr>
      <w:r>
        <w:t xml:space="preserve">provide that </w:t>
      </w:r>
      <w:r w:rsidRPr="00B87F9D">
        <w:t xml:space="preserve">the </w:t>
      </w:r>
      <w:r>
        <w:t>exception</w:t>
      </w:r>
      <w:r w:rsidRPr="00B87F9D">
        <w:t xml:space="preserve"> does not apply to umpiring or refereeing</w:t>
      </w:r>
      <w:r>
        <w:t>.</w:t>
      </w:r>
      <w:r>
        <w:rPr>
          <w:rStyle w:val="FootnoteReference"/>
        </w:rPr>
        <w:footnoteReference w:id="745"/>
      </w:r>
      <w:r>
        <w:t xml:space="preserve"> </w:t>
      </w:r>
    </w:p>
    <w:p w14:paraId="0DC7A66E" w14:textId="77777777" w:rsidR="006A1316" w:rsidRDefault="006A1316" w:rsidP="006A1316">
      <w:pPr>
        <w:pStyle w:val="NormalAutoChapter"/>
        <w:tabs>
          <w:tab w:val="clear" w:pos="720"/>
          <w:tab w:val="num" w:pos="1146"/>
        </w:tabs>
        <w:rPr>
          <w:lang w:eastAsia="en-US"/>
        </w:rPr>
      </w:pPr>
      <w:r>
        <w:t>Another option could be to require that any discrimination against transgender athletes be reasonable and proportionate.</w:t>
      </w:r>
      <w:r>
        <w:rPr>
          <w:rStyle w:val="FootnoteReference"/>
        </w:rPr>
        <w:footnoteReference w:id="746"/>
      </w:r>
    </w:p>
    <w:p w14:paraId="3F489437" w14:textId="77777777" w:rsidR="006A1316" w:rsidRDefault="006A1316" w:rsidP="006A1316">
      <w:pPr>
        <w:pStyle w:val="Heading2"/>
      </w:pPr>
      <w:bookmarkStart w:id="328" w:name="_Toc196742772"/>
      <w:bookmarkStart w:id="329" w:name="_Toc196826909"/>
      <w:r>
        <w:t>Disability discrimination exception</w:t>
      </w:r>
      <w:bookmarkEnd w:id="328"/>
      <w:bookmarkEnd w:id="329"/>
      <w:r>
        <w:t xml:space="preserve"> </w:t>
      </w:r>
    </w:p>
    <w:p w14:paraId="5E6ADC0B" w14:textId="77777777" w:rsidR="006A1316" w:rsidRDefault="006A1316" w:rsidP="006A1316">
      <w:pPr>
        <w:pStyle w:val="NormalAutoChapter"/>
        <w:tabs>
          <w:tab w:val="clear" w:pos="720"/>
          <w:tab w:val="num" w:pos="1146"/>
        </w:tabs>
        <w:rPr>
          <w:lang w:eastAsia="en-US"/>
        </w:rPr>
      </w:pPr>
      <w:r>
        <w:rPr>
          <w:lang w:eastAsia="en-US"/>
        </w:rPr>
        <w:t>Another exception allows the exclusion of people with disability from a sporting activity, if:</w:t>
      </w:r>
    </w:p>
    <w:p w14:paraId="44887893" w14:textId="77777777" w:rsidR="006A1316" w:rsidRDefault="006A1316" w:rsidP="006A1316">
      <w:pPr>
        <w:pStyle w:val="Normalbullet"/>
      </w:pPr>
      <w:r>
        <w:t xml:space="preserve">they are not reasonably capable of performing the actions reasonably required </w:t>
      </w:r>
    </w:p>
    <w:p w14:paraId="42866C6E" w14:textId="77777777" w:rsidR="006A1316" w:rsidRDefault="006A1316" w:rsidP="006A1316">
      <w:pPr>
        <w:pStyle w:val="Normalbullet"/>
      </w:pPr>
      <w:r>
        <w:lastRenderedPageBreak/>
        <w:t>selection for participation in the sporting activity is done in a reasonable way, based on skills and abilities relevant to the sporting activity and relative to other participants, or</w:t>
      </w:r>
    </w:p>
    <w:p w14:paraId="39FA8750" w14:textId="77777777" w:rsidR="006A1316" w:rsidRDefault="006A1316" w:rsidP="006A1316">
      <w:pPr>
        <w:pStyle w:val="Normalbullet"/>
      </w:pPr>
      <w:r>
        <w:t>the sporting activity is conducted for people with a particular disability and the person does not have that disability.</w:t>
      </w:r>
      <w:r>
        <w:rPr>
          <w:rStyle w:val="FootnoteReference"/>
        </w:rPr>
        <w:footnoteReference w:id="747"/>
      </w:r>
    </w:p>
    <w:p w14:paraId="5B25C940" w14:textId="77777777" w:rsidR="006A1316" w:rsidRPr="005C17EF" w:rsidRDefault="006A1316" w:rsidP="006A1316">
      <w:pPr>
        <w:pStyle w:val="NormalAutoChapter"/>
        <w:tabs>
          <w:tab w:val="clear" w:pos="720"/>
          <w:tab w:val="num" w:pos="1146"/>
        </w:tabs>
        <w:rPr>
          <w:color w:val="auto"/>
        </w:rPr>
      </w:pPr>
      <w:r w:rsidRPr="005C17EF">
        <w:rPr>
          <w:color w:val="auto"/>
        </w:rPr>
        <w:t xml:space="preserve">There is a similar exception in the </w:t>
      </w:r>
      <w:r w:rsidRPr="005C17EF">
        <w:rPr>
          <w:i/>
          <w:iCs/>
          <w:color w:val="auto"/>
        </w:rPr>
        <w:t>Disability Discrimination Act</w:t>
      </w:r>
      <w:r>
        <w:rPr>
          <w:i/>
          <w:iCs/>
          <w:color w:val="auto"/>
        </w:rPr>
        <w:t xml:space="preserve"> 1992 </w:t>
      </w:r>
      <w:r w:rsidRPr="00F53215">
        <w:rPr>
          <w:color w:val="auto"/>
        </w:rPr>
        <w:t>(Cth)</w:t>
      </w:r>
      <w:r w:rsidRPr="005C17EF">
        <w:rPr>
          <w:color w:val="auto"/>
        </w:rPr>
        <w:t>.</w:t>
      </w:r>
      <w:r>
        <w:rPr>
          <w:rStyle w:val="FootnoteReference"/>
          <w:color w:val="auto"/>
        </w:rPr>
        <w:footnoteReference w:id="748"/>
      </w:r>
      <w:r w:rsidRPr="005C17EF">
        <w:rPr>
          <w:color w:val="auto"/>
        </w:rPr>
        <w:t xml:space="preserve"> All</w:t>
      </w:r>
      <w:r w:rsidRPr="002009A2">
        <w:t xml:space="preserve"> other</w:t>
      </w:r>
      <w:r>
        <w:t xml:space="preserve"> states and territories also have exceptions that allow the exclusion of people with disability from sporting activities in some cases.</w:t>
      </w:r>
      <w:r>
        <w:rPr>
          <w:rStyle w:val="FootnoteReference"/>
        </w:rPr>
        <w:footnoteReference w:id="749"/>
      </w:r>
      <w:r>
        <w:t xml:space="preserve"> However, some states and territories:</w:t>
      </w:r>
    </w:p>
    <w:p w14:paraId="53A67723" w14:textId="77777777" w:rsidR="006A1316" w:rsidRDefault="006A1316" w:rsidP="006A1316">
      <w:pPr>
        <w:pStyle w:val="Normalbullet"/>
      </w:pPr>
      <w:r>
        <w:t>limit the exception to competitive sporting activities</w:t>
      </w:r>
      <w:r>
        <w:rPr>
          <w:rStyle w:val="FootnoteReference"/>
        </w:rPr>
        <w:footnoteReference w:id="750"/>
      </w:r>
      <w:r>
        <w:t xml:space="preserve"> </w:t>
      </w:r>
    </w:p>
    <w:p w14:paraId="34356038" w14:textId="77777777" w:rsidR="006A1316" w:rsidRDefault="006A1316" w:rsidP="006A1316">
      <w:pPr>
        <w:pStyle w:val="Normalbullet"/>
      </w:pPr>
      <w:r>
        <w:t>require that discrimination is reasonable, proportionate and justifiable,</w:t>
      </w:r>
      <w:r>
        <w:rPr>
          <w:rStyle w:val="FootnoteReference"/>
        </w:rPr>
        <w:footnoteReference w:id="751"/>
      </w:r>
      <w:r>
        <w:t xml:space="preserve"> and </w:t>
      </w:r>
    </w:p>
    <w:p w14:paraId="7EB90A66" w14:textId="77777777" w:rsidR="006A1316" w:rsidRPr="00441303" w:rsidRDefault="006A1316" w:rsidP="006A1316">
      <w:pPr>
        <w:pStyle w:val="Normalbullet"/>
      </w:pPr>
      <w:r>
        <w:t>clearly exclude coaching, administration and umpiring of sporting activities.</w:t>
      </w:r>
      <w:r>
        <w:rPr>
          <w:rStyle w:val="FootnoteReference"/>
        </w:rPr>
        <w:footnoteReference w:id="752"/>
      </w:r>
    </w:p>
    <w:p w14:paraId="1BD0E4E4" w14:textId="77777777" w:rsidR="006A1316" w:rsidRPr="00E45D30" w:rsidRDefault="006A1316" w:rsidP="006A1316">
      <w:pPr>
        <w:pStyle w:val="NormalAutoChapter"/>
        <w:tabs>
          <w:tab w:val="clear" w:pos="720"/>
          <w:tab w:val="num" w:pos="1146"/>
        </w:tabs>
        <w:rPr>
          <w:color w:val="auto"/>
        </w:rPr>
      </w:pPr>
      <w:r>
        <w:rPr>
          <w:color w:val="auto"/>
        </w:rPr>
        <w:t>In 1999,</w:t>
      </w:r>
      <w:r w:rsidRPr="00E45D30">
        <w:rPr>
          <w:color w:val="auto"/>
        </w:rPr>
        <w:t xml:space="preserve"> the </w:t>
      </w:r>
      <w:r>
        <w:rPr>
          <w:color w:val="auto"/>
        </w:rPr>
        <w:t xml:space="preserve">NSWLRC </w:t>
      </w:r>
      <w:r w:rsidRPr="00E45D30">
        <w:rPr>
          <w:color w:val="auto"/>
        </w:rPr>
        <w:t xml:space="preserve">recommended repealing </w:t>
      </w:r>
      <w:r>
        <w:rPr>
          <w:color w:val="auto"/>
        </w:rPr>
        <w:t>this exception.</w:t>
      </w:r>
      <w:r w:rsidRPr="00E45D30">
        <w:rPr>
          <w:color w:val="auto"/>
        </w:rPr>
        <w:t xml:space="preserve"> </w:t>
      </w:r>
      <w:r>
        <w:rPr>
          <w:color w:val="auto"/>
        </w:rPr>
        <w:t xml:space="preserve">It noted that sport is not a protected area under the ADA, such that </w:t>
      </w:r>
      <w:r w:rsidRPr="00E45D30">
        <w:rPr>
          <w:color w:val="auto"/>
        </w:rPr>
        <w:t>this section was unnecessary.</w:t>
      </w:r>
      <w:r w:rsidRPr="00E45D30">
        <w:rPr>
          <w:rStyle w:val="FootnoteReference"/>
          <w:color w:val="auto"/>
        </w:rPr>
        <w:footnoteReference w:id="753"/>
      </w:r>
      <w:r w:rsidRPr="00E45D30">
        <w:rPr>
          <w:color w:val="auto"/>
        </w:rPr>
        <w:t xml:space="preserve"> </w:t>
      </w:r>
      <w:r>
        <w:rPr>
          <w:color w:val="auto"/>
        </w:rPr>
        <w:t>However, this is arguably inconsistent with its recommendations to retain the other sport-related exceptions.</w:t>
      </w:r>
    </w:p>
    <w:p w14:paraId="37E9BFCB" w14:textId="77777777" w:rsidR="006A1316" w:rsidRDefault="006A1316" w:rsidP="006A1316">
      <w:pPr>
        <w:pStyle w:val="Heading2"/>
      </w:pPr>
      <w:bookmarkStart w:id="330" w:name="_Toc196742773"/>
      <w:bookmarkStart w:id="331" w:name="_Toc196826910"/>
      <w:r>
        <w:t>Age discrimination exception</w:t>
      </w:r>
      <w:bookmarkEnd w:id="330"/>
      <w:bookmarkEnd w:id="331"/>
      <w:r>
        <w:t xml:space="preserve"> </w:t>
      </w:r>
    </w:p>
    <w:p w14:paraId="1D6F94BB" w14:textId="77777777" w:rsidR="006A1316" w:rsidRDefault="006A1316" w:rsidP="006A1316">
      <w:pPr>
        <w:pStyle w:val="NormalAutoChapter"/>
        <w:tabs>
          <w:tab w:val="clear" w:pos="720"/>
          <w:tab w:val="num" w:pos="1146"/>
        </w:tabs>
        <w:rPr>
          <w:lang w:eastAsia="en-US"/>
        </w:rPr>
      </w:pPr>
      <w:r>
        <w:rPr>
          <w:lang w:eastAsia="en-US"/>
        </w:rPr>
        <w:t xml:space="preserve">The ADA also makes it lawful to exclude people of </w:t>
      </w:r>
      <w:proofErr w:type="gramStart"/>
      <w:r>
        <w:rPr>
          <w:lang w:eastAsia="en-US"/>
        </w:rPr>
        <w:t>particular ages</w:t>
      </w:r>
      <w:proofErr w:type="gramEnd"/>
      <w:r>
        <w:rPr>
          <w:lang w:eastAsia="en-US"/>
        </w:rPr>
        <w:t xml:space="preserve"> from participating in any sporting activity, other than coaching or administration.</w:t>
      </w:r>
      <w:r>
        <w:rPr>
          <w:rStyle w:val="FootnoteReference"/>
          <w:lang w:eastAsia="en-US"/>
        </w:rPr>
        <w:footnoteReference w:id="754"/>
      </w:r>
      <w:r>
        <w:rPr>
          <w:lang w:eastAsia="en-US"/>
        </w:rPr>
        <w:t xml:space="preserve"> </w:t>
      </w:r>
    </w:p>
    <w:p w14:paraId="5CA9966F" w14:textId="77777777" w:rsidR="006A1316" w:rsidRDefault="006A1316" w:rsidP="006A1316">
      <w:pPr>
        <w:pStyle w:val="NormalAutoChapter"/>
        <w:tabs>
          <w:tab w:val="clear" w:pos="720"/>
          <w:tab w:val="num" w:pos="1146"/>
        </w:tabs>
        <w:rPr>
          <w:lang w:eastAsia="en-US"/>
        </w:rPr>
      </w:pPr>
      <w:r w:rsidRPr="007708AF">
        <w:rPr>
          <w:lang w:eastAsia="en-US"/>
        </w:rPr>
        <w:t xml:space="preserve">There is </w:t>
      </w:r>
      <w:r>
        <w:rPr>
          <w:lang w:eastAsia="en-US"/>
        </w:rPr>
        <w:t xml:space="preserve">no </w:t>
      </w:r>
      <w:r w:rsidRPr="007708AF">
        <w:rPr>
          <w:lang w:eastAsia="en-US"/>
        </w:rPr>
        <w:t xml:space="preserve">sport exception in the </w:t>
      </w:r>
      <w:r w:rsidRPr="00C171E4">
        <w:rPr>
          <w:i/>
          <w:iCs/>
          <w:lang w:eastAsia="en-US"/>
        </w:rPr>
        <w:t>Age Discrimination Act</w:t>
      </w:r>
      <w:r>
        <w:rPr>
          <w:i/>
          <w:iCs/>
          <w:lang w:eastAsia="en-US"/>
        </w:rPr>
        <w:t xml:space="preserve"> 2004 </w:t>
      </w:r>
      <w:r w:rsidRPr="00F53215">
        <w:rPr>
          <w:lang w:eastAsia="en-US"/>
        </w:rPr>
        <w:t>(Cth)</w:t>
      </w:r>
      <w:r w:rsidRPr="0034493F">
        <w:rPr>
          <w:lang w:eastAsia="en-US"/>
        </w:rPr>
        <w:t>,</w:t>
      </w:r>
      <w:r w:rsidRPr="007708AF">
        <w:rPr>
          <w:lang w:eastAsia="en-US"/>
        </w:rPr>
        <w:t xml:space="preserve"> but </w:t>
      </w:r>
      <w:r>
        <w:rPr>
          <w:lang w:eastAsia="en-US"/>
        </w:rPr>
        <w:t>o</w:t>
      </w:r>
      <w:r w:rsidRPr="007708AF">
        <w:rPr>
          <w:lang w:eastAsia="en-US"/>
        </w:rPr>
        <w:t xml:space="preserve">ther states and territories permit discrimination in sport </w:t>
      </w:r>
      <w:r>
        <w:rPr>
          <w:lang w:eastAsia="en-US"/>
        </w:rPr>
        <w:t>based on ag</w:t>
      </w:r>
      <w:r w:rsidRPr="007708AF">
        <w:rPr>
          <w:lang w:eastAsia="en-US"/>
        </w:rPr>
        <w:t>e.</w:t>
      </w:r>
      <w:r>
        <w:rPr>
          <w:rStyle w:val="FootnoteReference"/>
          <w:lang w:eastAsia="en-US"/>
        </w:rPr>
        <w:footnoteReference w:id="755"/>
      </w:r>
      <w:r>
        <w:rPr>
          <w:lang w:eastAsia="en-US"/>
        </w:rPr>
        <w:t xml:space="preserve"> Their </w:t>
      </w:r>
      <w:r>
        <w:rPr>
          <w:lang w:eastAsia="en-US"/>
        </w:rPr>
        <w:lastRenderedPageBreak/>
        <w:t xml:space="preserve">exceptions are often narrower than in the </w:t>
      </w:r>
      <w:r w:rsidRPr="00E951BC">
        <w:rPr>
          <w:lang w:eastAsia="en-US"/>
        </w:rPr>
        <w:t>ADA</w:t>
      </w:r>
      <w:r>
        <w:rPr>
          <w:lang w:eastAsia="en-US"/>
        </w:rPr>
        <w:t>, as they only apply to competitive sport.</w:t>
      </w:r>
      <w:r>
        <w:rPr>
          <w:rStyle w:val="FootnoteReference"/>
          <w:lang w:eastAsia="en-US"/>
        </w:rPr>
        <w:footnoteReference w:id="756"/>
      </w:r>
    </w:p>
    <w:p w14:paraId="70FD0B9E" w14:textId="77777777" w:rsidR="006A1316" w:rsidRDefault="006A1316" w:rsidP="006A1316">
      <w:pPr>
        <w:pStyle w:val="NormalAutoChapter"/>
        <w:tabs>
          <w:tab w:val="clear" w:pos="720"/>
          <w:tab w:val="num" w:pos="1146"/>
        </w:tabs>
        <w:rPr>
          <w:lang w:eastAsia="en-US"/>
        </w:rPr>
      </w:pPr>
      <w:r>
        <w:rPr>
          <w:lang w:eastAsia="en-US"/>
        </w:rPr>
        <w:t xml:space="preserve">In 1999, the NSWLRC recommended narrowing the exception to only apply to </w:t>
      </w:r>
      <w:r w:rsidRPr="0023593E">
        <w:rPr>
          <w:lang w:eastAsia="en-US"/>
        </w:rPr>
        <w:t>competitive sporting activities where the strength, stamina or physique of the competitors is relevant.</w:t>
      </w:r>
      <w:r>
        <w:rPr>
          <w:lang w:eastAsia="en-US"/>
        </w:rPr>
        <w:t xml:space="preserve"> It considered that age distinctions can be arbitrary and may not reflect the level of skill or ability.</w:t>
      </w:r>
      <w:r>
        <w:rPr>
          <w:rStyle w:val="FootnoteReference"/>
          <w:lang w:eastAsia="en-US"/>
        </w:rPr>
        <w:footnoteReference w:id="757"/>
      </w:r>
    </w:p>
    <w:p w14:paraId="36B3B0CC" w14:textId="77777777" w:rsidR="006A1316" w:rsidRDefault="006A1316" w:rsidP="006A1316">
      <w:pPr>
        <w:pStyle w:val="Heading2"/>
      </w:pPr>
      <w:bookmarkStart w:id="332" w:name="_Toc196742774"/>
      <w:bookmarkStart w:id="333" w:name="_Toc196826911"/>
      <w:r>
        <w:t>Racial discrimination and vilification exception</w:t>
      </w:r>
      <w:bookmarkEnd w:id="332"/>
      <w:bookmarkEnd w:id="333"/>
      <w:r>
        <w:t xml:space="preserve"> </w:t>
      </w:r>
    </w:p>
    <w:p w14:paraId="26925A74" w14:textId="77777777" w:rsidR="006A1316" w:rsidRDefault="006A1316" w:rsidP="006A1316">
      <w:pPr>
        <w:pStyle w:val="NormalAutoChapter"/>
        <w:tabs>
          <w:tab w:val="clear" w:pos="720"/>
          <w:tab w:val="num" w:pos="1146"/>
        </w:tabs>
        <w:rPr>
          <w:lang w:eastAsia="en-US"/>
        </w:rPr>
      </w:pPr>
      <w:r>
        <w:rPr>
          <w:lang w:eastAsia="en-US"/>
        </w:rPr>
        <w:t>The ADA also permits discriminatio</w:t>
      </w:r>
      <w:r w:rsidRPr="006964F8">
        <w:rPr>
          <w:lang w:eastAsia="en-US"/>
        </w:rPr>
        <w:t>n and vilificatio</w:t>
      </w:r>
      <w:r>
        <w:rPr>
          <w:lang w:eastAsia="en-US"/>
        </w:rPr>
        <w:t xml:space="preserve">n </w:t>
      </w:r>
      <w:r w:rsidRPr="006964F8">
        <w:rPr>
          <w:lang w:eastAsia="en-US"/>
        </w:rPr>
        <w:t>based</w:t>
      </w:r>
      <w:r>
        <w:rPr>
          <w:lang w:eastAsia="en-US"/>
        </w:rPr>
        <w:t xml:space="preserve"> on </w:t>
      </w:r>
      <w:r>
        <w:t>nationality, place of birth or length of residence in</w:t>
      </w:r>
      <w:r>
        <w:rPr>
          <w:lang w:eastAsia="en-US"/>
        </w:rPr>
        <w:t>:</w:t>
      </w:r>
    </w:p>
    <w:p w14:paraId="57A4CD89" w14:textId="77777777" w:rsidR="006A1316" w:rsidRDefault="006A1316" w:rsidP="006A1316">
      <w:pPr>
        <w:pStyle w:val="Normalbullet"/>
      </w:pPr>
      <w:r>
        <w:t>selecting people to represent a place in any sport or game, or</w:t>
      </w:r>
    </w:p>
    <w:p w14:paraId="686DDFDA" w14:textId="77777777" w:rsidR="006A1316" w:rsidRDefault="006A1316" w:rsidP="006A1316">
      <w:pPr>
        <w:pStyle w:val="Normalbullet"/>
      </w:pPr>
      <w:r>
        <w:t>the eligibility to compete, under the rules of any competition, in a sport or game.</w:t>
      </w:r>
      <w:r>
        <w:rPr>
          <w:rStyle w:val="FootnoteReference"/>
        </w:rPr>
        <w:footnoteReference w:id="758"/>
      </w:r>
    </w:p>
    <w:p w14:paraId="5A319B4A" w14:textId="77777777" w:rsidR="006A1316" w:rsidRDefault="006A1316" w:rsidP="006A1316">
      <w:pPr>
        <w:pStyle w:val="NormalAutoChapter"/>
        <w:tabs>
          <w:tab w:val="clear" w:pos="720"/>
          <w:tab w:val="num" w:pos="1146"/>
        </w:tabs>
        <w:rPr>
          <w:lang w:eastAsia="en-US"/>
        </w:rPr>
      </w:pPr>
      <w:r>
        <w:rPr>
          <w:lang w:eastAsia="en-US"/>
        </w:rPr>
        <w:t>The characteristics relevant to this exception are different to the ADA’s wide definition of race, which “</w:t>
      </w:r>
      <w:r w:rsidRPr="0008125E">
        <w:rPr>
          <w:lang w:eastAsia="en-US"/>
        </w:rPr>
        <w:t>includes colour, nationality, descent and ethnic, ethno-religious or national origin</w:t>
      </w:r>
      <w:r>
        <w:rPr>
          <w:lang w:eastAsia="en-US"/>
        </w:rPr>
        <w:t>”.</w:t>
      </w:r>
      <w:r>
        <w:rPr>
          <w:rStyle w:val="FootnoteReference"/>
          <w:lang w:eastAsia="en-US"/>
        </w:rPr>
        <w:footnoteReference w:id="759"/>
      </w:r>
      <w:r>
        <w:rPr>
          <w:lang w:eastAsia="en-US"/>
        </w:rPr>
        <w:t xml:space="preserve"> </w:t>
      </w:r>
    </w:p>
    <w:p w14:paraId="3C1F51B5" w14:textId="77777777" w:rsidR="006A1316" w:rsidRDefault="006A1316" w:rsidP="006A1316">
      <w:pPr>
        <w:pStyle w:val="NormalAutoChapter"/>
        <w:tabs>
          <w:tab w:val="clear" w:pos="720"/>
          <w:tab w:val="num" w:pos="1146"/>
        </w:tabs>
        <w:rPr>
          <w:lang w:eastAsia="en-US"/>
        </w:rPr>
      </w:pPr>
      <w:r>
        <w:rPr>
          <w:lang w:eastAsia="en-US"/>
        </w:rPr>
        <w:t xml:space="preserve">The purpose of this exception may be different to the other sport exceptions. In 1999, the NSWLRC noted the view that its primary purpose was to allow sporting groups based on national identity to exclude people of different national origins. However, it thought the formation of clubs on racial grounds could have wider, detrimental effects. The NSWLRC recommended repealing this exception and introducing a narrow exception to discrimination by registered clubs. This new exception would be targeted at actions to reduce disadvantage or preserve minority culture (which we discuss </w:t>
      </w:r>
      <w:r w:rsidRPr="00F92178">
        <w:rPr>
          <w:lang w:eastAsia="en-US"/>
        </w:rPr>
        <w:t>in chapter 6).</w:t>
      </w:r>
      <w:r w:rsidRPr="00F92178">
        <w:rPr>
          <w:rStyle w:val="FootnoteReference"/>
          <w:lang w:eastAsia="en-US"/>
        </w:rPr>
        <w:footnoteReference w:id="760"/>
      </w:r>
      <w:r>
        <w:rPr>
          <w:lang w:eastAsia="en-US"/>
        </w:rPr>
        <w:t xml:space="preserve"> </w:t>
      </w:r>
    </w:p>
    <w:p w14:paraId="188E4ED8" w14:textId="77777777" w:rsidR="006A1316" w:rsidRPr="00117BB7" w:rsidRDefault="006A1316" w:rsidP="006A1316">
      <w:pPr>
        <w:pStyle w:val="Recommendationheading"/>
      </w:pPr>
      <w:r w:rsidRPr="00117BB7">
        <w:t xml:space="preserve">Question 7.7: Exceptions relating to sport </w:t>
      </w:r>
    </w:p>
    <w:p w14:paraId="26736FE4" w14:textId="77777777" w:rsidR="006A1316" w:rsidRPr="002975D1" w:rsidRDefault="006A1316" w:rsidP="006A1316">
      <w:pPr>
        <w:pStyle w:val="Recommendationnormal"/>
      </w:pPr>
      <w:bookmarkStart w:id="334" w:name="_Toc178260197"/>
      <w:r>
        <w:t xml:space="preserve">Should the </w:t>
      </w:r>
      <w:r w:rsidRPr="005864F5">
        <w:t>ADA</w:t>
      </w:r>
      <w:r>
        <w:t xml:space="preserve"> provide exceptions to discrimination or vilification in sport? If so, what should they cover and when should they apply?</w:t>
      </w:r>
    </w:p>
    <w:p w14:paraId="359832E1" w14:textId="77777777" w:rsidR="006A1316" w:rsidRDefault="006A1316" w:rsidP="006A1316">
      <w:pPr>
        <w:pStyle w:val="Heading1"/>
      </w:pPr>
      <w:bookmarkStart w:id="335" w:name="_Toc196742775"/>
      <w:bookmarkStart w:id="336" w:name="_Toc196826912"/>
      <w:r>
        <w:lastRenderedPageBreak/>
        <w:t>Charitable benefits</w:t>
      </w:r>
      <w:bookmarkEnd w:id="335"/>
      <w:bookmarkEnd w:id="336"/>
      <w:r>
        <w:t xml:space="preserve"> </w:t>
      </w:r>
      <w:bookmarkEnd w:id="334"/>
    </w:p>
    <w:p w14:paraId="2AE4AC4B" w14:textId="77777777" w:rsidR="006A1316" w:rsidRDefault="006A1316" w:rsidP="006A1316">
      <w:pPr>
        <w:pStyle w:val="NormalAutoChapter"/>
        <w:tabs>
          <w:tab w:val="clear" w:pos="720"/>
          <w:tab w:val="num" w:pos="1146"/>
        </w:tabs>
        <w:rPr>
          <w:lang w:eastAsia="en-US"/>
        </w:rPr>
      </w:pPr>
      <w:r>
        <w:t>An exception applies across the ADA in relation to</w:t>
      </w:r>
      <w:r>
        <w:rPr>
          <w:lang w:eastAsia="en-US"/>
        </w:rPr>
        <w:t>:</w:t>
      </w:r>
    </w:p>
    <w:p w14:paraId="21B288D2" w14:textId="77777777" w:rsidR="006A1316" w:rsidRDefault="006A1316" w:rsidP="006A1316">
      <w:pPr>
        <w:pStyle w:val="Normalbullet"/>
      </w:pPr>
      <w:r>
        <w:t>a provision of a deed, will or other instrument that confers charitable benefits (or enables them to be conferred) on people of a class identified by reference to one or more of the attributes protected from discrimination, and</w:t>
      </w:r>
    </w:p>
    <w:p w14:paraId="5937B661" w14:textId="77777777" w:rsidR="006A1316" w:rsidRDefault="006A1316" w:rsidP="006A1316">
      <w:pPr>
        <w:pStyle w:val="Normalbullet"/>
      </w:pPr>
      <w:r>
        <w:t>an act which is done to give effect to</w:t>
      </w:r>
      <w:r w:rsidRPr="000D2030">
        <w:rPr>
          <w:rFonts w:ascii="Public Sans Light" w:hAnsi="Public Sans Light"/>
          <w:color w:val="000000"/>
          <w:sz w:val="20"/>
          <w:szCs w:val="20"/>
          <w:shd w:val="clear" w:color="auto" w:fill="FFFFFF"/>
        </w:rPr>
        <w:t xml:space="preserve"> </w:t>
      </w:r>
      <w:r>
        <w:t>such a provision.</w:t>
      </w:r>
      <w:r>
        <w:rPr>
          <w:rStyle w:val="FootnoteReference"/>
        </w:rPr>
        <w:footnoteReference w:id="761"/>
      </w:r>
      <w:r>
        <w:t xml:space="preserve">  </w:t>
      </w:r>
    </w:p>
    <w:p w14:paraId="495C9C20" w14:textId="77777777" w:rsidR="006A1316" w:rsidRDefault="006A1316" w:rsidP="006A1316">
      <w:pPr>
        <w:pStyle w:val="NormalAutoChapter"/>
        <w:tabs>
          <w:tab w:val="clear" w:pos="720"/>
          <w:tab w:val="num" w:pos="1146"/>
        </w:tabs>
      </w:pPr>
      <w:r>
        <w:t xml:space="preserve">The ADA defines a “charitable benefit” as a </w:t>
      </w:r>
      <w:r>
        <w:rPr>
          <w:lang w:eastAsia="en-US"/>
        </w:rPr>
        <w:t>benefit for purposes that are exclusively charitable according to the law in force anywhere in Australia.</w:t>
      </w:r>
      <w:r>
        <w:rPr>
          <w:rStyle w:val="FootnoteReference"/>
          <w:lang w:eastAsia="en-US"/>
        </w:rPr>
        <w:footnoteReference w:id="762"/>
      </w:r>
      <w:r>
        <w:rPr>
          <w:lang w:eastAsia="en-US"/>
        </w:rPr>
        <w:t xml:space="preserve"> Commonwealth law defines “charitable purposes” broadly, to include a wide range of purposes including advancing health, education, public welfare and religion.</w:t>
      </w:r>
      <w:r>
        <w:rPr>
          <w:rStyle w:val="FootnoteReference"/>
          <w:lang w:eastAsia="en-US"/>
        </w:rPr>
        <w:footnoteReference w:id="763"/>
      </w:r>
    </w:p>
    <w:p w14:paraId="00DE5F41" w14:textId="77777777" w:rsidR="006A1316" w:rsidRDefault="006A1316" w:rsidP="006A1316">
      <w:pPr>
        <w:pStyle w:val="NormalAutoChapter"/>
        <w:tabs>
          <w:tab w:val="clear" w:pos="720"/>
          <w:tab w:val="num" w:pos="1146"/>
        </w:tabs>
      </w:pPr>
      <w:r>
        <w:t>The exception can have wide applications. For example,</w:t>
      </w:r>
      <w:r w:rsidRPr="0076129E">
        <w:t xml:space="preserve"> </w:t>
      </w:r>
      <w:r>
        <w:t>it allowed someone to bequeath funds to a hospital for the medical treatment of exclusively “white babies”.</w:t>
      </w:r>
      <w:r>
        <w:rPr>
          <w:rStyle w:val="FootnoteReference"/>
        </w:rPr>
        <w:footnoteReference w:id="764"/>
      </w:r>
    </w:p>
    <w:p w14:paraId="6DF8FC1B" w14:textId="77777777" w:rsidR="006A1316" w:rsidRDefault="006A1316" w:rsidP="006A1316">
      <w:pPr>
        <w:pStyle w:val="NormalAutoChapter"/>
        <w:tabs>
          <w:tab w:val="clear" w:pos="720"/>
          <w:tab w:val="num" w:pos="1146"/>
        </w:tabs>
      </w:pPr>
      <w:r>
        <w:t xml:space="preserve">If this exception is considered too broad, but some form of exception is desirable, there are several other options to consider. </w:t>
      </w:r>
    </w:p>
    <w:p w14:paraId="03EC7A32" w14:textId="77777777" w:rsidR="006A1316" w:rsidRDefault="006A1316" w:rsidP="006A1316">
      <w:pPr>
        <w:pStyle w:val="NormalAutoChapter"/>
        <w:tabs>
          <w:tab w:val="clear" w:pos="720"/>
          <w:tab w:val="num" w:pos="1146"/>
        </w:tabs>
      </w:pPr>
      <w:r>
        <w:t>In 1999, the NSWLRC considered an exception of this type was important, partly because the exception seeks to ensure the ADA does not intrude into the private sphere. However, it did not support the exception in its current form. It recommended replacing the general exception with one covering the provision of goods, or disposal of property by gift or will, to a specific recipient.</w:t>
      </w:r>
      <w:r>
        <w:rPr>
          <w:rStyle w:val="FootnoteReference"/>
        </w:rPr>
        <w:footnoteReference w:id="765"/>
      </w:r>
      <w:r>
        <w:t xml:space="preserve"> As we discuss in </w:t>
      </w:r>
      <w:r w:rsidRPr="008D2827">
        <w:t>chapter 6, the</w:t>
      </w:r>
      <w:r>
        <w:t xml:space="preserve"> NSWLRC recommended that the ADA specifically prohibit discrimination in the disposal of interests in land.</w:t>
      </w:r>
    </w:p>
    <w:p w14:paraId="22187BD9" w14:textId="77777777" w:rsidR="006A1316" w:rsidRDefault="006A1316" w:rsidP="006A1316">
      <w:pPr>
        <w:pStyle w:val="NormalAutoChapter"/>
        <w:tabs>
          <w:tab w:val="clear" w:pos="720"/>
          <w:tab w:val="num" w:pos="1146"/>
        </w:tabs>
      </w:pPr>
      <w:r>
        <w:t>Another option would be to adopt the approach used in federal discrimination law, which only grants an exception to registered charities and not individuals.</w:t>
      </w:r>
      <w:r>
        <w:rPr>
          <w:rStyle w:val="FootnoteReference"/>
        </w:rPr>
        <w:footnoteReference w:id="766"/>
      </w:r>
      <w:r>
        <w:t xml:space="preserve"> </w:t>
      </w:r>
    </w:p>
    <w:p w14:paraId="205409B4" w14:textId="77777777" w:rsidR="006A1316" w:rsidRDefault="006A1316" w:rsidP="006A1316">
      <w:pPr>
        <w:pStyle w:val="NormalAutoChapter"/>
        <w:tabs>
          <w:tab w:val="clear" w:pos="720"/>
          <w:tab w:val="num" w:pos="1146"/>
        </w:tabs>
      </w:pPr>
      <w:r>
        <w:t>A different option, recommended by the LRCWA, was to exempt only acts that were:</w:t>
      </w:r>
    </w:p>
    <w:p w14:paraId="5304F802" w14:textId="77777777" w:rsidR="006A1316" w:rsidRDefault="006A1316" w:rsidP="006A1316">
      <w:pPr>
        <w:pStyle w:val="Normalbullet"/>
      </w:pPr>
      <w:r>
        <w:t>consistent with the stated purpose of the relevant charity, and</w:t>
      </w:r>
    </w:p>
    <w:p w14:paraId="00AB58B8" w14:textId="77777777" w:rsidR="006A1316" w:rsidRDefault="006A1316" w:rsidP="006A1316">
      <w:pPr>
        <w:pStyle w:val="Normalbullet"/>
      </w:pPr>
      <w:r>
        <w:lastRenderedPageBreak/>
        <w:t>reasonable and proportionate to the public benefit the charity was trying to achieve.</w:t>
      </w:r>
      <w:r>
        <w:rPr>
          <w:rStyle w:val="FootnoteReference"/>
        </w:rPr>
        <w:footnoteReference w:id="767"/>
      </w:r>
    </w:p>
    <w:p w14:paraId="48774536" w14:textId="77777777" w:rsidR="006A1316" w:rsidRDefault="006A1316" w:rsidP="006A1316">
      <w:pPr>
        <w:pStyle w:val="NormalAutoChapter"/>
        <w:tabs>
          <w:tab w:val="clear" w:pos="720"/>
          <w:tab w:val="num" w:pos="1146"/>
        </w:tabs>
      </w:pPr>
      <w:r>
        <w:t xml:space="preserve">The </w:t>
      </w:r>
      <w:r w:rsidRPr="00906192">
        <w:rPr>
          <w:i/>
          <w:iCs/>
        </w:rPr>
        <w:t>Equality Act</w:t>
      </w:r>
      <w:r>
        <w:t xml:space="preserve"> </w:t>
      </w:r>
      <w:r w:rsidRPr="00906192">
        <w:rPr>
          <w:i/>
          <w:iCs/>
        </w:rPr>
        <w:t>2010</w:t>
      </w:r>
      <w:r>
        <w:t xml:space="preserve"> (UK) provides another model to consider. Subject to certain exceptions, it allows a person to restrict the provision of benefits to people with certain protected characteristics, if this is done in pursuance of a charitable instrument. However, the provision of benefits must be either:</w:t>
      </w:r>
    </w:p>
    <w:p w14:paraId="22A71591" w14:textId="77777777" w:rsidR="006A1316" w:rsidRDefault="006A1316" w:rsidP="006A1316">
      <w:pPr>
        <w:pStyle w:val="Normalbullet"/>
      </w:pPr>
      <w:r>
        <w:t>a proportionate means of achieving a legitimate aim, or</w:t>
      </w:r>
    </w:p>
    <w:p w14:paraId="7EF31EA8" w14:textId="77777777" w:rsidR="006A1316" w:rsidRDefault="006A1316" w:rsidP="006A1316">
      <w:pPr>
        <w:pStyle w:val="Normalbullet"/>
      </w:pPr>
      <w:r>
        <w:t>for the purpose of preventing or compensating for a disadvantage linked to the protected characteristic.</w:t>
      </w:r>
      <w:r>
        <w:rPr>
          <w:rStyle w:val="FootnoteReference"/>
        </w:rPr>
        <w:footnoteReference w:id="768"/>
      </w:r>
      <w:r>
        <w:t xml:space="preserve"> </w:t>
      </w:r>
    </w:p>
    <w:p w14:paraId="4FEC2212" w14:textId="77777777" w:rsidR="006A1316" w:rsidRPr="00CA5A09" w:rsidRDefault="006A1316" w:rsidP="006A1316">
      <w:pPr>
        <w:pStyle w:val="Recommendationheading"/>
      </w:pPr>
      <w:r w:rsidRPr="00CA5A09">
        <w:t>Question 7.8: The charities exception</w:t>
      </w:r>
    </w:p>
    <w:p w14:paraId="30E3DCF0" w14:textId="77777777" w:rsidR="006A1316" w:rsidRPr="002975D1" w:rsidRDefault="006A1316" w:rsidP="006A1316">
      <w:pPr>
        <w:pStyle w:val="Recommendationnormal"/>
      </w:pPr>
      <w:r>
        <w:t xml:space="preserve">Should the </w:t>
      </w:r>
      <w:r w:rsidRPr="00BA5D96">
        <w:t>ADA</w:t>
      </w:r>
      <w:r>
        <w:t xml:space="preserve"> provide exceptions relating to charitable benefits? If so, what should they cover and when should they apply?</w:t>
      </w:r>
    </w:p>
    <w:p w14:paraId="309FB935" w14:textId="77777777" w:rsidR="006A1316" w:rsidRDefault="006A1316" w:rsidP="006A1316">
      <w:pPr>
        <w:pStyle w:val="Heading1"/>
      </w:pPr>
      <w:bookmarkStart w:id="337" w:name="_Toc196742776"/>
      <w:bookmarkStart w:id="338" w:name="_Toc196826913"/>
      <w:r>
        <w:t>Voluntary bodies</w:t>
      </w:r>
      <w:bookmarkEnd w:id="337"/>
      <w:bookmarkEnd w:id="338"/>
    </w:p>
    <w:p w14:paraId="7A90EDCF" w14:textId="77777777" w:rsidR="006A1316" w:rsidRDefault="006A1316" w:rsidP="006A1316">
      <w:pPr>
        <w:pStyle w:val="NormalAutoChapter"/>
      </w:pPr>
      <w:bookmarkStart w:id="339" w:name="_Hlk175570786"/>
      <w:r>
        <w:rPr>
          <w:lang w:eastAsia="en-US"/>
        </w:rPr>
        <w:t xml:space="preserve">The ADA has a broad exception for non-profit bodies. The exception provides that nothing in the ADA applies to: </w:t>
      </w:r>
    </w:p>
    <w:p w14:paraId="250009F3" w14:textId="77777777" w:rsidR="006A1316" w:rsidRDefault="006A1316" w:rsidP="006A1316">
      <w:pPr>
        <w:pStyle w:val="Normalbullet"/>
      </w:pPr>
      <w:r>
        <w:t>any rule or practice of a body that restricts admission to membership, and</w:t>
      </w:r>
    </w:p>
    <w:p w14:paraId="0D8A6A8D" w14:textId="77777777" w:rsidR="006A1316" w:rsidRDefault="006A1316" w:rsidP="006A1316">
      <w:pPr>
        <w:pStyle w:val="Normalbullet"/>
      </w:pPr>
      <w:r w:rsidRPr="00AB7480">
        <w:t>the provision of benefits, facilities or services to members</w:t>
      </w:r>
      <w:r>
        <w:t xml:space="preserve"> of that body.</w:t>
      </w:r>
      <w:r>
        <w:rPr>
          <w:rStyle w:val="FootnoteReference"/>
        </w:rPr>
        <w:footnoteReference w:id="769"/>
      </w:r>
    </w:p>
    <w:p w14:paraId="12264A57" w14:textId="77777777" w:rsidR="006A1316" w:rsidRDefault="006A1316" w:rsidP="006A1316">
      <w:pPr>
        <w:pStyle w:val="NormalAutoChapter"/>
        <w:tabs>
          <w:tab w:val="clear" w:pos="720"/>
          <w:tab w:val="num" w:pos="1146"/>
        </w:tabs>
      </w:pPr>
      <w:r>
        <w:t xml:space="preserve">This applies across the whole ADA, including the protections against discrimination, harassment, vilification, victimisation and unlawful advertisements. </w:t>
      </w:r>
    </w:p>
    <w:p w14:paraId="61FE9809" w14:textId="77777777" w:rsidR="006A1316" w:rsidRDefault="006A1316" w:rsidP="006A1316">
      <w:pPr>
        <w:pStyle w:val="NormalAutoChapter"/>
      </w:pPr>
      <w:r>
        <w:rPr>
          <w:lang w:eastAsia="en-US"/>
        </w:rPr>
        <w:t>Examples of voluntary bodies covered by this exception include a</w:t>
      </w:r>
      <w:r w:rsidRPr="00E51D2B">
        <w:rPr>
          <w:lang w:eastAsia="en-US"/>
        </w:rPr>
        <w:t xml:space="preserve"> surf lifesaving club</w:t>
      </w:r>
      <w:r>
        <w:rPr>
          <w:lang w:eastAsia="en-US"/>
        </w:rPr>
        <w:t xml:space="preserve"> and a social tennis group.</w:t>
      </w:r>
      <w:r>
        <w:rPr>
          <w:rStyle w:val="FootnoteReference"/>
          <w:lang w:eastAsia="en-US"/>
        </w:rPr>
        <w:footnoteReference w:id="770"/>
      </w:r>
      <w:r w:rsidRPr="00E51D2B">
        <w:rPr>
          <w:lang w:eastAsia="en-US"/>
        </w:rPr>
        <w:t xml:space="preserve"> </w:t>
      </w:r>
      <w:r>
        <w:rPr>
          <w:lang w:eastAsia="en-US"/>
        </w:rPr>
        <w:t>However, the exception does not apply to bodies established by legislation. Nor does it apply to certain bodies registered under legislation, including registered clubs, cooperatives, friendly societies, building societies or credit unions, and cooperative housing societies.</w:t>
      </w:r>
      <w:r>
        <w:rPr>
          <w:rStyle w:val="FootnoteReference"/>
        </w:rPr>
        <w:footnoteReference w:id="771"/>
      </w:r>
    </w:p>
    <w:p w14:paraId="7F1B8674" w14:textId="77777777" w:rsidR="006A1316" w:rsidRDefault="006A1316" w:rsidP="006A1316">
      <w:pPr>
        <w:pStyle w:val="NormalAutoChapter"/>
        <w:tabs>
          <w:tab w:val="clear" w:pos="720"/>
          <w:tab w:val="num" w:pos="1146"/>
        </w:tabs>
      </w:pPr>
      <w:r>
        <w:t xml:space="preserve">On one view, voluntary bodies should be exempt from discrimination law because they operate within the private sphere. It could be argued that they need independence so they can maintain a specific organisational culture, or associational autonomy. </w:t>
      </w:r>
    </w:p>
    <w:p w14:paraId="5E0213A3" w14:textId="77777777" w:rsidR="006A1316" w:rsidRDefault="006A1316" w:rsidP="006A1316">
      <w:pPr>
        <w:pStyle w:val="NormalAutoChapter"/>
        <w:tabs>
          <w:tab w:val="clear" w:pos="720"/>
          <w:tab w:val="num" w:pos="1146"/>
        </w:tabs>
      </w:pPr>
      <w:r>
        <w:lastRenderedPageBreak/>
        <w:t>Others think they should be covered by the ADA, including because they often receive substantial public funding and benefits, and provide important community services.</w:t>
      </w:r>
      <w:r>
        <w:rPr>
          <w:rStyle w:val="FootnoteReference"/>
        </w:rPr>
        <w:footnoteReference w:id="772"/>
      </w:r>
    </w:p>
    <w:p w14:paraId="10B84C07" w14:textId="77777777" w:rsidR="006A1316" w:rsidRPr="00C30738" w:rsidRDefault="006A1316" w:rsidP="006A1316">
      <w:pPr>
        <w:pStyle w:val="NormalAutoChapter"/>
        <w:rPr>
          <w:color w:val="auto"/>
        </w:rPr>
      </w:pPr>
      <w:r>
        <w:rPr>
          <w:color w:val="auto"/>
          <w:lang w:eastAsia="en-US"/>
        </w:rPr>
        <w:t>In 1999, t</w:t>
      </w:r>
      <w:r w:rsidRPr="00C30738">
        <w:rPr>
          <w:color w:val="auto"/>
          <w:lang w:eastAsia="en-US"/>
        </w:rPr>
        <w:t xml:space="preserve">he NSWLRC recommended </w:t>
      </w:r>
      <w:r>
        <w:rPr>
          <w:color w:val="auto"/>
          <w:lang w:eastAsia="en-US"/>
        </w:rPr>
        <w:t>repealing this exception</w:t>
      </w:r>
      <w:bookmarkEnd w:id="339"/>
      <w:r>
        <w:rPr>
          <w:color w:val="auto"/>
          <w:lang w:eastAsia="en-US"/>
        </w:rPr>
        <w:t>. It concluded that the ADA should prohibit discrimination in relation to membership and access to benefits by all incorporated associations with membership open to the public or a section of the public.</w:t>
      </w:r>
      <w:r w:rsidRPr="00C30738">
        <w:rPr>
          <w:rStyle w:val="FootnoteReference"/>
          <w:color w:val="auto"/>
          <w:lang w:eastAsia="en-US"/>
        </w:rPr>
        <w:footnoteReference w:id="773"/>
      </w:r>
      <w:r w:rsidRPr="00C30738">
        <w:rPr>
          <w:color w:val="auto"/>
          <w:lang w:eastAsia="en-US"/>
        </w:rPr>
        <w:t xml:space="preserve"> </w:t>
      </w:r>
      <w:r>
        <w:rPr>
          <w:color w:val="auto"/>
          <w:lang w:eastAsia="en-US"/>
        </w:rPr>
        <w:t xml:space="preserve">We discuss the issue of clubs further </w:t>
      </w:r>
      <w:r w:rsidRPr="008D2827">
        <w:rPr>
          <w:color w:val="auto"/>
          <w:lang w:eastAsia="en-US"/>
        </w:rPr>
        <w:t>in chapter 6.</w:t>
      </w:r>
    </w:p>
    <w:p w14:paraId="09496D08" w14:textId="77777777" w:rsidR="006A1316" w:rsidRDefault="006A1316" w:rsidP="006A1316">
      <w:pPr>
        <w:pStyle w:val="NormalAutoChapter"/>
        <w:rPr>
          <w:lang w:eastAsia="en-US"/>
        </w:rPr>
      </w:pPr>
      <w:r>
        <w:rPr>
          <w:lang w:eastAsia="en-US"/>
        </w:rPr>
        <w:t>Another option could be to make the exception narrower. For instance, a similar exception in the ACT only covers discrimination. It only applies if:</w:t>
      </w:r>
    </w:p>
    <w:p w14:paraId="60E88021" w14:textId="77777777" w:rsidR="006A1316" w:rsidRDefault="006A1316" w:rsidP="006A1316">
      <w:pPr>
        <w:pStyle w:val="Normalbullet"/>
      </w:pPr>
      <w:r>
        <w:t>the club or body is established to benefit a class of people sharing a protected attribute, and</w:t>
      </w:r>
    </w:p>
    <w:p w14:paraId="528862FB" w14:textId="77777777" w:rsidR="006A1316" w:rsidRDefault="006A1316" w:rsidP="006A1316">
      <w:pPr>
        <w:pStyle w:val="Normalbullet"/>
      </w:pPr>
      <w:r>
        <w:t>the discrimination is reasonable, proportionate and justifiable in the circumstances.</w:t>
      </w:r>
      <w:r>
        <w:rPr>
          <w:rStyle w:val="FootnoteReference"/>
        </w:rPr>
        <w:footnoteReference w:id="774"/>
      </w:r>
    </w:p>
    <w:p w14:paraId="554A0DBA" w14:textId="77777777" w:rsidR="006A1316" w:rsidRPr="00A154C3" w:rsidRDefault="006A1316" w:rsidP="006A1316">
      <w:pPr>
        <w:pStyle w:val="Recommendationheading"/>
      </w:pPr>
      <w:r w:rsidRPr="00A154C3">
        <w:t>Question 7.9: Voluntary bodies exception</w:t>
      </w:r>
    </w:p>
    <w:p w14:paraId="14FD6A8B" w14:textId="77777777" w:rsidR="006A1316" w:rsidRPr="002975D1" w:rsidRDefault="006A1316" w:rsidP="006A1316">
      <w:pPr>
        <w:pStyle w:val="Recommendationnormal"/>
      </w:pPr>
      <w:r>
        <w:t xml:space="preserve">Should the </w:t>
      </w:r>
      <w:r w:rsidRPr="00CA780F">
        <w:t>ADA</w:t>
      </w:r>
      <w:r>
        <w:t xml:space="preserve"> provide an exception for voluntary bodies? If so, what should it cover and when should it apply?</w:t>
      </w:r>
    </w:p>
    <w:p w14:paraId="58ED2565" w14:textId="77777777" w:rsidR="006A1316" w:rsidRDefault="006A1316" w:rsidP="006A1316">
      <w:pPr>
        <w:pStyle w:val="Heading1"/>
      </w:pPr>
      <w:bookmarkStart w:id="340" w:name="_Toc196742777"/>
      <w:bookmarkStart w:id="341" w:name="_Toc196826914"/>
      <w:r>
        <w:t>Aged care accommodation providers</w:t>
      </w:r>
      <w:bookmarkEnd w:id="340"/>
      <w:bookmarkEnd w:id="341"/>
    </w:p>
    <w:p w14:paraId="1CC077CC" w14:textId="77777777" w:rsidR="006A1316" w:rsidRPr="006F5FF1" w:rsidRDefault="006A1316" w:rsidP="006A1316">
      <w:pPr>
        <w:pStyle w:val="NormalAutoChapter"/>
        <w:rPr>
          <w:color w:val="auto"/>
        </w:rPr>
      </w:pPr>
      <w:r>
        <w:t xml:space="preserve">Another exception applies to </w:t>
      </w:r>
      <w:r w:rsidRPr="00B505B0">
        <w:t xml:space="preserve">establishments </w:t>
      </w:r>
      <w:r>
        <w:t>that</w:t>
      </w:r>
      <w:r w:rsidRPr="00B505B0">
        <w:t xml:space="preserve"> provide “housing accommodation for aged persons”</w:t>
      </w:r>
      <w:r>
        <w:t>. The ADA does not apply to any rule or practice of these establishments that restricts admission to people of a particular sex, marital or domestic status, or race.</w:t>
      </w:r>
      <w:r>
        <w:rPr>
          <w:rStyle w:val="FootnoteReference"/>
        </w:rPr>
        <w:footnoteReference w:id="775"/>
      </w:r>
      <w:r>
        <w:t xml:space="preserve"> </w:t>
      </w:r>
    </w:p>
    <w:p w14:paraId="1EC09A5D" w14:textId="77777777" w:rsidR="006A1316" w:rsidRPr="004469B6" w:rsidRDefault="006A1316" w:rsidP="006A1316">
      <w:pPr>
        <w:pStyle w:val="NormalAutoChapter"/>
        <w:rPr>
          <w:color w:val="auto"/>
        </w:rPr>
      </w:pPr>
      <w:r w:rsidRPr="004469B6">
        <w:rPr>
          <w:color w:val="auto"/>
        </w:rPr>
        <w:t>The NSWLRC recommended th</w:t>
      </w:r>
      <w:r>
        <w:rPr>
          <w:color w:val="auto"/>
        </w:rPr>
        <w:t>is</w:t>
      </w:r>
      <w:r w:rsidRPr="004469B6">
        <w:rPr>
          <w:color w:val="auto"/>
        </w:rPr>
        <w:t xml:space="preserve"> exception be </w:t>
      </w:r>
      <w:r>
        <w:rPr>
          <w:color w:val="auto"/>
        </w:rPr>
        <w:t>repealed. It concluded that people should not be arbitrarily excluded</w:t>
      </w:r>
      <w:r w:rsidRPr="004469B6">
        <w:rPr>
          <w:color w:val="auto"/>
        </w:rPr>
        <w:t xml:space="preserve"> from accommodation based on race, sex or marital status. Instead, </w:t>
      </w:r>
      <w:r>
        <w:rPr>
          <w:color w:val="auto"/>
        </w:rPr>
        <w:t xml:space="preserve">it thought </w:t>
      </w:r>
      <w:r w:rsidRPr="004469B6">
        <w:rPr>
          <w:color w:val="auto"/>
        </w:rPr>
        <w:t xml:space="preserve">a </w:t>
      </w:r>
      <w:r>
        <w:rPr>
          <w:color w:val="auto"/>
        </w:rPr>
        <w:t>new “</w:t>
      </w:r>
      <w:r w:rsidRPr="004469B6">
        <w:rPr>
          <w:color w:val="auto"/>
        </w:rPr>
        <w:t>special measures</w:t>
      </w:r>
      <w:r>
        <w:rPr>
          <w:color w:val="auto"/>
        </w:rPr>
        <w:t>”</w:t>
      </w:r>
      <w:r w:rsidRPr="004469B6">
        <w:rPr>
          <w:color w:val="auto"/>
        </w:rPr>
        <w:t xml:space="preserve"> exception should be </w:t>
      </w:r>
      <w:r>
        <w:rPr>
          <w:color w:val="auto"/>
        </w:rPr>
        <w:t xml:space="preserve">implemented </w:t>
      </w:r>
      <w:r w:rsidRPr="004469B6">
        <w:rPr>
          <w:color w:val="auto"/>
        </w:rPr>
        <w:t xml:space="preserve">to accommodate the needs of </w:t>
      </w:r>
      <w:proofErr w:type="gramStart"/>
      <w:r w:rsidRPr="004469B6">
        <w:rPr>
          <w:color w:val="auto"/>
        </w:rPr>
        <w:t>particular groups</w:t>
      </w:r>
      <w:proofErr w:type="gramEnd"/>
      <w:r>
        <w:rPr>
          <w:color w:val="auto"/>
        </w:rPr>
        <w:t>.</w:t>
      </w:r>
      <w:r w:rsidRPr="00883F9D">
        <w:rPr>
          <w:rStyle w:val="FootnoteReference"/>
          <w:color w:val="auto"/>
        </w:rPr>
        <w:footnoteReference w:id="776"/>
      </w:r>
      <w:r w:rsidRPr="004469B6">
        <w:rPr>
          <w:color w:val="auto"/>
        </w:rPr>
        <w:t xml:space="preserve"> </w:t>
      </w:r>
      <w:r>
        <w:rPr>
          <w:color w:val="auto"/>
        </w:rPr>
        <w:t xml:space="preserve">We consider special measures in </w:t>
      </w:r>
      <w:r w:rsidRPr="008D2827">
        <w:rPr>
          <w:color w:val="auto"/>
        </w:rPr>
        <w:t>chapter 11.</w:t>
      </w:r>
    </w:p>
    <w:p w14:paraId="5DEE9FAD" w14:textId="77777777" w:rsidR="006A1316" w:rsidRDefault="006A1316" w:rsidP="006A1316">
      <w:pPr>
        <w:pStyle w:val="NormalAutoChapter"/>
        <w:rPr>
          <w:color w:val="auto"/>
        </w:rPr>
      </w:pPr>
      <w:r>
        <w:rPr>
          <w:color w:val="auto"/>
        </w:rPr>
        <w:lastRenderedPageBreak/>
        <w:t>WA</w:t>
      </w:r>
      <w:r w:rsidRPr="00B13AE8">
        <w:rPr>
          <w:color w:val="auto"/>
        </w:rPr>
        <w:t xml:space="preserve"> is the only other state or territory with an exception </w:t>
      </w:r>
      <w:r>
        <w:rPr>
          <w:color w:val="auto"/>
        </w:rPr>
        <w:t xml:space="preserve">about </w:t>
      </w:r>
      <w:r w:rsidRPr="00B13AE8">
        <w:rPr>
          <w:color w:val="auto"/>
        </w:rPr>
        <w:t>admission to aged care accommodation.</w:t>
      </w:r>
      <w:r w:rsidRPr="00B13AE8">
        <w:rPr>
          <w:rStyle w:val="FootnoteReference"/>
          <w:color w:val="auto"/>
        </w:rPr>
        <w:footnoteReference w:id="777"/>
      </w:r>
      <w:r w:rsidRPr="00B13AE8">
        <w:rPr>
          <w:color w:val="auto"/>
        </w:rPr>
        <w:t xml:space="preserve"> The </w:t>
      </w:r>
      <w:r>
        <w:rPr>
          <w:color w:val="auto"/>
        </w:rPr>
        <w:t>LRCWA</w:t>
      </w:r>
      <w:r w:rsidRPr="00B13AE8">
        <w:rPr>
          <w:color w:val="auto"/>
        </w:rPr>
        <w:t xml:space="preserve"> recommended repeal</w:t>
      </w:r>
      <w:r>
        <w:rPr>
          <w:color w:val="auto"/>
        </w:rPr>
        <w:t>ing it</w:t>
      </w:r>
      <w:r w:rsidRPr="00B13AE8">
        <w:rPr>
          <w:color w:val="auto"/>
        </w:rPr>
        <w:t>.</w:t>
      </w:r>
      <w:r w:rsidRPr="00B13AE8">
        <w:rPr>
          <w:rStyle w:val="FootnoteReference"/>
          <w:color w:val="auto"/>
        </w:rPr>
        <w:footnoteReference w:id="778"/>
      </w:r>
      <w:r w:rsidRPr="00B13AE8">
        <w:rPr>
          <w:color w:val="auto"/>
        </w:rPr>
        <w:t xml:space="preserve"> </w:t>
      </w:r>
    </w:p>
    <w:p w14:paraId="26708B0A" w14:textId="77777777" w:rsidR="006A1316" w:rsidRPr="00C34B29" w:rsidRDefault="006A1316" w:rsidP="006A1316">
      <w:pPr>
        <w:pStyle w:val="NormalAutoChapter"/>
        <w:rPr>
          <w:color w:val="auto"/>
        </w:rPr>
      </w:pPr>
      <w:r w:rsidRPr="00C34B29">
        <w:rPr>
          <w:color w:val="auto"/>
        </w:rPr>
        <w:t xml:space="preserve">Aged care providers with religious affiliations may also be able to access the general exceptions for religious bodies, which we discuss above. If the aged care exception is repealed, consideration should also be given to </w:t>
      </w:r>
      <w:r>
        <w:rPr>
          <w:color w:val="auto"/>
        </w:rPr>
        <w:t xml:space="preserve">whether </w:t>
      </w:r>
      <w:r w:rsidRPr="00C34B29">
        <w:rPr>
          <w:color w:val="auto"/>
        </w:rPr>
        <w:t>s 56(c) and s</w:t>
      </w:r>
      <w:r>
        <w:t> 56</w:t>
      </w:r>
      <w:r w:rsidRPr="00C34B29">
        <w:rPr>
          <w:color w:val="auto"/>
        </w:rPr>
        <w:t xml:space="preserve">(d) </w:t>
      </w:r>
      <w:r>
        <w:rPr>
          <w:color w:val="auto"/>
        </w:rPr>
        <w:t>should be amended</w:t>
      </w:r>
      <w:r w:rsidRPr="00C34B29">
        <w:rPr>
          <w:color w:val="auto"/>
        </w:rPr>
        <w:t xml:space="preserve">. </w:t>
      </w:r>
    </w:p>
    <w:p w14:paraId="4692B448" w14:textId="77777777" w:rsidR="006A1316" w:rsidRPr="004E0CDF" w:rsidRDefault="006A1316" w:rsidP="006A1316">
      <w:pPr>
        <w:pStyle w:val="Recommendationheading"/>
      </w:pPr>
      <w:r w:rsidRPr="004E0CDF">
        <w:t>Question</w:t>
      </w:r>
      <w:r>
        <w:t xml:space="preserve"> </w:t>
      </w:r>
      <w:r w:rsidRPr="004E0CDF">
        <w:t xml:space="preserve">7.10: Aged care accommodation providers exception </w:t>
      </w:r>
    </w:p>
    <w:p w14:paraId="051B0A19" w14:textId="77777777" w:rsidR="006A1316" w:rsidRPr="002975D1" w:rsidRDefault="006A1316" w:rsidP="006A1316">
      <w:pPr>
        <w:pStyle w:val="Recommendationnormal"/>
      </w:pPr>
      <w:r>
        <w:t xml:space="preserve">Should the </w:t>
      </w:r>
      <w:r w:rsidRPr="00E816A3">
        <w:t>ADA</w:t>
      </w:r>
      <w:r>
        <w:t xml:space="preserve"> provide an exception for aged care accommodation providers? If so, what should it cover and when should it apply?</w:t>
      </w:r>
    </w:p>
    <w:p w14:paraId="795F0FAF" w14:textId="77777777" w:rsidR="006A1316" w:rsidRDefault="006A1316" w:rsidP="006A1316">
      <w:pPr>
        <w:pStyle w:val="Heading1"/>
      </w:pPr>
      <w:bookmarkStart w:id="342" w:name="_Toc178260199"/>
      <w:bookmarkStart w:id="343" w:name="_Toc196742778"/>
      <w:bookmarkStart w:id="344" w:name="_Toc196826915"/>
      <w:r>
        <w:t>Acts done under statutory authority</w:t>
      </w:r>
      <w:bookmarkEnd w:id="342"/>
      <w:bookmarkEnd w:id="343"/>
      <w:bookmarkEnd w:id="344"/>
      <w:r>
        <w:t xml:space="preserve"> </w:t>
      </w:r>
    </w:p>
    <w:p w14:paraId="4EE9AC07" w14:textId="77777777" w:rsidR="006A1316" w:rsidRDefault="006A1316" w:rsidP="006A1316">
      <w:pPr>
        <w:pStyle w:val="NormalAutoChapter"/>
        <w:tabs>
          <w:tab w:val="clear" w:pos="720"/>
          <w:tab w:val="num" w:pos="1146"/>
        </w:tabs>
        <w:rPr>
          <w:lang w:eastAsia="en-US"/>
        </w:rPr>
      </w:pPr>
      <w:r>
        <w:rPr>
          <w:lang w:eastAsia="en-US"/>
        </w:rPr>
        <w:t xml:space="preserve">There is an exception from the whole ADA for anything that is “necessary” to comply with a requirement of: </w:t>
      </w:r>
    </w:p>
    <w:p w14:paraId="75796154" w14:textId="77777777" w:rsidR="006A1316" w:rsidRDefault="006A1316" w:rsidP="006A1316">
      <w:pPr>
        <w:pStyle w:val="Normalbullet"/>
      </w:pPr>
      <w:r>
        <w:t>any other Act, whether passed before or after the ADA</w:t>
      </w:r>
    </w:p>
    <w:p w14:paraId="4C97DD15" w14:textId="77777777" w:rsidR="006A1316" w:rsidRDefault="006A1316" w:rsidP="006A1316">
      <w:pPr>
        <w:pStyle w:val="Normalbullet"/>
      </w:pPr>
      <w:r>
        <w:t>any regulation, ordinance, by-law or other instrument made under any other Act, or</w:t>
      </w:r>
    </w:p>
    <w:p w14:paraId="79095B59" w14:textId="77777777" w:rsidR="006A1316" w:rsidRDefault="006A1316" w:rsidP="006A1316">
      <w:pPr>
        <w:pStyle w:val="Normalbullet"/>
      </w:pPr>
      <w:r>
        <w:t xml:space="preserve">an order of the NSW Civil and Administrative Tribunal (NCAT), or </w:t>
      </w:r>
    </w:p>
    <w:p w14:paraId="770254AC" w14:textId="77777777" w:rsidR="006A1316" w:rsidRDefault="006A1316" w:rsidP="006A1316">
      <w:pPr>
        <w:pStyle w:val="Normalbullet"/>
      </w:pPr>
      <w:r>
        <w:t>any court order, aside from those made by bodies with the power to fix minimum wages, or other terms and conditions of employment.</w:t>
      </w:r>
      <w:r>
        <w:rPr>
          <w:rStyle w:val="FootnoteReference"/>
        </w:rPr>
        <w:footnoteReference w:id="779"/>
      </w:r>
      <w:r>
        <w:t xml:space="preserve"> </w:t>
      </w:r>
    </w:p>
    <w:p w14:paraId="2F7747B1" w14:textId="77777777" w:rsidR="006A1316" w:rsidRDefault="006A1316" w:rsidP="006A1316">
      <w:pPr>
        <w:pStyle w:val="NormalAutoChapter"/>
        <w:tabs>
          <w:tab w:val="clear" w:pos="720"/>
          <w:tab w:val="num" w:pos="1146"/>
        </w:tabs>
      </w:pPr>
      <w:r>
        <w:t xml:space="preserve">Other discrimination laws have narrower exceptions. For example, the </w:t>
      </w:r>
      <w:r w:rsidRPr="00430C20">
        <w:rPr>
          <w:i/>
          <w:iCs/>
        </w:rPr>
        <w:t>Sex Discrimination Act</w:t>
      </w:r>
      <w:r>
        <w:t xml:space="preserve"> lists the laws that the relevant exception applies to.</w:t>
      </w:r>
      <w:r>
        <w:rPr>
          <w:rStyle w:val="FootnoteReference"/>
        </w:rPr>
        <w:footnoteReference w:id="780"/>
      </w:r>
      <w:r>
        <w:t xml:space="preserve"> </w:t>
      </w:r>
      <w:r w:rsidRPr="00031CB7">
        <w:rPr>
          <w:rStyle w:val="FootnoteReference"/>
        </w:rPr>
        <w:t xml:space="preserve"> </w:t>
      </w:r>
      <w:r>
        <w:t>This requires parliament to consider laws that may conflict with the prohibition on sex discrimination and add them to the list if necessary.</w:t>
      </w:r>
    </w:p>
    <w:p w14:paraId="0E0618DC" w14:textId="77777777" w:rsidR="006A1316" w:rsidRDefault="006A1316" w:rsidP="006A1316">
      <w:pPr>
        <w:pStyle w:val="NormalAutoChapter"/>
        <w:tabs>
          <w:tab w:val="clear" w:pos="720"/>
          <w:tab w:val="num" w:pos="1146"/>
        </w:tabs>
      </w:pPr>
      <w:r>
        <w:t>The exception relating to court and NCAT orders raises further issues. Federal discrimination law contains similar exceptions for court orders.</w:t>
      </w:r>
      <w:r>
        <w:rPr>
          <w:rStyle w:val="FootnoteReference"/>
        </w:rPr>
        <w:footnoteReference w:id="781"/>
      </w:r>
    </w:p>
    <w:p w14:paraId="1AF4754F" w14:textId="77777777" w:rsidR="006A1316" w:rsidRDefault="006A1316" w:rsidP="006A1316">
      <w:pPr>
        <w:pStyle w:val="NormalAutoChapter"/>
        <w:tabs>
          <w:tab w:val="clear" w:pos="720"/>
          <w:tab w:val="num" w:pos="1146"/>
        </w:tabs>
      </w:pPr>
      <w:r>
        <w:lastRenderedPageBreak/>
        <w:t xml:space="preserve">In 1999, the NSWLRC thought the exception about complying with a court or NCAT order was unnecessary. This was because such an order was unlikely to require conduct that would be unlawful under the </w:t>
      </w:r>
      <w:r w:rsidRPr="00045CC6">
        <w:t>ADA</w:t>
      </w:r>
      <w:r>
        <w:t>.</w:t>
      </w:r>
      <w:r>
        <w:rPr>
          <w:rStyle w:val="FootnoteReference"/>
        </w:rPr>
        <w:footnoteReference w:id="782"/>
      </w:r>
    </w:p>
    <w:p w14:paraId="2F4512D2" w14:textId="77777777" w:rsidR="006A1316" w:rsidRDefault="006A1316" w:rsidP="006A1316">
      <w:pPr>
        <w:pStyle w:val="NormalAutoChapter"/>
        <w:tabs>
          <w:tab w:val="clear" w:pos="720"/>
          <w:tab w:val="num" w:pos="1146"/>
        </w:tabs>
      </w:pPr>
      <w:r>
        <w:t xml:space="preserve">Other reviews have taken different approaches. The </w:t>
      </w:r>
      <w:r w:rsidRPr="00294800">
        <w:t>ACT Law Reform Advisory Council</w:t>
      </w:r>
      <w:r w:rsidRPr="00294800" w:rsidDel="00294800">
        <w:t xml:space="preserve"> </w:t>
      </w:r>
      <w:r>
        <w:t>considered the exception for court and tribunal orders should be limited to an act done under an order of a court or tribunal, which was mandatory and specific about conduct that must be performed in the absence of a non-discriminatory alternative.</w:t>
      </w:r>
      <w:r>
        <w:rPr>
          <w:rStyle w:val="FootnoteReference"/>
        </w:rPr>
        <w:footnoteReference w:id="783"/>
      </w:r>
      <w:r>
        <w:t xml:space="preserve"> However, the LRCWA concluded an exception for acts done to comply with a court or tribunal order was appropriate.</w:t>
      </w:r>
      <w:r>
        <w:rPr>
          <w:rStyle w:val="FootnoteReference"/>
        </w:rPr>
        <w:footnoteReference w:id="784"/>
      </w:r>
      <w:r>
        <w:t xml:space="preserve"> </w:t>
      </w:r>
    </w:p>
    <w:p w14:paraId="07EFC1D5" w14:textId="77777777" w:rsidR="006A1316" w:rsidRPr="00D25F48" w:rsidRDefault="006A1316" w:rsidP="006A1316">
      <w:pPr>
        <w:pStyle w:val="Recommendationheading"/>
      </w:pPr>
      <w:r w:rsidRPr="00D25F48">
        <w:t>Question 7.11: The statutory authorities exception</w:t>
      </w:r>
    </w:p>
    <w:p w14:paraId="13EBBD0E" w14:textId="77777777" w:rsidR="006A1316" w:rsidRPr="002975D1" w:rsidRDefault="006A1316" w:rsidP="006A1316">
      <w:pPr>
        <w:pStyle w:val="Recommendationnormal"/>
      </w:pPr>
      <w:r>
        <w:t xml:space="preserve">Should the </w:t>
      </w:r>
      <w:r w:rsidRPr="00BE0262">
        <w:t>ADA</w:t>
      </w:r>
      <w:r>
        <w:t xml:space="preserve"> provide an exception for acts done under statutory authority? If so, what should it cover and when should it apply?</w:t>
      </w:r>
    </w:p>
    <w:p w14:paraId="55C09029" w14:textId="405BF5D4" w:rsidR="00C72168" w:rsidRDefault="00C72168" w:rsidP="006A1316">
      <w:pPr>
        <w:pStyle w:val="NormalAutoChapter"/>
        <w:numPr>
          <w:ilvl w:val="0"/>
          <w:numId w:val="0"/>
        </w:numPr>
        <w:ind w:left="720"/>
        <w:rPr>
          <w:lang w:eastAsia="en-US"/>
        </w:rPr>
      </w:pPr>
      <w:r>
        <w:rPr>
          <w:lang w:eastAsia="en-US"/>
        </w:rPr>
        <w:br w:type="page"/>
      </w:r>
    </w:p>
    <w:p w14:paraId="22F28A34" w14:textId="77777777" w:rsidR="006A1316" w:rsidRPr="00870F38" w:rsidRDefault="006A1316" w:rsidP="006A1316">
      <w:pPr>
        <w:pStyle w:val="NormalAutoChapter"/>
        <w:numPr>
          <w:ilvl w:val="0"/>
          <w:numId w:val="0"/>
        </w:numPr>
        <w:ind w:left="720"/>
        <w:rPr>
          <w:lang w:eastAsia="en-US"/>
        </w:rPr>
      </w:pPr>
    </w:p>
    <w:p w14:paraId="300F62B2" w14:textId="77777777" w:rsidR="006A1316" w:rsidRDefault="006A1316" w:rsidP="00F41119">
      <w:pPr>
        <w:sectPr w:rsidR="006A1316" w:rsidSect="00744F61">
          <w:headerReference w:type="even" r:id="rId36"/>
          <w:footnotePr>
            <w:numRestart w:val="eachSect"/>
          </w:footnotePr>
          <w:pgSz w:w="11906" w:h="16838" w:code="9"/>
          <w:pgMar w:top="1701" w:right="1304" w:bottom="1021" w:left="1304" w:header="567" w:footer="567" w:gutter="0"/>
          <w:cols w:space="708"/>
          <w:docGrid w:linePitch="360"/>
        </w:sectPr>
      </w:pPr>
    </w:p>
    <w:p w14:paraId="77C790A1" w14:textId="77777777" w:rsidR="00FE5562" w:rsidRDefault="00FE5562" w:rsidP="00FE5562">
      <w:pPr>
        <w:pStyle w:val="ChapterHeading"/>
      </w:pPr>
      <w:bookmarkStart w:id="345" w:name="_Toc196826916"/>
      <w:r>
        <w:lastRenderedPageBreak/>
        <w:t>Civil protections against vilification</w:t>
      </w:r>
      <w:bookmarkEnd w:id="345"/>
      <w:r>
        <w:t xml:space="preserve"> </w:t>
      </w:r>
    </w:p>
    <w:p w14:paraId="3E046680" w14:textId="77777777" w:rsidR="00FE5562" w:rsidRDefault="00FE5562" w:rsidP="00B55200">
      <w:pPr>
        <w:pStyle w:val="InBriefHeading"/>
        <w:spacing w:after="0"/>
      </w:pPr>
      <w:r>
        <w:t>In brief</w:t>
      </w:r>
    </w:p>
    <w:p w14:paraId="49DD19A3" w14:textId="77777777" w:rsidR="00FE5562" w:rsidRPr="00406951" w:rsidRDefault="00FE5562" w:rsidP="00B55200">
      <w:pPr>
        <w:pStyle w:val="InBriefText"/>
        <w:spacing w:before="0"/>
      </w:pPr>
      <w:r>
        <w:t xml:space="preserve">We seek your views on the protections in the </w:t>
      </w:r>
      <w:r w:rsidRPr="002A4A6E">
        <w:rPr>
          <w:i/>
          <w:iCs/>
        </w:rPr>
        <w:t xml:space="preserve">Anti-Discrimination Act 1977 </w:t>
      </w:r>
      <w:r>
        <w:t xml:space="preserve">(NSW) against vilification based on race, homosexuality, transgender grounds, HIV/AIDS, and religious belief, affiliation or activity. We ask if these protections should extend to other attributes. We also invite views on the test for vilification, and the exceptions to it. </w:t>
      </w:r>
    </w:p>
    <w:p w14:paraId="422D5396" w14:textId="0C6602A0" w:rsidR="00FE5562" w:rsidRPr="00B55200" w:rsidRDefault="00FE5562" w:rsidP="00FE5562">
      <w:pPr>
        <w:pStyle w:val="TOC2"/>
        <w:rPr>
          <w:rFonts w:eastAsiaTheme="minorEastAsia" w:cstheme="minorBidi"/>
          <w:b w:val="0"/>
          <w:color w:val="auto"/>
          <w:kern w:val="2"/>
          <w:sz w:val="24"/>
          <w:u w:val="none"/>
          <w:lang w:eastAsia="en-AU"/>
          <w14:ligatures w14:val="standardContextual"/>
        </w:rPr>
      </w:pPr>
      <w:r>
        <w:rPr>
          <w:noProof w:val="0"/>
        </w:rPr>
        <w:fldChar w:fldCharType="begin"/>
      </w:r>
      <w:r>
        <w:rPr>
          <w:noProof w:val="0"/>
        </w:rPr>
        <w:instrText xml:space="preserve"> TOC \h \z \t "Heading 1,2,Heading 2,3,Heading - Major,1,Heading default,1,Title page 1,1" </w:instrText>
      </w:r>
      <w:r>
        <w:rPr>
          <w:noProof w:val="0"/>
        </w:rPr>
        <w:fldChar w:fldCharType="separate"/>
      </w:r>
      <w:hyperlink w:anchor="_Toc196746763" w:history="1">
        <w:r w:rsidRPr="00B55200">
          <w:rPr>
            <w:rStyle w:val="Hyperlink"/>
            <w:rFonts w:ascii="Public Sans" w:hAnsi="Public Sans"/>
          </w:rPr>
          <w:t>Protections against vilification: an overview</w:t>
        </w:r>
        <w:r w:rsidRPr="00B55200">
          <w:rPr>
            <w:webHidden/>
          </w:rPr>
          <w:tab/>
        </w:r>
        <w:r w:rsidRPr="00B55200">
          <w:rPr>
            <w:webHidden/>
          </w:rPr>
          <w:fldChar w:fldCharType="begin"/>
        </w:r>
        <w:r w:rsidRPr="00B55200">
          <w:rPr>
            <w:webHidden/>
          </w:rPr>
          <w:instrText xml:space="preserve"> PAGEREF _Toc196746763 \h </w:instrText>
        </w:r>
        <w:r w:rsidRPr="00B55200">
          <w:rPr>
            <w:webHidden/>
          </w:rPr>
        </w:r>
        <w:r w:rsidRPr="00B55200">
          <w:rPr>
            <w:webHidden/>
          </w:rPr>
          <w:fldChar w:fldCharType="separate"/>
        </w:r>
        <w:r w:rsidR="00F44BFC">
          <w:rPr>
            <w:webHidden/>
          </w:rPr>
          <w:t>167</w:t>
        </w:r>
        <w:r w:rsidRPr="00B55200">
          <w:rPr>
            <w:webHidden/>
          </w:rPr>
          <w:fldChar w:fldCharType="end"/>
        </w:r>
      </w:hyperlink>
    </w:p>
    <w:p w14:paraId="5FEC855F" w14:textId="74F536C0" w:rsidR="00FE5562" w:rsidRPr="00B55200" w:rsidRDefault="00FE5562" w:rsidP="00FE5562">
      <w:pPr>
        <w:pStyle w:val="TOC3"/>
        <w:rPr>
          <w:rFonts w:eastAsiaTheme="minorEastAsia" w:cstheme="minorBidi"/>
          <w:color w:val="auto"/>
          <w:kern w:val="2"/>
          <w:sz w:val="24"/>
          <w:u w:val="none"/>
          <w:lang w:eastAsia="en-AU"/>
          <w14:ligatures w14:val="standardContextual"/>
        </w:rPr>
      </w:pPr>
      <w:hyperlink w:anchor="_Toc196746764" w:history="1">
        <w:r w:rsidRPr="00B55200">
          <w:rPr>
            <w:rStyle w:val="Hyperlink"/>
            <w:rFonts w:ascii="Public Sans" w:hAnsi="Public Sans"/>
          </w:rPr>
          <w:t>NSW protections against vilification</w:t>
        </w:r>
        <w:r w:rsidRPr="00B55200">
          <w:rPr>
            <w:webHidden/>
          </w:rPr>
          <w:tab/>
        </w:r>
        <w:r w:rsidRPr="00B55200">
          <w:rPr>
            <w:webHidden/>
          </w:rPr>
          <w:fldChar w:fldCharType="begin"/>
        </w:r>
        <w:r w:rsidRPr="00B55200">
          <w:rPr>
            <w:webHidden/>
          </w:rPr>
          <w:instrText xml:space="preserve"> PAGEREF _Toc196746764 \h </w:instrText>
        </w:r>
        <w:r w:rsidRPr="00B55200">
          <w:rPr>
            <w:webHidden/>
          </w:rPr>
        </w:r>
        <w:r w:rsidRPr="00B55200">
          <w:rPr>
            <w:webHidden/>
          </w:rPr>
          <w:fldChar w:fldCharType="separate"/>
        </w:r>
        <w:r w:rsidR="00F44BFC">
          <w:rPr>
            <w:webHidden/>
          </w:rPr>
          <w:t>167</w:t>
        </w:r>
        <w:r w:rsidRPr="00B55200">
          <w:rPr>
            <w:webHidden/>
          </w:rPr>
          <w:fldChar w:fldCharType="end"/>
        </w:r>
      </w:hyperlink>
    </w:p>
    <w:p w14:paraId="0FC56C39" w14:textId="51273A3C" w:rsidR="00FE5562" w:rsidRPr="00B55200" w:rsidRDefault="00FE5562" w:rsidP="00FE5562">
      <w:pPr>
        <w:pStyle w:val="TOC3"/>
        <w:rPr>
          <w:rFonts w:eastAsiaTheme="minorEastAsia" w:cstheme="minorBidi"/>
          <w:color w:val="auto"/>
          <w:kern w:val="2"/>
          <w:sz w:val="24"/>
          <w:u w:val="none"/>
          <w:lang w:eastAsia="en-AU"/>
          <w14:ligatures w14:val="standardContextual"/>
        </w:rPr>
      </w:pPr>
      <w:hyperlink w:anchor="_Toc196746765" w:history="1">
        <w:r w:rsidRPr="00B55200">
          <w:rPr>
            <w:rStyle w:val="Hyperlink"/>
            <w:rFonts w:ascii="Public Sans" w:hAnsi="Public Sans"/>
          </w:rPr>
          <w:t>Federal protections</w:t>
        </w:r>
        <w:r w:rsidRPr="00B55200">
          <w:rPr>
            <w:webHidden/>
          </w:rPr>
          <w:tab/>
        </w:r>
        <w:r w:rsidRPr="00B55200">
          <w:rPr>
            <w:webHidden/>
          </w:rPr>
          <w:fldChar w:fldCharType="begin"/>
        </w:r>
        <w:r w:rsidRPr="00B55200">
          <w:rPr>
            <w:webHidden/>
          </w:rPr>
          <w:instrText xml:space="preserve"> PAGEREF _Toc196746765 \h </w:instrText>
        </w:r>
        <w:r w:rsidRPr="00B55200">
          <w:rPr>
            <w:webHidden/>
          </w:rPr>
        </w:r>
        <w:r w:rsidRPr="00B55200">
          <w:rPr>
            <w:webHidden/>
          </w:rPr>
          <w:fldChar w:fldCharType="separate"/>
        </w:r>
        <w:r w:rsidR="00F44BFC">
          <w:rPr>
            <w:webHidden/>
          </w:rPr>
          <w:t>168</w:t>
        </w:r>
        <w:r w:rsidRPr="00B55200">
          <w:rPr>
            <w:webHidden/>
          </w:rPr>
          <w:fldChar w:fldCharType="end"/>
        </w:r>
      </w:hyperlink>
    </w:p>
    <w:p w14:paraId="23D590F7" w14:textId="263D85A0" w:rsidR="00FE5562" w:rsidRPr="00B55200" w:rsidRDefault="00FE5562" w:rsidP="00FE5562">
      <w:pPr>
        <w:pStyle w:val="TOC2"/>
        <w:rPr>
          <w:rFonts w:eastAsiaTheme="minorEastAsia" w:cstheme="minorBidi"/>
          <w:b w:val="0"/>
          <w:color w:val="auto"/>
          <w:kern w:val="2"/>
          <w:sz w:val="24"/>
          <w:u w:val="none"/>
          <w:lang w:eastAsia="en-AU"/>
          <w14:ligatures w14:val="standardContextual"/>
        </w:rPr>
      </w:pPr>
      <w:hyperlink w:anchor="_Toc196746766" w:history="1">
        <w:r w:rsidRPr="00B55200">
          <w:rPr>
            <w:rStyle w:val="Hyperlink"/>
            <w:rFonts w:ascii="Public Sans" w:hAnsi="Public Sans"/>
          </w:rPr>
          <w:t>The protected attributes: civil vilification</w:t>
        </w:r>
        <w:r w:rsidRPr="00B55200">
          <w:rPr>
            <w:webHidden/>
          </w:rPr>
          <w:tab/>
        </w:r>
        <w:r w:rsidRPr="00B55200">
          <w:rPr>
            <w:webHidden/>
          </w:rPr>
          <w:fldChar w:fldCharType="begin"/>
        </w:r>
        <w:r w:rsidRPr="00B55200">
          <w:rPr>
            <w:webHidden/>
          </w:rPr>
          <w:instrText xml:space="preserve"> PAGEREF _Toc196746766 \h </w:instrText>
        </w:r>
        <w:r w:rsidRPr="00B55200">
          <w:rPr>
            <w:webHidden/>
          </w:rPr>
        </w:r>
        <w:r w:rsidRPr="00B55200">
          <w:rPr>
            <w:webHidden/>
          </w:rPr>
          <w:fldChar w:fldCharType="separate"/>
        </w:r>
        <w:r w:rsidR="00F44BFC">
          <w:rPr>
            <w:webHidden/>
          </w:rPr>
          <w:t>169</w:t>
        </w:r>
        <w:r w:rsidRPr="00B55200">
          <w:rPr>
            <w:webHidden/>
          </w:rPr>
          <w:fldChar w:fldCharType="end"/>
        </w:r>
      </w:hyperlink>
    </w:p>
    <w:p w14:paraId="5327076E" w14:textId="1A88733C" w:rsidR="00FE5562" w:rsidRPr="00B55200" w:rsidRDefault="00FE5562" w:rsidP="00FE5562">
      <w:pPr>
        <w:pStyle w:val="TOC3"/>
        <w:rPr>
          <w:rFonts w:eastAsiaTheme="minorEastAsia" w:cstheme="minorBidi"/>
          <w:color w:val="auto"/>
          <w:kern w:val="2"/>
          <w:sz w:val="24"/>
          <w:u w:val="none"/>
          <w:lang w:eastAsia="en-AU"/>
          <w14:ligatures w14:val="standardContextual"/>
        </w:rPr>
      </w:pPr>
      <w:hyperlink w:anchor="_Toc196746767" w:history="1">
        <w:r w:rsidRPr="00B55200">
          <w:rPr>
            <w:rStyle w:val="Hyperlink"/>
            <w:rFonts w:ascii="Public Sans" w:hAnsi="Public Sans"/>
          </w:rPr>
          <w:t>How the protected attributes are expressed and defined</w:t>
        </w:r>
        <w:r w:rsidRPr="00B55200">
          <w:rPr>
            <w:webHidden/>
          </w:rPr>
          <w:tab/>
        </w:r>
        <w:r w:rsidRPr="00B55200">
          <w:rPr>
            <w:webHidden/>
          </w:rPr>
          <w:fldChar w:fldCharType="begin"/>
        </w:r>
        <w:r w:rsidRPr="00B55200">
          <w:rPr>
            <w:webHidden/>
          </w:rPr>
          <w:instrText xml:space="preserve"> PAGEREF _Toc196746767 \h </w:instrText>
        </w:r>
        <w:r w:rsidRPr="00B55200">
          <w:rPr>
            <w:webHidden/>
          </w:rPr>
        </w:r>
        <w:r w:rsidRPr="00B55200">
          <w:rPr>
            <w:webHidden/>
          </w:rPr>
          <w:fldChar w:fldCharType="separate"/>
        </w:r>
        <w:r w:rsidR="00F44BFC">
          <w:rPr>
            <w:webHidden/>
          </w:rPr>
          <w:t>170</w:t>
        </w:r>
        <w:r w:rsidRPr="00B55200">
          <w:rPr>
            <w:webHidden/>
          </w:rPr>
          <w:fldChar w:fldCharType="end"/>
        </w:r>
      </w:hyperlink>
    </w:p>
    <w:p w14:paraId="1B54ED8A" w14:textId="0A281D05" w:rsidR="00FE5562" w:rsidRPr="00B55200" w:rsidRDefault="00FE5562" w:rsidP="00FE5562">
      <w:pPr>
        <w:pStyle w:val="TOC3"/>
        <w:rPr>
          <w:rFonts w:eastAsiaTheme="minorEastAsia" w:cstheme="minorBidi"/>
          <w:color w:val="auto"/>
          <w:kern w:val="2"/>
          <w:sz w:val="24"/>
          <w:u w:val="none"/>
          <w:lang w:eastAsia="en-AU"/>
          <w14:ligatures w14:val="standardContextual"/>
        </w:rPr>
      </w:pPr>
      <w:hyperlink w:anchor="_Toc196746768" w:history="1">
        <w:r w:rsidRPr="00B55200">
          <w:rPr>
            <w:rStyle w:val="Hyperlink"/>
            <w:rFonts w:ascii="Public Sans" w:hAnsi="Public Sans"/>
          </w:rPr>
          <w:t>Other potential protected attributes</w:t>
        </w:r>
        <w:r w:rsidRPr="00B55200">
          <w:rPr>
            <w:webHidden/>
          </w:rPr>
          <w:tab/>
        </w:r>
        <w:r w:rsidRPr="00B55200">
          <w:rPr>
            <w:webHidden/>
          </w:rPr>
          <w:fldChar w:fldCharType="begin"/>
        </w:r>
        <w:r w:rsidRPr="00B55200">
          <w:rPr>
            <w:webHidden/>
          </w:rPr>
          <w:instrText xml:space="preserve"> PAGEREF _Toc196746768 \h </w:instrText>
        </w:r>
        <w:r w:rsidRPr="00B55200">
          <w:rPr>
            <w:webHidden/>
          </w:rPr>
        </w:r>
        <w:r w:rsidRPr="00B55200">
          <w:rPr>
            <w:webHidden/>
          </w:rPr>
          <w:fldChar w:fldCharType="separate"/>
        </w:r>
        <w:r w:rsidR="00F44BFC">
          <w:rPr>
            <w:webHidden/>
          </w:rPr>
          <w:t>172</w:t>
        </w:r>
        <w:r w:rsidRPr="00B55200">
          <w:rPr>
            <w:webHidden/>
          </w:rPr>
          <w:fldChar w:fldCharType="end"/>
        </w:r>
      </w:hyperlink>
    </w:p>
    <w:p w14:paraId="24299429" w14:textId="25B5B4C9" w:rsidR="00FE5562" w:rsidRPr="00B55200" w:rsidRDefault="00FE5562" w:rsidP="00FE5562">
      <w:pPr>
        <w:pStyle w:val="TOC2"/>
        <w:rPr>
          <w:rFonts w:eastAsiaTheme="minorEastAsia" w:cstheme="minorBidi"/>
          <w:b w:val="0"/>
          <w:color w:val="auto"/>
          <w:kern w:val="2"/>
          <w:sz w:val="24"/>
          <w:u w:val="none"/>
          <w:lang w:eastAsia="en-AU"/>
          <w14:ligatures w14:val="standardContextual"/>
        </w:rPr>
      </w:pPr>
      <w:hyperlink w:anchor="_Toc196746769" w:history="1">
        <w:r w:rsidRPr="00B55200">
          <w:rPr>
            <w:rStyle w:val="Hyperlink"/>
            <w:rFonts w:ascii="Public Sans" w:hAnsi="Public Sans"/>
          </w:rPr>
          <w:t>The test for vilification</w:t>
        </w:r>
        <w:r w:rsidRPr="00B55200">
          <w:rPr>
            <w:webHidden/>
          </w:rPr>
          <w:tab/>
        </w:r>
        <w:r w:rsidRPr="00B55200">
          <w:rPr>
            <w:webHidden/>
          </w:rPr>
          <w:fldChar w:fldCharType="begin"/>
        </w:r>
        <w:r w:rsidRPr="00B55200">
          <w:rPr>
            <w:webHidden/>
          </w:rPr>
          <w:instrText xml:space="preserve"> PAGEREF _Toc196746769 \h </w:instrText>
        </w:r>
        <w:r w:rsidRPr="00B55200">
          <w:rPr>
            <w:webHidden/>
          </w:rPr>
        </w:r>
        <w:r w:rsidRPr="00B55200">
          <w:rPr>
            <w:webHidden/>
          </w:rPr>
          <w:fldChar w:fldCharType="separate"/>
        </w:r>
        <w:r w:rsidR="00F44BFC">
          <w:rPr>
            <w:webHidden/>
          </w:rPr>
          <w:t>179</w:t>
        </w:r>
        <w:r w:rsidRPr="00B55200">
          <w:rPr>
            <w:webHidden/>
          </w:rPr>
          <w:fldChar w:fldCharType="end"/>
        </w:r>
      </w:hyperlink>
    </w:p>
    <w:p w14:paraId="6A25B83E" w14:textId="65201882" w:rsidR="00FE5562" w:rsidRPr="00B55200" w:rsidRDefault="00FE5562" w:rsidP="00FE5562">
      <w:pPr>
        <w:pStyle w:val="TOC3"/>
        <w:rPr>
          <w:rFonts w:eastAsiaTheme="minorEastAsia" w:cstheme="minorBidi"/>
          <w:color w:val="auto"/>
          <w:kern w:val="2"/>
          <w:sz w:val="24"/>
          <w:u w:val="none"/>
          <w:lang w:eastAsia="en-AU"/>
          <w14:ligatures w14:val="standardContextual"/>
        </w:rPr>
      </w:pPr>
      <w:hyperlink w:anchor="_Toc196746770" w:history="1">
        <w:r w:rsidRPr="00B55200">
          <w:rPr>
            <w:rStyle w:val="Hyperlink"/>
            <w:rFonts w:ascii="Public Sans" w:hAnsi="Public Sans"/>
          </w:rPr>
          <w:t>An overview of the ADA’s incitement-based test</w:t>
        </w:r>
        <w:r w:rsidRPr="00B55200">
          <w:rPr>
            <w:webHidden/>
          </w:rPr>
          <w:tab/>
        </w:r>
        <w:r w:rsidRPr="00B55200">
          <w:rPr>
            <w:webHidden/>
          </w:rPr>
          <w:fldChar w:fldCharType="begin"/>
        </w:r>
        <w:r w:rsidRPr="00B55200">
          <w:rPr>
            <w:webHidden/>
          </w:rPr>
          <w:instrText xml:space="preserve"> PAGEREF _Toc196746770 \h </w:instrText>
        </w:r>
        <w:r w:rsidRPr="00B55200">
          <w:rPr>
            <w:webHidden/>
          </w:rPr>
        </w:r>
        <w:r w:rsidRPr="00B55200">
          <w:rPr>
            <w:webHidden/>
          </w:rPr>
          <w:fldChar w:fldCharType="separate"/>
        </w:r>
        <w:r w:rsidR="00F44BFC">
          <w:rPr>
            <w:webHidden/>
          </w:rPr>
          <w:t>179</w:t>
        </w:r>
        <w:r w:rsidRPr="00B55200">
          <w:rPr>
            <w:webHidden/>
          </w:rPr>
          <w:fldChar w:fldCharType="end"/>
        </w:r>
      </w:hyperlink>
    </w:p>
    <w:p w14:paraId="441A0A13" w14:textId="480B5526" w:rsidR="00FE5562" w:rsidRPr="00B55200" w:rsidRDefault="00FE5562" w:rsidP="00FE5562">
      <w:pPr>
        <w:pStyle w:val="TOC3"/>
        <w:rPr>
          <w:rFonts w:eastAsiaTheme="minorEastAsia" w:cstheme="minorBidi"/>
          <w:color w:val="auto"/>
          <w:kern w:val="2"/>
          <w:sz w:val="24"/>
          <w:u w:val="none"/>
          <w:lang w:eastAsia="en-AU"/>
          <w14:ligatures w14:val="standardContextual"/>
        </w:rPr>
      </w:pPr>
      <w:hyperlink w:anchor="_Toc196746771" w:history="1">
        <w:r w:rsidRPr="00B55200">
          <w:rPr>
            <w:rStyle w:val="Hyperlink"/>
            <w:rFonts w:ascii="Public Sans" w:hAnsi="Public Sans"/>
          </w:rPr>
          <w:t>A harm-based test</w:t>
        </w:r>
        <w:r w:rsidRPr="00B55200">
          <w:rPr>
            <w:webHidden/>
          </w:rPr>
          <w:tab/>
        </w:r>
        <w:r w:rsidRPr="00B55200">
          <w:rPr>
            <w:webHidden/>
          </w:rPr>
          <w:fldChar w:fldCharType="begin"/>
        </w:r>
        <w:r w:rsidRPr="00B55200">
          <w:rPr>
            <w:webHidden/>
          </w:rPr>
          <w:instrText xml:space="preserve"> PAGEREF _Toc196746771 \h </w:instrText>
        </w:r>
        <w:r w:rsidRPr="00B55200">
          <w:rPr>
            <w:webHidden/>
          </w:rPr>
        </w:r>
        <w:r w:rsidRPr="00B55200">
          <w:rPr>
            <w:webHidden/>
          </w:rPr>
          <w:fldChar w:fldCharType="separate"/>
        </w:r>
        <w:r w:rsidR="00F44BFC">
          <w:rPr>
            <w:webHidden/>
          </w:rPr>
          <w:t>180</w:t>
        </w:r>
        <w:r w:rsidRPr="00B55200">
          <w:rPr>
            <w:webHidden/>
          </w:rPr>
          <w:fldChar w:fldCharType="end"/>
        </w:r>
      </w:hyperlink>
    </w:p>
    <w:p w14:paraId="360155CB" w14:textId="0D91EBF1" w:rsidR="00FE5562" w:rsidRPr="00B55200" w:rsidRDefault="00FE5562" w:rsidP="00FE5562">
      <w:pPr>
        <w:pStyle w:val="TOC3"/>
        <w:rPr>
          <w:rFonts w:eastAsiaTheme="minorEastAsia" w:cstheme="minorBidi"/>
          <w:color w:val="auto"/>
          <w:kern w:val="2"/>
          <w:sz w:val="24"/>
          <w:u w:val="none"/>
          <w:lang w:eastAsia="en-AU"/>
          <w14:ligatures w14:val="standardContextual"/>
        </w:rPr>
      </w:pPr>
      <w:hyperlink w:anchor="_Toc196746772" w:history="1">
        <w:r w:rsidRPr="00B55200">
          <w:rPr>
            <w:rStyle w:val="Hyperlink"/>
            <w:rFonts w:ascii="Public Sans" w:hAnsi="Public Sans"/>
          </w:rPr>
          <w:t>Other options for reform</w:t>
        </w:r>
        <w:r w:rsidRPr="00B55200">
          <w:rPr>
            <w:webHidden/>
          </w:rPr>
          <w:tab/>
        </w:r>
        <w:r w:rsidRPr="00B55200">
          <w:rPr>
            <w:webHidden/>
          </w:rPr>
          <w:fldChar w:fldCharType="begin"/>
        </w:r>
        <w:r w:rsidRPr="00B55200">
          <w:rPr>
            <w:webHidden/>
          </w:rPr>
          <w:instrText xml:space="preserve"> PAGEREF _Toc196746772 \h </w:instrText>
        </w:r>
        <w:r w:rsidRPr="00B55200">
          <w:rPr>
            <w:webHidden/>
          </w:rPr>
        </w:r>
        <w:r w:rsidRPr="00B55200">
          <w:rPr>
            <w:webHidden/>
          </w:rPr>
          <w:fldChar w:fldCharType="separate"/>
        </w:r>
        <w:r w:rsidR="00F44BFC">
          <w:rPr>
            <w:webHidden/>
          </w:rPr>
          <w:t>183</w:t>
        </w:r>
        <w:r w:rsidRPr="00B55200">
          <w:rPr>
            <w:webHidden/>
          </w:rPr>
          <w:fldChar w:fldCharType="end"/>
        </w:r>
      </w:hyperlink>
    </w:p>
    <w:p w14:paraId="6C450CE2" w14:textId="71E04E36" w:rsidR="00FE5562" w:rsidRPr="00B55200" w:rsidRDefault="00FE5562" w:rsidP="00FE5562">
      <w:pPr>
        <w:pStyle w:val="TOC2"/>
        <w:rPr>
          <w:rFonts w:eastAsiaTheme="minorEastAsia" w:cstheme="minorBidi"/>
          <w:b w:val="0"/>
          <w:color w:val="auto"/>
          <w:kern w:val="2"/>
          <w:sz w:val="24"/>
          <w:u w:val="none"/>
          <w:lang w:eastAsia="en-AU"/>
          <w14:ligatures w14:val="standardContextual"/>
        </w:rPr>
      </w:pPr>
      <w:hyperlink w:anchor="_Toc196746773" w:history="1">
        <w:r w:rsidRPr="00B55200">
          <w:rPr>
            <w:rStyle w:val="Hyperlink"/>
            <w:rFonts w:ascii="Public Sans" w:hAnsi="Public Sans"/>
          </w:rPr>
          <w:t>The definition of public act</w:t>
        </w:r>
        <w:r w:rsidRPr="00B55200">
          <w:rPr>
            <w:webHidden/>
          </w:rPr>
          <w:tab/>
        </w:r>
        <w:r w:rsidRPr="00B55200">
          <w:rPr>
            <w:webHidden/>
          </w:rPr>
          <w:fldChar w:fldCharType="begin"/>
        </w:r>
        <w:r w:rsidRPr="00B55200">
          <w:rPr>
            <w:webHidden/>
          </w:rPr>
          <w:instrText xml:space="preserve"> PAGEREF _Toc196746773 \h </w:instrText>
        </w:r>
        <w:r w:rsidRPr="00B55200">
          <w:rPr>
            <w:webHidden/>
          </w:rPr>
        </w:r>
        <w:r w:rsidRPr="00B55200">
          <w:rPr>
            <w:webHidden/>
          </w:rPr>
          <w:fldChar w:fldCharType="separate"/>
        </w:r>
        <w:r w:rsidR="00F44BFC">
          <w:rPr>
            <w:webHidden/>
          </w:rPr>
          <w:t>184</w:t>
        </w:r>
        <w:r w:rsidRPr="00B55200">
          <w:rPr>
            <w:webHidden/>
          </w:rPr>
          <w:fldChar w:fldCharType="end"/>
        </w:r>
      </w:hyperlink>
    </w:p>
    <w:p w14:paraId="300C2686" w14:textId="47E1A3D0" w:rsidR="00FE5562" w:rsidRPr="00B55200" w:rsidRDefault="00FE5562" w:rsidP="00FE5562">
      <w:pPr>
        <w:pStyle w:val="TOC3"/>
        <w:rPr>
          <w:rFonts w:eastAsiaTheme="minorEastAsia" w:cstheme="minorBidi"/>
          <w:color w:val="auto"/>
          <w:kern w:val="2"/>
          <w:sz w:val="24"/>
          <w:u w:val="none"/>
          <w:lang w:eastAsia="en-AU"/>
          <w14:ligatures w14:val="standardContextual"/>
        </w:rPr>
      </w:pPr>
      <w:hyperlink w:anchor="_Toc196746774" w:history="1">
        <w:r w:rsidRPr="00B55200">
          <w:rPr>
            <w:rStyle w:val="Hyperlink"/>
            <w:rFonts w:ascii="Public Sans" w:hAnsi="Public Sans"/>
          </w:rPr>
          <w:t>The ADA takes a broad approach to “public act”</w:t>
        </w:r>
        <w:r w:rsidRPr="00B55200">
          <w:rPr>
            <w:webHidden/>
          </w:rPr>
          <w:tab/>
        </w:r>
        <w:r w:rsidRPr="00B55200">
          <w:rPr>
            <w:webHidden/>
          </w:rPr>
          <w:fldChar w:fldCharType="begin"/>
        </w:r>
        <w:r w:rsidRPr="00B55200">
          <w:rPr>
            <w:webHidden/>
          </w:rPr>
          <w:instrText xml:space="preserve"> PAGEREF _Toc196746774 \h </w:instrText>
        </w:r>
        <w:r w:rsidRPr="00B55200">
          <w:rPr>
            <w:webHidden/>
          </w:rPr>
        </w:r>
        <w:r w:rsidRPr="00B55200">
          <w:rPr>
            <w:webHidden/>
          </w:rPr>
          <w:fldChar w:fldCharType="separate"/>
        </w:r>
        <w:r w:rsidR="00F44BFC">
          <w:rPr>
            <w:webHidden/>
          </w:rPr>
          <w:t>184</w:t>
        </w:r>
        <w:r w:rsidRPr="00B55200">
          <w:rPr>
            <w:webHidden/>
          </w:rPr>
          <w:fldChar w:fldCharType="end"/>
        </w:r>
      </w:hyperlink>
    </w:p>
    <w:p w14:paraId="5D2EB639" w14:textId="2446F961" w:rsidR="00FE5562" w:rsidRPr="00B55200" w:rsidRDefault="00FE5562" w:rsidP="00FE5562">
      <w:pPr>
        <w:pStyle w:val="TOC3"/>
        <w:rPr>
          <w:rFonts w:eastAsiaTheme="minorEastAsia" w:cstheme="minorBidi"/>
          <w:color w:val="auto"/>
          <w:kern w:val="2"/>
          <w:sz w:val="24"/>
          <w:u w:val="none"/>
          <w:lang w:eastAsia="en-AU"/>
          <w14:ligatures w14:val="standardContextual"/>
        </w:rPr>
      </w:pPr>
      <w:hyperlink w:anchor="_Toc196746775" w:history="1">
        <w:r w:rsidRPr="00B55200">
          <w:rPr>
            <w:rStyle w:val="Hyperlink"/>
            <w:rFonts w:ascii="Public Sans" w:hAnsi="Public Sans"/>
          </w:rPr>
          <w:t>Options for clarifying the definition</w:t>
        </w:r>
        <w:r w:rsidRPr="00B55200">
          <w:rPr>
            <w:webHidden/>
          </w:rPr>
          <w:tab/>
        </w:r>
        <w:r w:rsidRPr="00B55200">
          <w:rPr>
            <w:webHidden/>
          </w:rPr>
          <w:fldChar w:fldCharType="begin"/>
        </w:r>
        <w:r w:rsidRPr="00B55200">
          <w:rPr>
            <w:webHidden/>
          </w:rPr>
          <w:instrText xml:space="preserve"> PAGEREF _Toc196746775 \h </w:instrText>
        </w:r>
        <w:r w:rsidRPr="00B55200">
          <w:rPr>
            <w:webHidden/>
          </w:rPr>
        </w:r>
        <w:r w:rsidRPr="00B55200">
          <w:rPr>
            <w:webHidden/>
          </w:rPr>
          <w:fldChar w:fldCharType="separate"/>
        </w:r>
        <w:r w:rsidR="00F44BFC">
          <w:rPr>
            <w:webHidden/>
          </w:rPr>
          <w:t>186</w:t>
        </w:r>
        <w:r w:rsidRPr="00B55200">
          <w:rPr>
            <w:webHidden/>
          </w:rPr>
          <w:fldChar w:fldCharType="end"/>
        </w:r>
      </w:hyperlink>
    </w:p>
    <w:p w14:paraId="641196DA" w14:textId="28A01E5A" w:rsidR="00FE5562" w:rsidRPr="00B55200" w:rsidRDefault="00FE5562" w:rsidP="00FE5562">
      <w:pPr>
        <w:pStyle w:val="TOC2"/>
        <w:rPr>
          <w:rFonts w:eastAsiaTheme="minorEastAsia" w:cstheme="minorBidi"/>
          <w:b w:val="0"/>
          <w:color w:val="auto"/>
          <w:kern w:val="2"/>
          <w:sz w:val="24"/>
          <w:u w:val="none"/>
          <w:lang w:eastAsia="en-AU"/>
          <w14:ligatures w14:val="standardContextual"/>
        </w:rPr>
      </w:pPr>
      <w:hyperlink w:anchor="_Toc196746776" w:history="1">
        <w:r w:rsidRPr="00B55200">
          <w:rPr>
            <w:rStyle w:val="Hyperlink"/>
            <w:rFonts w:ascii="Public Sans" w:hAnsi="Public Sans"/>
          </w:rPr>
          <w:t>Exceptions</w:t>
        </w:r>
        <w:r w:rsidRPr="00B55200">
          <w:rPr>
            <w:webHidden/>
          </w:rPr>
          <w:tab/>
        </w:r>
        <w:r w:rsidRPr="00B55200">
          <w:rPr>
            <w:webHidden/>
          </w:rPr>
          <w:fldChar w:fldCharType="begin"/>
        </w:r>
        <w:r w:rsidRPr="00B55200">
          <w:rPr>
            <w:webHidden/>
          </w:rPr>
          <w:instrText xml:space="preserve"> PAGEREF _Toc196746776 \h </w:instrText>
        </w:r>
        <w:r w:rsidRPr="00B55200">
          <w:rPr>
            <w:webHidden/>
          </w:rPr>
        </w:r>
        <w:r w:rsidRPr="00B55200">
          <w:rPr>
            <w:webHidden/>
          </w:rPr>
          <w:fldChar w:fldCharType="separate"/>
        </w:r>
        <w:r w:rsidR="00F44BFC">
          <w:rPr>
            <w:webHidden/>
          </w:rPr>
          <w:t>188</w:t>
        </w:r>
        <w:r w:rsidRPr="00B55200">
          <w:rPr>
            <w:webHidden/>
          </w:rPr>
          <w:fldChar w:fldCharType="end"/>
        </w:r>
      </w:hyperlink>
    </w:p>
    <w:p w14:paraId="11D5037D" w14:textId="569CB03F" w:rsidR="00FE5562" w:rsidRPr="00B55200" w:rsidRDefault="00FE5562" w:rsidP="00FE5562">
      <w:pPr>
        <w:pStyle w:val="TOC3"/>
        <w:rPr>
          <w:rFonts w:eastAsiaTheme="minorEastAsia" w:cstheme="minorBidi"/>
          <w:color w:val="auto"/>
          <w:kern w:val="2"/>
          <w:sz w:val="24"/>
          <w:u w:val="none"/>
          <w:lang w:eastAsia="en-AU"/>
          <w14:ligatures w14:val="standardContextual"/>
        </w:rPr>
      </w:pPr>
      <w:hyperlink w:anchor="_Toc196746777" w:history="1">
        <w:r w:rsidRPr="00B55200">
          <w:rPr>
            <w:rStyle w:val="Hyperlink"/>
            <w:rFonts w:ascii="Public Sans" w:hAnsi="Public Sans"/>
          </w:rPr>
          <w:t>“Fair report” and “absolute privilege for defamation” exceptions</w:t>
        </w:r>
        <w:r w:rsidRPr="00B55200">
          <w:rPr>
            <w:webHidden/>
          </w:rPr>
          <w:tab/>
        </w:r>
        <w:r w:rsidRPr="00B55200">
          <w:rPr>
            <w:webHidden/>
          </w:rPr>
          <w:fldChar w:fldCharType="begin"/>
        </w:r>
        <w:r w:rsidRPr="00B55200">
          <w:rPr>
            <w:webHidden/>
          </w:rPr>
          <w:instrText xml:space="preserve"> PAGEREF _Toc196746777 \h </w:instrText>
        </w:r>
        <w:r w:rsidRPr="00B55200">
          <w:rPr>
            <w:webHidden/>
          </w:rPr>
        </w:r>
        <w:r w:rsidRPr="00B55200">
          <w:rPr>
            <w:webHidden/>
          </w:rPr>
          <w:fldChar w:fldCharType="separate"/>
        </w:r>
        <w:r w:rsidR="00F44BFC">
          <w:rPr>
            <w:webHidden/>
          </w:rPr>
          <w:t>188</w:t>
        </w:r>
        <w:r w:rsidRPr="00B55200">
          <w:rPr>
            <w:webHidden/>
          </w:rPr>
          <w:fldChar w:fldCharType="end"/>
        </w:r>
      </w:hyperlink>
    </w:p>
    <w:p w14:paraId="33F3812B" w14:textId="4355BF29" w:rsidR="00FE5562" w:rsidRPr="00B55200" w:rsidRDefault="00FE5562" w:rsidP="00FE5562">
      <w:pPr>
        <w:pStyle w:val="TOC3"/>
        <w:rPr>
          <w:rFonts w:eastAsiaTheme="minorEastAsia" w:cstheme="minorBidi"/>
          <w:color w:val="auto"/>
          <w:kern w:val="2"/>
          <w:sz w:val="24"/>
          <w:u w:val="none"/>
          <w:lang w:eastAsia="en-AU"/>
          <w14:ligatures w14:val="standardContextual"/>
        </w:rPr>
      </w:pPr>
      <w:hyperlink w:anchor="_Toc196746778" w:history="1">
        <w:r w:rsidRPr="00B55200">
          <w:rPr>
            <w:rStyle w:val="Hyperlink"/>
            <w:rFonts w:ascii="Public Sans" w:hAnsi="Public Sans"/>
          </w:rPr>
          <w:t>The public interest exceptions</w:t>
        </w:r>
        <w:r w:rsidRPr="00B55200">
          <w:rPr>
            <w:webHidden/>
          </w:rPr>
          <w:tab/>
        </w:r>
        <w:r w:rsidRPr="00B55200">
          <w:rPr>
            <w:webHidden/>
          </w:rPr>
          <w:fldChar w:fldCharType="begin"/>
        </w:r>
        <w:r w:rsidRPr="00B55200">
          <w:rPr>
            <w:webHidden/>
          </w:rPr>
          <w:instrText xml:space="preserve"> PAGEREF _Toc196746778 \h </w:instrText>
        </w:r>
        <w:r w:rsidRPr="00B55200">
          <w:rPr>
            <w:webHidden/>
          </w:rPr>
        </w:r>
        <w:r w:rsidRPr="00B55200">
          <w:rPr>
            <w:webHidden/>
          </w:rPr>
          <w:fldChar w:fldCharType="separate"/>
        </w:r>
        <w:r w:rsidR="00F44BFC">
          <w:rPr>
            <w:webHidden/>
          </w:rPr>
          <w:t>189</w:t>
        </w:r>
        <w:r w:rsidRPr="00B55200">
          <w:rPr>
            <w:webHidden/>
          </w:rPr>
          <w:fldChar w:fldCharType="end"/>
        </w:r>
      </w:hyperlink>
    </w:p>
    <w:p w14:paraId="1FAF0F49" w14:textId="703319CD" w:rsidR="00FE5562" w:rsidRPr="00B55200" w:rsidRDefault="00FE5562" w:rsidP="00FE5562">
      <w:pPr>
        <w:pStyle w:val="TOC2"/>
        <w:rPr>
          <w:rFonts w:eastAsiaTheme="minorEastAsia" w:cstheme="minorBidi"/>
          <w:b w:val="0"/>
          <w:color w:val="auto"/>
          <w:kern w:val="2"/>
          <w:sz w:val="24"/>
          <w:u w:val="none"/>
          <w:lang w:eastAsia="en-AU"/>
          <w14:ligatures w14:val="standardContextual"/>
        </w:rPr>
      </w:pPr>
      <w:hyperlink w:anchor="_Toc196746779" w:history="1">
        <w:r w:rsidRPr="00B55200">
          <w:rPr>
            <w:rStyle w:val="Hyperlink"/>
            <w:rFonts w:ascii="Public Sans" w:hAnsi="Public Sans"/>
          </w:rPr>
          <w:t>Religious vilification protections</w:t>
        </w:r>
        <w:r w:rsidRPr="00B55200">
          <w:rPr>
            <w:webHidden/>
          </w:rPr>
          <w:tab/>
        </w:r>
        <w:r w:rsidRPr="00B55200">
          <w:rPr>
            <w:webHidden/>
          </w:rPr>
          <w:fldChar w:fldCharType="begin"/>
        </w:r>
        <w:r w:rsidRPr="00B55200">
          <w:rPr>
            <w:webHidden/>
          </w:rPr>
          <w:instrText xml:space="preserve"> PAGEREF _Toc196746779 \h </w:instrText>
        </w:r>
        <w:r w:rsidRPr="00B55200">
          <w:rPr>
            <w:webHidden/>
          </w:rPr>
        </w:r>
        <w:r w:rsidRPr="00B55200">
          <w:rPr>
            <w:webHidden/>
          </w:rPr>
          <w:fldChar w:fldCharType="separate"/>
        </w:r>
        <w:r w:rsidR="00F44BFC">
          <w:rPr>
            <w:webHidden/>
          </w:rPr>
          <w:t>192</w:t>
        </w:r>
        <w:r w:rsidRPr="00B55200">
          <w:rPr>
            <w:webHidden/>
          </w:rPr>
          <w:fldChar w:fldCharType="end"/>
        </w:r>
      </w:hyperlink>
    </w:p>
    <w:p w14:paraId="19EA33FF" w14:textId="700BD63F" w:rsidR="00FE5562" w:rsidRPr="00B55200" w:rsidRDefault="00FE5562" w:rsidP="00FE5562">
      <w:pPr>
        <w:pStyle w:val="TOC3"/>
        <w:rPr>
          <w:rFonts w:eastAsiaTheme="minorEastAsia" w:cstheme="minorBidi"/>
          <w:color w:val="auto"/>
          <w:kern w:val="2"/>
          <w:sz w:val="24"/>
          <w:u w:val="none"/>
          <w:lang w:eastAsia="en-AU"/>
          <w14:ligatures w14:val="standardContextual"/>
        </w:rPr>
      </w:pPr>
      <w:hyperlink w:anchor="_Toc196746780" w:history="1">
        <w:r w:rsidRPr="00B55200">
          <w:rPr>
            <w:rStyle w:val="Hyperlink"/>
            <w:rFonts w:ascii="Public Sans" w:hAnsi="Public Sans"/>
          </w:rPr>
          <w:t>The definition of religious belief, affiliation and activity</w:t>
        </w:r>
        <w:r w:rsidRPr="00B55200">
          <w:rPr>
            <w:webHidden/>
          </w:rPr>
          <w:tab/>
        </w:r>
        <w:r w:rsidRPr="00B55200">
          <w:rPr>
            <w:webHidden/>
          </w:rPr>
          <w:fldChar w:fldCharType="begin"/>
        </w:r>
        <w:r w:rsidRPr="00B55200">
          <w:rPr>
            <w:webHidden/>
          </w:rPr>
          <w:instrText xml:space="preserve"> PAGEREF _Toc196746780 \h </w:instrText>
        </w:r>
        <w:r w:rsidRPr="00B55200">
          <w:rPr>
            <w:webHidden/>
          </w:rPr>
        </w:r>
        <w:r w:rsidRPr="00B55200">
          <w:rPr>
            <w:webHidden/>
          </w:rPr>
          <w:fldChar w:fldCharType="separate"/>
        </w:r>
        <w:r w:rsidR="00F44BFC">
          <w:rPr>
            <w:webHidden/>
          </w:rPr>
          <w:t>193</w:t>
        </w:r>
        <w:r w:rsidRPr="00B55200">
          <w:rPr>
            <w:webHidden/>
          </w:rPr>
          <w:fldChar w:fldCharType="end"/>
        </w:r>
      </w:hyperlink>
    </w:p>
    <w:p w14:paraId="48D97442" w14:textId="22838DF0" w:rsidR="00FE5562" w:rsidRPr="00B55200" w:rsidRDefault="00FE5562" w:rsidP="00FE5562">
      <w:pPr>
        <w:pStyle w:val="TOC3"/>
        <w:rPr>
          <w:rFonts w:eastAsiaTheme="minorEastAsia" w:cstheme="minorBidi"/>
          <w:color w:val="auto"/>
          <w:kern w:val="2"/>
          <w:sz w:val="24"/>
          <w:u w:val="none"/>
          <w:lang w:eastAsia="en-AU"/>
          <w14:ligatures w14:val="standardContextual"/>
        </w:rPr>
      </w:pPr>
      <w:hyperlink w:anchor="_Toc196746781" w:history="1">
        <w:r w:rsidRPr="00B55200">
          <w:rPr>
            <w:rStyle w:val="Hyperlink"/>
            <w:rFonts w:ascii="Public Sans" w:hAnsi="Public Sans"/>
          </w:rPr>
          <w:t>Other concerns about the religious vilification protections</w:t>
        </w:r>
        <w:r w:rsidRPr="00B55200">
          <w:rPr>
            <w:webHidden/>
          </w:rPr>
          <w:tab/>
        </w:r>
        <w:r w:rsidRPr="00B55200">
          <w:rPr>
            <w:webHidden/>
          </w:rPr>
          <w:fldChar w:fldCharType="begin"/>
        </w:r>
        <w:r w:rsidRPr="00B55200">
          <w:rPr>
            <w:webHidden/>
          </w:rPr>
          <w:instrText xml:space="preserve"> PAGEREF _Toc196746781 \h </w:instrText>
        </w:r>
        <w:r w:rsidRPr="00B55200">
          <w:rPr>
            <w:webHidden/>
          </w:rPr>
        </w:r>
        <w:r w:rsidRPr="00B55200">
          <w:rPr>
            <w:webHidden/>
          </w:rPr>
          <w:fldChar w:fldCharType="separate"/>
        </w:r>
        <w:r w:rsidR="00F44BFC">
          <w:rPr>
            <w:webHidden/>
          </w:rPr>
          <w:t>193</w:t>
        </w:r>
        <w:r w:rsidRPr="00B55200">
          <w:rPr>
            <w:webHidden/>
          </w:rPr>
          <w:fldChar w:fldCharType="end"/>
        </w:r>
      </w:hyperlink>
    </w:p>
    <w:p w14:paraId="594DF1C6" w14:textId="77777777" w:rsidR="00FE5562" w:rsidRPr="008C1674" w:rsidRDefault="00FE5562" w:rsidP="00FE5562">
      <w:pPr>
        <w:pStyle w:val="TOC4"/>
        <w:ind w:left="0" w:firstLine="0"/>
        <w:rPr>
          <w:noProof w:val="0"/>
        </w:rPr>
      </w:pPr>
      <w:r>
        <w:rPr>
          <w:rFonts w:ascii="Arial Bold" w:hAnsi="Arial Bold"/>
          <w:noProof w:val="0"/>
        </w:rPr>
        <w:fldChar w:fldCharType="end"/>
      </w:r>
    </w:p>
    <w:p w14:paraId="1E41250E" w14:textId="77777777" w:rsidR="00FE5562" w:rsidRDefault="00FE5562" w:rsidP="00FE5562">
      <w:pPr>
        <w:pStyle w:val="NormalAutoChapter"/>
        <w:tabs>
          <w:tab w:val="num" w:pos="2705"/>
        </w:tabs>
      </w:pPr>
      <w:r>
        <w:t>Vilification, discrimination and other hate-based conduct causes significant harm to victims and our community.</w:t>
      </w:r>
      <w:r>
        <w:rPr>
          <w:rStyle w:val="FootnoteReference"/>
        </w:rPr>
        <w:footnoteReference w:id="785"/>
      </w:r>
      <w:r>
        <w:t xml:space="preserve"> Vilification laws are designed to protect diverse </w:t>
      </w:r>
      <w:r>
        <w:lastRenderedPageBreak/>
        <w:t xml:space="preserve">communities from hate speech and </w:t>
      </w:r>
      <w:proofErr w:type="gramStart"/>
      <w:r>
        <w:t>denigration, and</w:t>
      </w:r>
      <w:proofErr w:type="gramEnd"/>
      <w:r>
        <w:t xml:space="preserve"> can also play an important role in promoting inclusion and social cohesion.</w:t>
      </w:r>
    </w:p>
    <w:p w14:paraId="443741AF" w14:textId="77777777" w:rsidR="00FE5562" w:rsidRPr="009A0BAC" w:rsidRDefault="00FE5562" w:rsidP="00FE5562">
      <w:pPr>
        <w:pStyle w:val="NormalAutoChapter"/>
        <w:rPr>
          <w:strike/>
          <w:color w:val="auto"/>
        </w:rPr>
      </w:pPr>
      <w:r>
        <w:t>A key issue is whether vilification laws strike the right balance with other rights and freedoms. International human rights law recognises that everyone has the right to freedom of expression.</w:t>
      </w:r>
      <w:r w:rsidRPr="00CC6638">
        <w:rPr>
          <w:rStyle w:val="FootnoteReference"/>
          <w:color w:val="auto"/>
        </w:rPr>
        <w:footnoteReference w:id="786"/>
      </w:r>
      <w:r>
        <w:t xml:space="preserve"> </w:t>
      </w:r>
      <w:r w:rsidRPr="00F70409">
        <w:rPr>
          <w:color w:val="auto"/>
          <w:lang w:eastAsia="en-US"/>
        </w:rPr>
        <w:t>The enjoyment of freedom of expression “enables vibrant, multi-faceted public interest debate giving voice to different perspectives and viewpoints”</w:t>
      </w:r>
      <w:r>
        <w:rPr>
          <w:color w:val="auto"/>
          <w:lang w:eastAsia="en-US"/>
        </w:rPr>
        <w:t>.</w:t>
      </w:r>
      <w:r w:rsidRPr="00CC6638">
        <w:rPr>
          <w:rStyle w:val="FootnoteReference"/>
          <w:color w:val="auto"/>
          <w:lang w:eastAsia="en-US"/>
        </w:rPr>
        <w:footnoteReference w:id="787"/>
      </w:r>
      <w:r>
        <w:rPr>
          <w:color w:val="auto"/>
          <w:lang w:eastAsia="en-US"/>
        </w:rPr>
        <w:t xml:space="preserve"> </w:t>
      </w:r>
    </w:p>
    <w:p w14:paraId="16DFA7E0" w14:textId="77777777" w:rsidR="00FE5562" w:rsidRPr="00CC6638" w:rsidRDefault="00FE5562" w:rsidP="00FE5562">
      <w:pPr>
        <w:pStyle w:val="NormalAutoChapter"/>
      </w:pPr>
      <w:r w:rsidRPr="009A0BAC">
        <w:rPr>
          <w:color w:val="auto"/>
          <w:lang w:eastAsia="en-US"/>
        </w:rPr>
        <w:t xml:space="preserve">However, the right </w:t>
      </w:r>
      <w:r>
        <w:rPr>
          <w:color w:val="auto"/>
          <w:lang w:eastAsia="en-US"/>
        </w:rPr>
        <w:t xml:space="preserve">to freedom of expression </w:t>
      </w:r>
      <w:r w:rsidRPr="009A0BAC">
        <w:rPr>
          <w:color w:val="auto"/>
        </w:rPr>
        <w:t>“carries with it special duties and responsibilities”.</w:t>
      </w:r>
      <w:r w:rsidRPr="00CC6638">
        <w:rPr>
          <w:rStyle w:val="FootnoteReference"/>
          <w:color w:val="auto"/>
        </w:rPr>
        <w:footnoteReference w:id="788"/>
      </w:r>
      <w:r w:rsidRPr="009A0BAC">
        <w:rPr>
          <w:color w:val="auto"/>
        </w:rPr>
        <w:t xml:space="preserve"> </w:t>
      </w:r>
      <w:r w:rsidRPr="009A0BAC">
        <w:rPr>
          <w:color w:val="auto"/>
          <w:lang w:eastAsia="en-US"/>
        </w:rPr>
        <w:t xml:space="preserve">Like the rights to equality and non-discrimination, this right may be restricted </w:t>
      </w:r>
      <w:r>
        <w:rPr>
          <w:color w:val="auto"/>
          <w:lang w:eastAsia="en-US"/>
        </w:rPr>
        <w:t xml:space="preserve">in certain circumstances, as provided under </w:t>
      </w:r>
      <w:r w:rsidRPr="009A0BAC">
        <w:rPr>
          <w:color w:val="auto"/>
          <w:lang w:eastAsia="en-US"/>
        </w:rPr>
        <w:t>international human rights law.</w:t>
      </w:r>
      <w:r w:rsidRPr="00CC6638">
        <w:rPr>
          <w:rStyle w:val="FootnoteReference"/>
        </w:rPr>
        <w:footnoteReference w:id="789"/>
      </w:r>
    </w:p>
    <w:p w14:paraId="1D37F2ED" w14:textId="77777777" w:rsidR="00FE5562" w:rsidRDefault="00FE5562" w:rsidP="00FE5562">
      <w:pPr>
        <w:pStyle w:val="NormalAutoChapter"/>
        <w:tabs>
          <w:tab w:val="num" w:pos="2705"/>
        </w:tabs>
      </w:pPr>
      <w:r>
        <w:t xml:space="preserve">NSW has civil and criminal protections against different forms of vilification. The </w:t>
      </w:r>
      <w:r w:rsidRPr="001001AF">
        <w:rPr>
          <w:i/>
          <w:iCs/>
        </w:rPr>
        <w:t>Anti-Discrimination Act 1977</w:t>
      </w:r>
      <w:r>
        <w:t xml:space="preserve"> (NSW) (ADA) protects against public acts that </w:t>
      </w:r>
      <w:r w:rsidRPr="00E32899">
        <w:t>incite</w:t>
      </w:r>
      <w:r w:rsidRPr="00C22E2E">
        <w:rPr>
          <w:rFonts w:ascii="Times New Roman" w:hAnsi="Times New Roman" w:cs="Times New Roman"/>
        </w:rPr>
        <w:t> </w:t>
      </w:r>
      <w:r w:rsidRPr="00E32899">
        <w:t>hatred, serious contempt or severe ridicule towards a person or group</w:t>
      </w:r>
      <w:r>
        <w:t xml:space="preserve">, based on specific protected attributes. </w:t>
      </w:r>
    </w:p>
    <w:p w14:paraId="066F2A92" w14:textId="4DEE38A7" w:rsidR="00FE5562" w:rsidRDefault="00FE5562" w:rsidP="00FE5562">
      <w:pPr>
        <w:pStyle w:val="NormalAutoChapter"/>
        <w:tabs>
          <w:tab w:val="num" w:pos="2705"/>
        </w:tabs>
      </w:pPr>
      <w:r>
        <w:t xml:space="preserve">Section 93Z of the </w:t>
      </w:r>
      <w:r w:rsidRPr="001029DF">
        <w:rPr>
          <w:i/>
          <w:iCs/>
        </w:rPr>
        <w:t>Crimes Act 1900</w:t>
      </w:r>
      <w:r>
        <w:t xml:space="preserve"> (NSW) (</w:t>
      </w:r>
      <w:r w:rsidRPr="001029DF">
        <w:rPr>
          <w:i/>
          <w:iCs/>
        </w:rPr>
        <w:t>Crimes Act</w:t>
      </w:r>
      <w:r>
        <w:t>) makes it an offence to publicly threaten or incite violence based on specific protected attributes. A new offence of inciting racial hatred by public act has been enacted, although it ha</w:t>
      </w:r>
      <w:r w:rsidR="0083523C">
        <w:t>s</w:t>
      </w:r>
      <w:r>
        <w:t xml:space="preserve"> not commenced at the time of writing.</w:t>
      </w:r>
      <w:r>
        <w:rPr>
          <w:rStyle w:val="FootnoteReference"/>
        </w:rPr>
        <w:footnoteReference w:id="790"/>
      </w:r>
      <w:r>
        <w:t xml:space="preserve"> </w:t>
      </w:r>
    </w:p>
    <w:p w14:paraId="71C0C68D" w14:textId="77777777" w:rsidR="00FE5562" w:rsidRDefault="00FE5562" w:rsidP="00FE5562">
      <w:pPr>
        <w:pStyle w:val="NormalAutoChapter"/>
        <w:tabs>
          <w:tab w:val="num" w:pos="2705"/>
        </w:tabs>
      </w:pPr>
      <w:r>
        <w:t>In 2024, we reviewed the effectiveness of s 93Z in addressing serious racial and religious vilification.</w:t>
      </w:r>
      <w:r>
        <w:rPr>
          <w:rStyle w:val="FootnoteReference"/>
        </w:rPr>
        <w:footnoteReference w:id="791"/>
      </w:r>
      <w:r>
        <w:t xml:space="preserve"> Our current review of the ADA raises wider issues about civil vilification laws, which we were not able to address within the narrow scope of the s 93Z review. </w:t>
      </w:r>
      <w:r w:rsidRPr="004D64C1">
        <w:t>In this chapter, we invite you to share your views on</w:t>
      </w:r>
      <w:r>
        <w:t xml:space="preserve"> the:</w:t>
      </w:r>
    </w:p>
    <w:p w14:paraId="0B8E132D" w14:textId="77777777" w:rsidR="00FE5562" w:rsidRPr="004D64C1" w:rsidRDefault="00FE5562" w:rsidP="00FE5562">
      <w:pPr>
        <w:pStyle w:val="Normalbullet"/>
      </w:pPr>
      <w:r w:rsidRPr="004D64C1">
        <w:t xml:space="preserve">attributes protected against vilification </w:t>
      </w:r>
      <w:r>
        <w:t xml:space="preserve">in </w:t>
      </w:r>
      <w:r w:rsidRPr="004D64C1">
        <w:t>the ADA</w:t>
      </w:r>
      <w:r>
        <w:t>, including the 2023 reforms to prohibit religious vilification</w:t>
      </w:r>
    </w:p>
    <w:p w14:paraId="648253E0" w14:textId="77777777" w:rsidR="00FE5562" w:rsidRPr="004D64C1" w:rsidRDefault="00FE5562" w:rsidP="00FE5562">
      <w:pPr>
        <w:pStyle w:val="Normalbullet"/>
      </w:pPr>
      <w:r w:rsidRPr="004D64C1">
        <w:t>tests for civil vilification</w:t>
      </w:r>
      <w:r>
        <w:t xml:space="preserve">, including the </w:t>
      </w:r>
      <w:r w:rsidRPr="004D64C1">
        <w:t>definition of “public act”</w:t>
      </w:r>
      <w:r>
        <w:t xml:space="preserve">, and </w:t>
      </w:r>
    </w:p>
    <w:p w14:paraId="76D8B0DB" w14:textId="77777777" w:rsidR="00FE5562" w:rsidRPr="004D64C1" w:rsidRDefault="00FE5562" w:rsidP="00FE5562">
      <w:pPr>
        <w:pStyle w:val="Normalbullet"/>
      </w:pPr>
      <w:r w:rsidRPr="004D64C1">
        <w:lastRenderedPageBreak/>
        <w:t xml:space="preserve">exceptions to </w:t>
      </w:r>
      <w:r>
        <w:t xml:space="preserve">civil </w:t>
      </w:r>
      <w:r w:rsidRPr="004D64C1">
        <w:t>vilification</w:t>
      </w:r>
      <w:r>
        <w:t>.</w:t>
      </w:r>
    </w:p>
    <w:p w14:paraId="7205C4C1" w14:textId="77777777" w:rsidR="00FE5562" w:rsidRDefault="00FE5562" w:rsidP="00FE5562">
      <w:pPr>
        <w:pStyle w:val="Heading1"/>
      </w:pPr>
      <w:bookmarkStart w:id="349" w:name="_Toc196746763"/>
      <w:bookmarkStart w:id="350" w:name="_Toc196826917"/>
      <w:r>
        <w:t>Protections against vilification: an overview</w:t>
      </w:r>
      <w:bookmarkEnd w:id="349"/>
      <w:bookmarkEnd w:id="350"/>
      <w:r>
        <w:t xml:space="preserve"> </w:t>
      </w:r>
    </w:p>
    <w:p w14:paraId="625A2269" w14:textId="77777777" w:rsidR="00FE5562" w:rsidRDefault="00FE5562" w:rsidP="00FE5562">
      <w:pPr>
        <w:pStyle w:val="NormalAutoChapter"/>
        <w:tabs>
          <w:tab w:val="num" w:pos="2705"/>
        </w:tabs>
        <w:rPr>
          <w:lang w:eastAsia="en-US"/>
        </w:rPr>
      </w:pPr>
      <w:r>
        <w:rPr>
          <w:lang w:eastAsia="en-US"/>
        </w:rPr>
        <w:t xml:space="preserve">As we mention above, NSW has both civil and criminal protections against vilification. People and groups in NSW are also protected against vilification by federal law. </w:t>
      </w:r>
    </w:p>
    <w:p w14:paraId="36E7118D" w14:textId="77777777" w:rsidR="00FE5562" w:rsidRDefault="00FE5562" w:rsidP="00FE5562">
      <w:pPr>
        <w:pStyle w:val="Heading2"/>
      </w:pPr>
      <w:bookmarkStart w:id="351" w:name="_Toc196746764"/>
      <w:bookmarkStart w:id="352" w:name="_Toc196826918"/>
      <w:r>
        <w:t>NSW protections against vilification</w:t>
      </w:r>
      <w:bookmarkEnd w:id="351"/>
      <w:bookmarkEnd w:id="352"/>
    </w:p>
    <w:p w14:paraId="59992E48" w14:textId="77777777" w:rsidR="00FE5562" w:rsidRDefault="00FE5562" w:rsidP="00FE5562">
      <w:pPr>
        <w:pStyle w:val="Heading3"/>
      </w:pPr>
      <w:r>
        <w:t>Civil protections</w:t>
      </w:r>
    </w:p>
    <w:p w14:paraId="649154C0" w14:textId="77777777" w:rsidR="00FE5562" w:rsidRDefault="00FE5562" w:rsidP="00FE5562">
      <w:pPr>
        <w:pStyle w:val="NormalAutoChapter"/>
        <w:tabs>
          <w:tab w:val="num" w:pos="2705"/>
        </w:tabs>
        <w:rPr>
          <w:lang w:eastAsia="en-US"/>
        </w:rPr>
      </w:pPr>
      <w:r>
        <w:t>The ADA protects against vilification based on the protected attributes of race, homosexuality, transgender grounds, HIV/AIDS, and religious belief, affiliation or activity. The protection against HIV/AIDS vilification also protects people thought to have HIV/AIDS (</w:t>
      </w:r>
      <w:proofErr w:type="gramStart"/>
      <w:r>
        <w:t>whether or not</w:t>
      </w:r>
      <w:proofErr w:type="gramEnd"/>
      <w:r>
        <w:t xml:space="preserve"> they do).</w:t>
      </w:r>
      <w:r>
        <w:rPr>
          <w:rStyle w:val="FootnoteReference"/>
        </w:rPr>
        <w:footnoteReference w:id="792"/>
      </w:r>
    </w:p>
    <w:p w14:paraId="366D265D" w14:textId="77777777" w:rsidR="00FE5562" w:rsidRDefault="00FE5562" w:rsidP="00FE5562">
      <w:pPr>
        <w:pStyle w:val="NormalAutoChapter"/>
        <w:tabs>
          <w:tab w:val="num" w:pos="2705"/>
        </w:tabs>
        <w:rPr>
          <w:lang w:eastAsia="en-US"/>
        </w:rPr>
      </w:pPr>
      <w:r>
        <w:t xml:space="preserve">Under the ADA, it is unlawful to publicly </w:t>
      </w:r>
      <w:r w:rsidRPr="00E32899">
        <w:t>incite</w:t>
      </w:r>
      <w:r w:rsidRPr="008454A7">
        <w:rPr>
          <w:rFonts w:ascii="Times New Roman" w:hAnsi="Times New Roman" w:cs="Times New Roman"/>
        </w:rPr>
        <w:t> </w:t>
      </w:r>
      <w:r w:rsidRPr="00E32899">
        <w:t>hatred, serious contempt or severe ridicule towards a person or group</w:t>
      </w:r>
      <w:r>
        <w:t>, on the ground the person or members of the group have a protected attribute.</w:t>
      </w:r>
      <w:r>
        <w:rPr>
          <w:rStyle w:val="FootnoteReference"/>
        </w:rPr>
        <w:footnoteReference w:id="793"/>
      </w:r>
      <w:r>
        <w:t xml:space="preserve"> </w:t>
      </w:r>
    </w:p>
    <w:p w14:paraId="146584BF" w14:textId="77777777" w:rsidR="00FE5562" w:rsidRDefault="00FE5562" w:rsidP="00FE5562">
      <w:pPr>
        <w:pStyle w:val="Heading3"/>
      </w:pPr>
      <w:r>
        <w:t>Criminal offences</w:t>
      </w:r>
    </w:p>
    <w:p w14:paraId="15A24764" w14:textId="77777777" w:rsidR="00FE5562" w:rsidRDefault="00FE5562" w:rsidP="00FE5562">
      <w:pPr>
        <w:pStyle w:val="NormalAutoChapter"/>
        <w:tabs>
          <w:tab w:val="num" w:pos="2705"/>
        </w:tabs>
      </w:pPr>
      <w:r>
        <w:t xml:space="preserve">Section 93Z of the </w:t>
      </w:r>
      <w:r w:rsidRPr="00AD5982">
        <w:rPr>
          <w:i/>
          <w:iCs/>
        </w:rPr>
        <w:t>Crimes Act</w:t>
      </w:r>
      <w:r>
        <w:t xml:space="preserve"> covers more serious forms of conduct. This section commen</w:t>
      </w:r>
      <w:r w:rsidRPr="003A1366">
        <w:t>ced in 2018</w:t>
      </w:r>
      <w:r>
        <w:t xml:space="preserve">. Previous serious vilification offences were consolidated, updated and moved from the ADA to the </w:t>
      </w:r>
      <w:r w:rsidRPr="00CF21AF">
        <w:rPr>
          <w:i/>
          <w:iCs/>
        </w:rPr>
        <w:t>Crimes Act</w:t>
      </w:r>
      <w:r>
        <w:t>.</w:t>
      </w:r>
      <w:r>
        <w:rPr>
          <w:rStyle w:val="FootnoteReference"/>
        </w:rPr>
        <w:footnoteReference w:id="794"/>
      </w:r>
    </w:p>
    <w:p w14:paraId="0D997D0E" w14:textId="77777777" w:rsidR="00FE5562" w:rsidRDefault="00FE5562" w:rsidP="00FE5562">
      <w:pPr>
        <w:pStyle w:val="NormalAutoChapter"/>
        <w:tabs>
          <w:tab w:val="num" w:pos="2705"/>
        </w:tabs>
      </w:pPr>
      <w:r>
        <w:t xml:space="preserve">Under s 93Z, it is an offence to publicly threaten or incite violence towards another person, or group of people, because they have a protected attribute. The offence applies to the protected attributes of race, religious belief or affiliation, sexual orientation, gender identity, intersex status, and having HIV or AIDS. </w:t>
      </w:r>
    </w:p>
    <w:p w14:paraId="545F3EA1" w14:textId="705C5546" w:rsidR="00FE5562" w:rsidRDefault="00FE5562" w:rsidP="00FE5562">
      <w:pPr>
        <w:pStyle w:val="NormalAutoChapter"/>
        <w:tabs>
          <w:tab w:val="num" w:pos="2705"/>
        </w:tabs>
      </w:pPr>
      <w:r w:rsidRPr="008D1876">
        <w:t>A police officer or the D</w:t>
      </w:r>
      <w:r>
        <w:t xml:space="preserve">irector of </w:t>
      </w:r>
      <w:r w:rsidRPr="008D1876">
        <w:t>P</w:t>
      </w:r>
      <w:r>
        <w:t xml:space="preserve">ublic </w:t>
      </w:r>
      <w:r w:rsidRPr="008D1876">
        <w:t>P</w:t>
      </w:r>
      <w:r>
        <w:t>rosecutions</w:t>
      </w:r>
      <w:r w:rsidRPr="008D1876">
        <w:t xml:space="preserve"> can commence a prosecution under s</w:t>
      </w:r>
      <w:r w:rsidR="00946A8C">
        <w:t> </w:t>
      </w:r>
      <w:r w:rsidRPr="008D1876">
        <w:t>93Z.</w:t>
      </w:r>
      <w:r>
        <w:rPr>
          <w:rStyle w:val="FootnoteReference"/>
        </w:rPr>
        <w:footnoteReference w:id="795"/>
      </w:r>
      <w:r>
        <w:t xml:space="preserve"> An individual convicted of this offence can face a maximum penalty of 100 penalty units ($11,000), 3 years’ imprisonment, or both. For corporations, the maximum penalty is 500 penalty units ($55,000). </w:t>
      </w:r>
    </w:p>
    <w:p w14:paraId="64F27755" w14:textId="77777777" w:rsidR="00FE5562" w:rsidRDefault="00FE5562" w:rsidP="00FE5562">
      <w:pPr>
        <w:pStyle w:val="NormalAutoChapter"/>
        <w:tabs>
          <w:tab w:val="num" w:pos="2705"/>
        </w:tabs>
      </w:pPr>
      <w:r>
        <w:t xml:space="preserve">The NSW Parliament recently enacted legislation to add a related offence to the </w:t>
      </w:r>
      <w:r w:rsidRPr="006E4433">
        <w:rPr>
          <w:i/>
          <w:iCs/>
        </w:rPr>
        <w:t>Crimes Act</w:t>
      </w:r>
      <w:r>
        <w:t xml:space="preserve">. Upon commencement, it will be a criminal offence to incite racial hatred </w:t>
      </w:r>
      <w:r>
        <w:lastRenderedPageBreak/>
        <w:t>against a person or group. The offence will operate for three years.</w:t>
      </w:r>
      <w:r>
        <w:rPr>
          <w:rStyle w:val="FootnoteReference"/>
        </w:rPr>
        <w:footnoteReference w:id="796"/>
      </w:r>
      <w:r>
        <w:t xml:space="preserve"> This means there will be two potential pathways for addressing acts that incite racial hatred: a civil complaints pathway under the ADA and a criminal prosecution.</w:t>
      </w:r>
    </w:p>
    <w:p w14:paraId="44D8F7B5" w14:textId="74DCCE25" w:rsidR="00FE5562" w:rsidRDefault="00FE5562" w:rsidP="00FE5562">
      <w:pPr>
        <w:pStyle w:val="NormalAutoChapter"/>
        <w:tabs>
          <w:tab w:val="num" w:pos="2705"/>
        </w:tabs>
      </w:pPr>
      <w:r>
        <w:t xml:space="preserve">The new criminal offence will only apply to public acts that intentionally incite hatred based on race. </w:t>
      </w:r>
      <w:r w:rsidR="00E83141">
        <w:t>T</w:t>
      </w:r>
      <w:r>
        <w:t>he NSW Government has</w:t>
      </w:r>
      <w:r w:rsidR="00E83141">
        <w:t xml:space="preserve"> also</w:t>
      </w:r>
      <w:r>
        <w:t xml:space="preserve"> commission</w:t>
      </w:r>
      <w:r w:rsidR="00E83141">
        <w:t>ed</w:t>
      </w:r>
      <w:r>
        <w:t xml:space="preserve"> a further review </w:t>
      </w:r>
      <w:r w:rsidR="00E83141">
        <w:t>of</w:t>
      </w:r>
      <w:r w:rsidR="009256A3">
        <w:t xml:space="preserve"> </w:t>
      </w:r>
      <w:r w:rsidR="00E83141" w:rsidRPr="00E83141">
        <w:t>criminal law hate speech protections for vulnerable communities</w:t>
      </w:r>
      <w:r>
        <w:t>.</w:t>
      </w:r>
      <w:r>
        <w:rPr>
          <w:rStyle w:val="FootnoteReference"/>
        </w:rPr>
        <w:footnoteReference w:id="797"/>
      </w:r>
      <w:r>
        <w:t xml:space="preserve"> </w:t>
      </w:r>
    </w:p>
    <w:p w14:paraId="52A3AFF2" w14:textId="77777777" w:rsidR="00FE5562" w:rsidRDefault="00FE5562" w:rsidP="00FE5562">
      <w:pPr>
        <w:pStyle w:val="NormalAutoChapter"/>
        <w:tabs>
          <w:tab w:val="num" w:pos="2705"/>
        </w:tabs>
      </w:pPr>
      <w:r>
        <w:t>Like the civil vilification law in the ADA, the new criminal offence will require proof that a person, by a public act, incited hatred against a person or group based on race. However, the new offence will have two additional requirements:</w:t>
      </w:r>
    </w:p>
    <w:p w14:paraId="6CA1C4E8" w14:textId="77777777" w:rsidR="00FE5562" w:rsidRDefault="00FE5562" w:rsidP="00FE5562">
      <w:pPr>
        <w:pStyle w:val="Normalbullet"/>
      </w:pPr>
      <w:r>
        <w:t xml:space="preserve">that the person accused of the offence </w:t>
      </w:r>
      <w:r w:rsidRPr="00E02D26">
        <w:rPr>
          <w:i/>
          <w:iCs/>
        </w:rPr>
        <w:t>intentionally</w:t>
      </w:r>
      <w:r>
        <w:t xml:space="preserve"> incited racial hatred, and </w:t>
      </w:r>
    </w:p>
    <w:p w14:paraId="150BEB00" w14:textId="77777777" w:rsidR="00FE5562" w:rsidRDefault="00FE5562" w:rsidP="00FE5562">
      <w:pPr>
        <w:pStyle w:val="Normalbullet"/>
      </w:pPr>
      <w:r>
        <w:t>that the act would cause a reasonable person, who was part of the target group, to fear harassment, intimidation, or violence, or to fear for their safety.</w:t>
      </w:r>
      <w:r>
        <w:rPr>
          <w:rStyle w:val="FootnoteReference"/>
        </w:rPr>
        <w:footnoteReference w:id="798"/>
      </w:r>
    </w:p>
    <w:p w14:paraId="05431614" w14:textId="77777777" w:rsidR="00FE5562" w:rsidRDefault="00FE5562" w:rsidP="00FE5562">
      <w:pPr>
        <w:pStyle w:val="Heading2"/>
      </w:pPr>
      <w:bookmarkStart w:id="353" w:name="_Toc196746765"/>
      <w:bookmarkStart w:id="354" w:name="_Toc196826919"/>
      <w:r>
        <w:t>Federal protections</w:t>
      </w:r>
      <w:bookmarkEnd w:id="353"/>
      <w:bookmarkEnd w:id="354"/>
      <w:r>
        <w:t xml:space="preserve"> </w:t>
      </w:r>
    </w:p>
    <w:p w14:paraId="79B29DC8" w14:textId="77777777" w:rsidR="00FE5562" w:rsidRDefault="00FE5562" w:rsidP="00FE5562">
      <w:pPr>
        <w:pStyle w:val="Heading3"/>
      </w:pPr>
      <w:r>
        <w:t>Civil protection</w:t>
      </w:r>
    </w:p>
    <w:p w14:paraId="545BFB6A" w14:textId="77777777" w:rsidR="00FE5562" w:rsidRDefault="00FE5562" w:rsidP="00FE5562">
      <w:pPr>
        <w:pStyle w:val="NormalAutoChapter"/>
        <w:tabs>
          <w:tab w:val="num" w:pos="2705"/>
        </w:tabs>
      </w:pPr>
      <w:r>
        <w:t>Under s 18C of t</w:t>
      </w:r>
      <w:r w:rsidRPr="006937C2">
        <w:t xml:space="preserve">he </w:t>
      </w:r>
      <w:r w:rsidRPr="006937C2">
        <w:rPr>
          <w:i/>
          <w:iCs/>
        </w:rPr>
        <w:t>Racial Discrimination Act</w:t>
      </w:r>
      <w:r>
        <w:rPr>
          <w:i/>
          <w:iCs/>
        </w:rPr>
        <w:t xml:space="preserve"> 1975 </w:t>
      </w:r>
      <w:r w:rsidRPr="005D0DA6">
        <w:t>(Cth)</w:t>
      </w:r>
      <w:r>
        <w:rPr>
          <w:i/>
          <w:iCs/>
        </w:rPr>
        <w:t xml:space="preserve"> </w:t>
      </w:r>
      <w:r>
        <w:t>(</w:t>
      </w:r>
      <w:r w:rsidRPr="006937C2">
        <w:rPr>
          <w:i/>
          <w:iCs/>
        </w:rPr>
        <w:t>Racial Discrimination Act</w:t>
      </w:r>
      <w:r>
        <w:t>)</w:t>
      </w:r>
      <w:r w:rsidRPr="006937C2">
        <w:rPr>
          <w:i/>
          <w:iCs/>
        </w:rPr>
        <w:t xml:space="preserve"> </w:t>
      </w:r>
      <w:r>
        <w:t xml:space="preserve">it is unlawful for a person to do an act, otherwise than in private that: </w:t>
      </w:r>
    </w:p>
    <w:p w14:paraId="67C8F1CA" w14:textId="77777777" w:rsidR="00FE5562" w:rsidRPr="00270A0B" w:rsidRDefault="00FE5562" w:rsidP="00FE5562">
      <w:pPr>
        <w:pStyle w:val="Normalbullet"/>
      </w:pPr>
      <w:r>
        <w:t xml:space="preserve">is reasonably likely, in all the circumstances, to offend, insult, </w:t>
      </w:r>
      <w:r w:rsidRPr="00270A0B">
        <w:t>humiliate or intimidate another person or a group of people</w:t>
      </w:r>
      <w:r>
        <w:t>,</w:t>
      </w:r>
      <w:r w:rsidRPr="00270A0B">
        <w:t xml:space="preserve"> and</w:t>
      </w:r>
    </w:p>
    <w:p w14:paraId="22F0BBE2" w14:textId="77777777" w:rsidR="00FE5562" w:rsidRPr="00270A0B" w:rsidRDefault="00FE5562" w:rsidP="00FE5562">
      <w:pPr>
        <w:pStyle w:val="Normalbullet"/>
      </w:pPr>
      <w:bookmarkStart w:id="355" w:name="paragraph"/>
      <w:bookmarkEnd w:id="355"/>
      <w:r w:rsidRPr="00270A0B">
        <w:t>is done because of the race, colour or national or ethnic origin of the other person or of some or all the people in the group.</w:t>
      </w:r>
    </w:p>
    <w:p w14:paraId="08649D5A" w14:textId="77777777" w:rsidR="00FE5562" w:rsidRDefault="00FE5562" w:rsidP="00FE5562">
      <w:pPr>
        <w:pStyle w:val="NormalAutoChapter"/>
        <w:tabs>
          <w:tab w:val="num" w:pos="2705"/>
        </w:tabs>
      </w:pPr>
      <w:r>
        <w:t>Under this civil protection, complaints can be made to the Australian Human Rights Commission.</w:t>
      </w:r>
      <w:r>
        <w:rPr>
          <w:rStyle w:val="FootnoteReference"/>
        </w:rPr>
        <w:footnoteReference w:id="799"/>
      </w:r>
      <w:r>
        <w:t xml:space="preserve"> </w:t>
      </w:r>
    </w:p>
    <w:p w14:paraId="16F54DC7" w14:textId="77777777" w:rsidR="00FE5562" w:rsidRDefault="00FE5562" w:rsidP="00FE5562">
      <w:pPr>
        <w:pStyle w:val="NormalAutoChapter"/>
        <w:tabs>
          <w:tab w:val="num" w:pos="2705"/>
        </w:tabs>
      </w:pPr>
      <w:r>
        <w:t>The regulation of broadcasting services provides another way of addressing vilification. For example, the Commercial Radio Code of Practice states that licensees must not broadcast a program which, in all the circumstances:</w:t>
      </w:r>
    </w:p>
    <w:p w14:paraId="5BB59B17" w14:textId="77777777" w:rsidR="00FE5562" w:rsidRDefault="00FE5562" w:rsidP="00FE5562">
      <w:pPr>
        <w:pStyle w:val="Quotationnormal"/>
      </w:pPr>
      <w:r w:rsidRPr="00CF002B">
        <w:t xml:space="preserve">is likely to incite in a reasonable listener, hatred against, or serious contempt for, or severe ridicule of, any person or group of persons because of age, ethnicity, </w:t>
      </w:r>
      <w:r w:rsidRPr="00CF002B">
        <w:lastRenderedPageBreak/>
        <w:t>nationality, race, gender, sexual preferences, religion, transgender status or disability</w:t>
      </w:r>
      <w:r>
        <w:t xml:space="preserve"> ...</w:t>
      </w:r>
      <w:r>
        <w:rPr>
          <w:rStyle w:val="FootnoteReference"/>
        </w:rPr>
        <w:footnoteReference w:id="800"/>
      </w:r>
    </w:p>
    <w:p w14:paraId="610BAC5A" w14:textId="77777777" w:rsidR="00FE5562" w:rsidRDefault="00FE5562" w:rsidP="00FE5562">
      <w:pPr>
        <w:pStyle w:val="Heading3"/>
      </w:pPr>
      <w:r>
        <w:t>Criminal offences</w:t>
      </w:r>
    </w:p>
    <w:p w14:paraId="17DFE139" w14:textId="77777777" w:rsidR="00FE5562" w:rsidRPr="00D05A7D" w:rsidRDefault="00FE5562" w:rsidP="00FE5562">
      <w:pPr>
        <w:pStyle w:val="NormalAutoChapter"/>
        <w:tabs>
          <w:tab w:val="num" w:pos="2705"/>
        </w:tabs>
      </w:pPr>
      <w:r w:rsidRPr="00794F3F">
        <w:t>There are also federal criminal protections</w:t>
      </w:r>
      <w:r>
        <w:t xml:space="preserve"> against vilification. These </w:t>
      </w:r>
      <w:r w:rsidRPr="00794F3F">
        <w:t xml:space="preserve">apply to protect groups, members of groups, and close associates of groups that are distinguished by race, religion, sex, sexual orientation, gender identity, intersex status, disability, nationality, national or ethnic origin or political opinion. </w:t>
      </w:r>
    </w:p>
    <w:p w14:paraId="02D00A19" w14:textId="487CF678" w:rsidR="00FE5562" w:rsidRDefault="00FE5562" w:rsidP="00FE5562">
      <w:pPr>
        <w:pStyle w:val="NormalAutoChapter"/>
        <w:tabs>
          <w:tab w:val="num" w:pos="2705"/>
        </w:tabs>
      </w:pPr>
      <w:r>
        <w:t xml:space="preserve">Under the </w:t>
      </w:r>
      <w:r w:rsidRPr="007531C6">
        <w:rPr>
          <w:i/>
          <w:iCs/>
        </w:rPr>
        <w:t xml:space="preserve">Criminal Code </w:t>
      </w:r>
      <w:r>
        <w:t>(Cth) (</w:t>
      </w:r>
      <w:r w:rsidRPr="007531C6">
        <w:rPr>
          <w:i/>
          <w:iCs/>
        </w:rPr>
        <w:t>Criminal Code</w:t>
      </w:r>
      <w:r>
        <w:t xml:space="preserve">), it is an offence for a person to advocate the use of force or violence against these groups, </w:t>
      </w:r>
      <w:r w:rsidR="009256A3">
        <w:t xml:space="preserve">their </w:t>
      </w:r>
      <w:r>
        <w:t>members, or their close associates. T</w:t>
      </w:r>
      <w:r w:rsidRPr="00035B81">
        <w:t xml:space="preserve">he person may have in mind a combination of </w:t>
      </w:r>
      <w:r>
        <w:t xml:space="preserve">the protected </w:t>
      </w:r>
      <w:r w:rsidRPr="00035B81">
        <w:t xml:space="preserve">attributes mentioned </w:t>
      </w:r>
      <w:r>
        <w:t>above</w:t>
      </w:r>
      <w:r w:rsidRPr="00035B81">
        <w:t>.</w:t>
      </w:r>
    </w:p>
    <w:p w14:paraId="02201204" w14:textId="77777777" w:rsidR="00FE5562" w:rsidRDefault="00FE5562" w:rsidP="00FE5562">
      <w:pPr>
        <w:pStyle w:val="NormalAutoChapter"/>
        <w:tabs>
          <w:tab w:val="num" w:pos="2705"/>
        </w:tabs>
      </w:pPr>
      <w:r>
        <w:t>The accused person does not have to intend that the force or violence occur. It is sufficient if they are reckless as to whether force or violence will occur.</w:t>
      </w:r>
      <w:r>
        <w:rPr>
          <w:rStyle w:val="FootnoteReference"/>
        </w:rPr>
        <w:footnoteReference w:id="801"/>
      </w:r>
      <w:r>
        <w:t xml:space="preserve"> </w:t>
      </w:r>
    </w:p>
    <w:p w14:paraId="235FC806" w14:textId="77777777" w:rsidR="00FE5562" w:rsidRDefault="00FE5562" w:rsidP="00FE5562">
      <w:pPr>
        <w:pStyle w:val="NormalAutoChapter"/>
        <w:tabs>
          <w:tab w:val="num" w:pos="2705"/>
        </w:tabs>
      </w:pPr>
      <w:r>
        <w:t>It is also an offence to threaten the use of force or violence against these groups, or their members or close associates, if a reasonable member of the targeted group would fear that the threat will be carried out.</w:t>
      </w:r>
      <w:r>
        <w:rPr>
          <w:rStyle w:val="FootnoteReference"/>
        </w:rPr>
        <w:footnoteReference w:id="802"/>
      </w:r>
      <w:r>
        <w:t xml:space="preserve">  </w:t>
      </w:r>
    </w:p>
    <w:p w14:paraId="2C894ADE" w14:textId="77777777" w:rsidR="00FE5562" w:rsidRDefault="00FE5562" w:rsidP="00FE5562">
      <w:pPr>
        <w:pStyle w:val="NormalAutoChapter"/>
        <w:tabs>
          <w:tab w:val="num" w:pos="2705"/>
        </w:tabs>
      </w:pPr>
      <w:r>
        <w:t>It is also an offence to advocate force or violence by causing damage to property (for example, painting an offensive slogan on a building). This only applies if the targeted group is distinguished by race, religion or ethnic origin.</w:t>
      </w:r>
      <w:r>
        <w:rPr>
          <w:rStyle w:val="FootnoteReference"/>
        </w:rPr>
        <w:footnoteReference w:id="803"/>
      </w:r>
    </w:p>
    <w:p w14:paraId="2A09FDCB" w14:textId="77777777" w:rsidR="00FE5562" w:rsidRPr="007005EC" w:rsidRDefault="00FE5562" w:rsidP="00FE5562">
      <w:pPr>
        <w:pStyle w:val="NormalAutoChapter"/>
        <w:tabs>
          <w:tab w:val="num" w:pos="2705"/>
        </w:tabs>
      </w:pPr>
      <w:r>
        <w:t>Aggravated versions of each offence (with a higher maximum penalty) may apply if the use of force or violence would threaten the peace, order, and good government of the Commonwealth if carried out.</w:t>
      </w:r>
      <w:r>
        <w:rPr>
          <w:rStyle w:val="FootnoteReference"/>
        </w:rPr>
        <w:footnoteReference w:id="804"/>
      </w:r>
    </w:p>
    <w:p w14:paraId="5C5A11BC" w14:textId="63E7C1E7" w:rsidR="00FE5562" w:rsidRDefault="00FE5562" w:rsidP="00FE5562">
      <w:pPr>
        <w:pStyle w:val="Heading1"/>
      </w:pPr>
      <w:bookmarkStart w:id="357" w:name="_Toc196746766"/>
      <w:bookmarkStart w:id="358" w:name="_Toc196826920"/>
      <w:r>
        <w:t>The protected attributes: civil vilification</w:t>
      </w:r>
      <w:bookmarkEnd w:id="357"/>
      <w:bookmarkEnd w:id="358"/>
    </w:p>
    <w:p w14:paraId="066753F5" w14:textId="77777777" w:rsidR="00FE5562" w:rsidRDefault="00FE5562" w:rsidP="00FE5562">
      <w:pPr>
        <w:pStyle w:val="NormalAutoChapter"/>
        <w:tabs>
          <w:tab w:val="num" w:pos="2705"/>
        </w:tabs>
      </w:pPr>
      <w:r>
        <w:t>The ADA prohibits vilification based on:</w:t>
      </w:r>
    </w:p>
    <w:p w14:paraId="450C9EBE" w14:textId="77777777" w:rsidR="00FE5562" w:rsidRDefault="00FE5562" w:rsidP="00FE5562">
      <w:pPr>
        <w:pStyle w:val="Normalbullet"/>
      </w:pPr>
      <w:r w:rsidRPr="00A62F44">
        <w:t>race</w:t>
      </w:r>
    </w:p>
    <w:p w14:paraId="1032B678" w14:textId="77777777" w:rsidR="00FE5562" w:rsidRPr="00A62F44" w:rsidRDefault="00FE5562" w:rsidP="00FE5562">
      <w:pPr>
        <w:pStyle w:val="Normalbullet"/>
      </w:pPr>
      <w:r w:rsidRPr="00A62F44">
        <w:t>homosexuality</w:t>
      </w:r>
    </w:p>
    <w:p w14:paraId="048ECC19" w14:textId="77777777" w:rsidR="00FE5562" w:rsidRPr="00A62F44" w:rsidRDefault="00FE5562" w:rsidP="00FE5562">
      <w:pPr>
        <w:pStyle w:val="Normalbullet"/>
      </w:pPr>
      <w:r w:rsidRPr="00A62F44">
        <w:t xml:space="preserve">transgender </w:t>
      </w:r>
      <w:r>
        <w:t>grounds</w:t>
      </w:r>
    </w:p>
    <w:p w14:paraId="75389EE4" w14:textId="77777777" w:rsidR="00FE5562" w:rsidRPr="00A62F44" w:rsidRDefault="00FE5562" w:rsidP="00FE5562">
      <w:pPr>
        <w:pStyle w:val="Normalbullet"/>
      </w:pPr>
      <w:r>
        <w:t xml:space="preserve">having </w:t>
      </w:r>
      <w:r w:rsidRPr="00A62F44">
        <w:t>HIV/AIDS</w:t>
      </w:r>
      <w:r>
        <w:t>,</w:t>
      </w:r>
      <w:r w:rsidRPr="00A62F44">
        <w:t xml:space="preserve"> and </w:t>
      </w:r>
    </w:p>
    <w:p w14:paraId="1834796E" w14:textId="77777777" w:rsidR="00FE5562" w:rsidRDefault="00FE5562" w:rsidP="00FE5562">
      <w:pPr>
        <w:pStyle w:val="Normalbullet"/>
      </w:pPr>
      <w:r w:rsidRPr="00A62F44">
        <w:lastRenderedPageBreak/>
        <w:t>religious belief, affiliation or activity, including</w:t>
      </w:r>
      <w:r>
        <w:t xml:space="preserve"> not having a religious belief or affiliation, or not engaging in religious activity.</w:t>
      </w:r>
      <w:r>
        <w:rPr>
          <w:rStyle w:val="FootnoteReference"/>
        </w:rPr>
        <w:footnoteReference w:id="805"/>
      </w:r>
    </w:p>
    <w:p w14:paraId="30233A51" w14:textId="77777777" w:rsidR="00FE5562" w:rsidRDefault="00FE5562" w:rsidP="00FE5562">
      <w:pPr>
        <w:pStyle w:val="NormalAutoChapter"/>
        <w:tabs>
          <w:tab w:val="num" w:pos="2705"/>
        </w:tabs>
        <w:spacing w:after="240"/>
        <w:rPr>
          <w:lang w:eastAsia="en-US"/>
        </w:rPr>
      </w:pPr>
      <w:r>
        <w:rPr>
          <w:lang w:eastAsia="en-US"/>
        </w:rPr>
        <w:t>If someone brings a complaint on behalf of other people, each person on whose behalf the complaint is made must:</w:t>
      </w:r>
    </w:p>
    <w:p w14:paraId="52810898" w14:textId="77777777" w:rsidR="00FE5562" w:rsidRDefault="00FE5562" w:rsidP="00FE5562">
      <w:pPr>
        <w:pStyle w:val="Normalbullet"/>
      </w:pPr>
      <w:r>
        <w:t xml:space="preserve">have the characteristic that the conduct in question was based on, or </w:t>
      </w:r>
    </w:p>
    <w:p w14:paraId="3B33A0E3" w14:textId="77777777" w:rsidR="00FE5562" w:rsidRDefault="00FE5562" w:rsidP="00FE5562">
      <w:pPr>
        <w:pStyle w:val="Normalbullet"/>
      </w:pPr>
      <w:r>
        <w:t>claim to have that characteristic, and there is no sufficient reason to doubt this.</w:t>
      </w:r>
      <w:r>
        <w:rPr>
          <w:rStyle w:val="FootnoteReference"/>
        </w:rPr>
        <w:footnoteReference w:id="806"/>
      </w:r>
      <w:r>
        <w:t xml:space="preserve"> </w:t>
      </w:r>
    </w:p>
    <w:p w14:paraId="46AFECFF" w14:textId="77777777" w:rsidR="00FE5562" w:rsidRPr="003410A3" w:rsidRDefault="00FE5562" w:rsidP="00FE5562">
      <w:pPr>
        <w:pStyle w:val="NormalAutoChapter"/>
        <w:tabs>
          <w:tab w:val="num" w:pos="2705"/>
        </w:tabs>
      </w:pPr>
      <w:r w:rsidRPr="003410A3">
        <w:t xml:space="preserve">We will consider complaints procedures and remedies in detail in our </w:t>
      </w:r>
      <w:r>
        <w:t>second</w:t>
      </w:r>
      <w:r w:rsidRPr="009A1D24">
        <w:t xml:space="preserve"> consultation paper</w:t>
      </w:r>
      <w:r w:rsidRPr="003410A3">
        <w:t>.</w:t>
      </w:r>
    </w:p>
    <w:p w14:paraId="6623C5E1" w14:textId="77777777" w:rsidR="00FE5562" w:rsidRDefault="00FE5562" w:rsidP="00FE5562">
      <w:pPr>
        <w:pStyle w:val="NormalAutoChapter"/>
        <w:tabs>
          <w:tab w:val="num" w:pos="2705"/>
        </w:tabs>
      </w:pPr>
      <w:r>
        <w:t>In preliminary submissions, we heard concerns that:</w:t>
      </w:r>
    </w:p>
    <w:p w14:paraId="056B4160" w14:textId="2194CBE6" w:rsidR="00FE5562" w:rsidRDefault="00FE5562" w:rsidP="00FE5562">
      <w:pPr>
        <w:pStyle w:val="Normalbullet"/>
      </w:pPr>
      <w:r>
        <w:t xml:space="preserve">the way the ADA expresses and defines certain attributes </w:t>
      </w:r>
      <w:r w:rsidR="00CE484D">
        <w:t xml:space="preserve">that are </w:t>
      </w:r>
      <w:r>
        <w:t>protected against vilification is outdated and under-inclusive, and</w:t>
      </w:r>
    </w:p>
    <w:p w14:paraId="7EB7C448" w14:textId="77777777" w:rsidR="00FE5562" w:rsidRDefault="00FE5562" w:rsidP="00FE5562">
      <w:pPr>
        <w:pStyle w:val="Normalbullet"/>
      </w:pPr>
      <w:r>
        <w:t xml:space="preserve">other people, and groups of people, should be protected against vilification. </w:t>
      </w:r>
    </w:p>
    <w:p w14:paraId="6AF1F823" w14:textId="77777777" w:rsidR="00FE5562" w:rsidRDefault="00FE5562" w:rsidP="00FE5562">
      <w:pPr>
        <w:pStyle w:val="Heading2"/>
      </w:pPr>
      <w:bookmarkStart w:id="359" w:name="_Toc196746767"/>
      <w:bookmarkStart w:id="360" w:name="_Toc196826921"/>
      <w:r>
        <w:t>How the protected attributes are expressed and defined</w:t>
      </w:r>
      <w:bookmarkEnd w:id="359"/>
      <w:bookmarkEnd w:id="360"/>
    </w:p>
    <w:p w14:paraId="5FC94BD3" w14:textId="77777777" w:rsidR="00FE5562" w:rsidRDefault="00FE5562" w:rsidP="00FE5562">
      <w:pPr>
        <w:pStyle w:val="NormalAutoChapter"/>
        <w:tabs>
          <w:tab w:val="num" w:pos="2705"/>
        </w:tabs>
        <w:rPr>
          <w:lang w:eastAsia="en-US"/>
        </w:rPr>
      </w:pPr>
      <w:r>
        <w:rPr>
          <w:lang w:eastAsia="en-US"/>
        </w:rPr>
        <w:t xml:space="preserve">As we detail in </w:t>
      </w:r>
      <w:r w:rsidRPr="00AD475C">
        <w:rPr>
          <w:lang w:eastAsia="en-US"/>
        </w:rPr>
        <w:t>chapter</w:t>
      </w:r>
      <w:r w:rsidRPr="009A1D24">
        <w:rPr>
          <w:lang w:eastAsia="en-US"/>
        </w:rPr>
        <w:t xml:space="preserve"> 4,</w:t>
      </w:r>
      <w:r>
        <w:rPr>
          <w:lang w:eastAsia="en-US"/>
        </w:rPr>
        <w:t xml:space="preserve"> preliminary submissions raised many concerns about the way the ADA expresses and defines certain attributes in relation to the discrimination protections. While we do not repeat them here, many concerns are also relevant to the way the same attributes are expressed in the vilification sections of the ADA.</w:t>
      </w:r>
    </w:p>
    <w:p w14:paraId="486EDA42" w14:textId="77777777" w:rsidR="00FE5562" w:rsidRDefault="00FE5562" w:rsidP="00FE5562">
      <w:pPr>
        <w:pStyle w:val="NormalAutoChapter"/>
        <w:tabs>
          <w:tab w:val="num" w:pos="2705"/>
        </w:tabs>
        <w:rPr>
          <w:lang w:eastAsia="en-US"/>
        </w:rPr>
      </w:pPr>
      <w:r>
        <w:rPr>
          <w:lang w:eastAsia="en-US"/>
        </w:rPr>
        <w:t xml:space="preserve">Some have specifically suggested that NSW should harmonise the expressions and definitions in the ADA’s vilification protections with those in s 93Z of the </w:t>
      </w:r>
      <w:r w:rsidRPr="0043736C">
        <w:rPr>
          <w:i/>
          <w:iCs/>
          <w:lang w:eastAsia="en-US"/>
        </w:rPr>
        <w:t>Crimes Act</w:t>
      </w:r>
      <w:r>
        <w:rPr>
          <w:lang w:eastAsia="en-US"/>
        </w:rPr>
        <w:t xml:space="preserve">.  </w:t>
      </w:r>
    </w:p>
    <w:p w14:paraId="5FB7F270" w14:textId="77777777" w:rsidR="00FE5562" w:rsidRDefault="00FE5562" w:rsidP="00FE5562">
      <w:pPr>
        <w:pStyle w:val="NormalAutoChapter"/>
        <w:tabs>
          <w:tab w:val="num" w:pos="2705"/>
        </w:tabs>
        <w:rPr>
          <w:sz w:val="24"/>
        </w:rPr>
      </w:pPr>
      <w:r>
        <w:t>The offence in s 93Z covers public acts that threaten or incite violence based on any of the following attributes:</w:t>
      </w:r>
    </w:p>
    <w:p w14:paraId="2EDC9213" w14:textId="77777777" w:rsidR="00FE5562" w:rsidRDefault="00FE5562" w:rsidP="00FE5562">
      <w:pPr>
        <w:pStyle w:val="Quotation1hanging"/>
      </w:pPr>
      <w:r>
        <w:t>(a)</w:t>
      </w:r>
      <w:r>
        <w:tab/>
        <w:t>the race of the other person or one or more of the members of the group,</w:t>
      </w:r>
    </w:p>
    <w:p w14:paraId="5EDC9F25" w14:textId="77777777" w:rsidR="00FE5562" w:rsidRDefault="00FE5562" w:rsidP="00FE5562">
      <w:pPr>
        <w:pStyle w:val="Quotation1hanging"/>
      </w:pPr>
      <w:r>
        <w:t>(b)</w:t>
      </w:r>
      <w:r>
        <w:tab/>
        <w:t>that the other person has, or one or more of the members of the group have, a specific religious belief or affiliation,</w:t>
      </w:r>
    </w:p>
    <w:p w14:paraId="50D229C7" w14:textId="77777777" w:rsidR="00FE5562" w:rsidRDefault="00FE5562" w:rsidP="00FE5562">
      <w:pPr>
        <w:pStyle w:val="Quotation1hanging"/>
      </w:pPr>
      <w:r>
        <w:t>(c)</w:t>
      </w:r>
      <w:r>
        <w:tab/>
        <w:t>the sexual orientation of the other person or one or more of the members of the group,</w:t>
      </w:r>
    </w:p>
    <w:p w14:paraId="2999A13E" w14:textId="77777777" w:rsidR="00FE5562" w:rsidRDefault="00FE5562" w:rsidP="00FE5562">
      <w:pPr>
        <w:pStyle w:val="Quotation1hanging"/>
      </w:pPr>
      <w:r>
        <w:t>(d)</w:t>
      </w:r>
      <w:r>
        <w:tab/>
        <w:t>the gender identity of the other person or one or more of the members of the group,</w:t>
      </w:r>
    </w:p>
    <w:p w14:paraId="05CB9B39" w14:textId="77777777" w:rsidR="00FE5562" w:rsidRDefault="00FE5562" w:rsidP="00FE5562">
      <w:pPr>
        <w:pStyle w:val="Quotation1hanging"/>
      </w:pPr>
      <w:r>
        <w:t>(e)</w:t>
      </w:r>
      <w:r>
        <w:tab/>
        <w:t>that the other person is, or one or more of the members of the group are, of intersex status,</w:t>
      </w:r>
    </w:p>
    <w:p w14:paraId="6F0E890F" w14:textId="77777777" w:rsidR="00FE5562" w:rsidRDefault="00FE5562" w:rsidP="00FE5562">
      <w:pPr>
        <w:pStyle w:val="Quotation1hanging"/>
      </w:pPr>
      <w:r>
        <w:t>(f)</w:t>
      </w:r>
      <w:r>
        <w:tab/>
        <w:t>that the other person has, or one or more of the members of the group have, HIV or AIDS.</w:t>
      </w:r>
      <w:r>
        <w:rPr>
          <w:rStyle w:val="FootnoteReference"/>
        </w:rPr>
        <w:footnoteReference w:id="807"/>
      </w:r>
    </w:p>
    <w:p w14:paraId="1BACFCDD" w14:textId="77777777" w:rsidR="00FE5562" w:rsidRDefault="00FE5562" w:rsidP="00FE5562">
      <w:pPr>
        <w:pStyle w:val="NormalAutoChapter"/>
        <w:tabs>
          <w:tab w:val="num" w:pos="2705"/>
        </w:tabs>
      </w:pPr>
      <w:r>
        <w:lastRenderedPageBreak/>
        <w:t>It is irrelevant whether the alleged offender’s assumptions or beliefs about an attribute of the other person or member of a group were correct or incorrect at the time of the relevant conduct.</w:t>
      </w:r>
      <w:r>
        <w:rPr>
          <w:rStyle w:val="FootnoteReference"/>
        </w:rPr>
        <w:footnoteReference w:id="808"/>
      </w:r>
    </w:p>
    <w:p w14:paraId="566D59DD" w14:textId="77777777" w:rsidR="00FE5562" w:rsidRDefault="00FE5562" w:rsidP="00FE5562">
      <w:pPr>
        <w:pStyle w:val="NormalAutoChapter"/>
        <w:tabs>
          <w:tab w:val="num" w:pos="2705"/>
        </w:tabs>
      </w:pPr>
      <w:r>
        <w:t>As defined in s 93Z:</w:t>
      </w:r>
    </w:p>
    <w:p w14:paraId="3C1D5A3D" w14:textId="77777777" w:rsidR="00FE5562" w:rsidRDefault="00FE5562" w:rsidP="00FE5562">
      <w:pPr>
        <w:pStyle w:val="Normalbullet"/>
      </w:pPr>
      <w:r>
        <w:t>“race” includes colour, nationality, descent and ethnic, ethno-religious or national origin</w:t>
      </w:r>
    </w:p>
    <w:p w14:paraId="4D1B9FAA" w14:textId="77777777" w:rsidR="00FE5562" w:rsidRDefault="00FE5562" w:rsidP="00FE5562">
      <w:pPr>
        <w:pStyle w:val="Normalbullet"/>
      </w:pPr>
      <w:r>
        <w:t>“</w:t>
      </w:r>
      <w:proofErr w:type="gramStart"/>
      <w:r>
        <w:t>religious</w:t>
      </w:r>
      <w:proofErr w:type="gramEnd"/>
      <w:r>
        <w:t xml:space="preserve"> belief or affiliation” means holding or not holding a religious belief or view</w:t>
      </w:r>
    </w:p>
    <w:p w14:paraId="37C91DDE" w14:textId="77777777" w:rsidR="00FE5562" w:rsidRDefault="00FE5562" w:rsidP="00FE5562">
      <w:pPr>
        <w:pStyle w:val="Normalbullet"/>
      </w:pPr>
      <w:r>
        <w:t>“</w:t>
      </w:r>
      <w:proofErr w:type="gramStart"/>
      <w:r>
        <w:t>sexual</w:t>
      </w:r>
      <w:proofErr w:type="gramEnd"/>
      <w:r>
        <w:t xml:space="preserve"> orientation” means a person’s sexual orientation towards persons of the same sex, persons of a different sex, or persons of the same sex and persons of a different sex</w:t>
      </w:r>
    </w:p>
    <w:p w14:paraId="398B90B6" w14:textId="77777777" w:rsidR="00FE5562" w:rsidRDefault="00FE5562" w:rsidP="00FE5562">
      <w:pPr>
        <w:pStyle w:val="Normalbullet"/>
      </w:pPr>
      <w:r>
        <w:t>“</w:t>
      </w:r>
      <w:proofErr w:type="gramStart"/>
      <w:r>
        <w:t>gender</w:t>
      </w:r>
      <w:proofErr w:type="gramEnd"/>
      <w:r>
        <w:t xml:space="preserve"> identity” means the gender related identity, appearance or mannerisms or other gender related characteristics of a person (whether by way of medical intervention or not), with or without regard to the person’s designated sex at birth, and</w:t>
      </w:r>
    </w:p>
    <w:p w14:paraId="3A3B5F66" w14:textId="77777777" w:rsidR="00FE5562" w:rsidRDefault="00FE5562" w:rsidP="00FE5562">
      <w:pPr>
        <w:pStyle w:val="Normalbullet"/>
      </w:pPr>
      <w:r>
        <w:t>“</w:t>
      </w:r>
      <w:proofErr w:type="gramStart"/>
      <w:r>
        <w:t>intersex</w:t>
      </w:r>
      <w:proofErr w:type="gramEnd"/>
      <w:r>
        <w:t xml:space="preserve"> status” means the status of having physical, hormonal or genetic features that are neither wholly female nor wholly male, or a combination of female and male, or neither female nor male.</w:t>
      </w:r>
      <w:r>
        <w:rPr>
          <w:rStyle w:val="FootnoteReference"/>
        </w:rPr>
        <w:footnoteReference w:id="809"/>
      </w:r>
      <w:r>
        <w:t> </w:t>
      </w:r>
    </w:p>
    <w:p w14:paraId="12C79843" w14:textId="77777777" w:rsidR="00FE5562" w:rsidRDefault="00FE5562" w:rsidP="00FE5562">
      <w:pPr>
        <w:pStyle w:val="NormalAutoChapter"/>
        <w:tabs>
          <w:tab w:val="num" w:pos="2705"/>
        </w:tabs>
      </w:pPr>
      <w:r>
        <w:t xml:space="preserve">The definition of “race” in s 93Z is the same as the ADA. But there are differences in relation to the other attributes. </w:t>
      </w:r>
    </w:p>
    <w:p w14:paraId="0E28EB67" w14:textId="0D1D0C06" w:rsidR="00FE5562" w:rsidRDefault="00FE5562" w:rsidP="00FE5562">
      <w:pPr>
        <w:pStyle w:val="NormalAutoChapter"/>
        <w:tabs>
          <w:tab w:val="num" w:pos="2705"/>
        </w:tabs>
      </w:pPr>
      <w:r>
        <w:t>Some have argued that the expressions and definitions of the protected attributes in s 93Z are wider, more modern</w:t>
      </w:r>
      <w:r w:rsidR="00CE484D">
        <w:t>,</w:t>
      </w:r>
      <w:r>
        <w:t xml:space="preserve"> and </w:t>
      </w:r>
      <w:r w:rsidR="00CE484D">
        <w:t xml:space="preserve">more </w:t>
      </w:r>
      <w:r>
        <w:t>inclusive of LGBTQIA+ people than the ADA.</w:t>
      </w:r>
      <w:r>
        <w:rPr>
          <w:rStyle w:val="FootnoteReference"/>
        </w:rPr>
        <w:footnoteReference w:id="810"/>
      </w:r>
      <w:r>
        <w:t xml:space="preserve"> Compared to the ADA, s 93Z covers: </w:t>
      </w:r>
    </w:p>
    <w:p w14:paraId="52DB9693" w14:textId="77777777" w:rsidR="00FE5562" w:rsidRDefault="00FE5562" w:rsidP="00FE5562">
      <w:pPr>
        <w:pStyle w:val="Normalbullet"/>
      </w:pPr>
      <w:r>
        <w:t>sexual orientation (as opposed to “homosexuality” in the ADA)</w:t>
      </w:r>
    </w:p>
    <w:p w14:paraId="4D2C5C2B" w14:textId="77777777" w:rsidR="00FE5562" w:rsidRDefault="00FE5562" w:rsidP="00FE5562">
      <w:pPr>
        <w:pStyle w:val="Normalbullet"/>
      </w:pPr>
      <w:r>
        <w:t>gender identity (as opposed to “transgender grounds” in the ADA), and</w:t>
      </w:r>
    </w:p>
    <w:p w14:paraId="39D8C480" w14:textId="77777777" w:rsidR="00FE5562" w:rsidRDefault="00FE5562" w:rsidP="00FE5562">
      <w:pPr>
        <w:pStyle w:val="Normalbullet"/>
      </w:pPr>
      <w:r>
        <w:t xml:space="preserve">people of intersex status (who are not covered at all in the ADA, under either the discrimination or vilification protections). </w:t>
      </w:r>
    </w:p>
    <w:p w14:paraId="6354AF7F" w14:textId="27C1BF63" w:rsidR="00FE5562" w:rsidRDefault="00FE5562" w:rsidP="00FE5562">
      <w:pPr>
        <w:pStyle w:val="NormalAutoChapter"/>
        <w:tabs>
          <w:tab w:val="num" w:pos="2705"/>
        </w:tabs>
      </w:pPr>
      <w:r>
        <w:t>If the ADA mirrored these protected attributes as expressed in s 93Z, it would give people with these attributes the ability to make a civil complaint. This may be particularly important in cases that do not meet the criminal threshold.</w:t>
      </w:r>
    </w:p>
    <w:p w14:paraId="42DD8430" w14:textId="77777777" w:rsidR="00FE5562" w:rsidRPr="00E049B5" w:rsidRDefault="00FE5562" w:rsidP="00FE5562">
      <w:pPr>
        <w:pStyle w:val="NormalAutoChapter"/>
        <w:tabs>
          <w:tab w:val="num" w:pos="2705"/>
        </w:tabs>
        <w:rPr>
          <w:lang w:eastAsia="en-US"/>
        </w:rPr>
      </w:pPr>
      <w:r w:rsidRPr="00575514">
        <w:rPr>
          <w:color w:val="0D0D0D" w:themeColor="text1" w:themeTint="F2"/>
        </w:rPr>
        <w:t xml:space="preserve">We also heard concerns about the expression used in the ADA </w:t>
      </w:r>
      <w:r>
        <w:rPr>
          <w:color w:val="0D0D0D" w:themeColor="text1" w:themeTint="F2"/>
        </w:rPr>
        <w:t xml:space="preserve">regarding </w:t>
      </w:r>
      <w:r w:rsidRPr="00575514">
        <w:rPr>
          <w:color w:val="0D0D0D" w:themeColor="text1" w:themeTint="F2"/>
        </w:rPr>
        <w:t xml:space="preserve">HIV/AIDS vilification. The ADA refers to a person </w:t>
      </w:r>
      <w:r>
        <w:rPr>
          <w:color w:val="0D0D0D" w:themeColor="text1" w:themeTint="F2"/>
        </w:rPr>
        <w:t xml:space="preserve">as </w:t>
      </w:r>
      <w:r w:rsidRPr="00575514">
        <w:rPr>
          <w:color w:val="0D0D0D" w:themeColor="text1" w:themeTint="F2"/>
        </w:rPr>
        <w:t>being “HIV/AID</w:t>
      </w:r>
      <w:r>
        <w:rPr>
          <w:color w:val="0D0D0D" w:themeColor="text1" w:themeTint="F2"/>
        </w:rPr>
        <w:t>S</w:t>
      </w:r>
      <w:r w:rsidRPr="00575514">
        <w:rPr>
          <w:color w:val="0D0D0D" w:themeColor="text1" w:themeTint="F2"/>
        </w:rPr>
        <w:t xml:space="preserve"> infected”. This is </w:t>
      </w:r>
      <w:r w:rsidRPr="00575514">
        <w:rPr>
          <w:color w:val="0D0D0D" w:themeColor="text1" w:themeTint="F2"/>
        </w:rPr>
        <w:lastRenderedPageBreak/>
        <w:t>considered outdated and stigmatising, as it emphasises the illness rather than the person.</w:t>
      </w:r>
      <w:r w:rsidRPr="00575514">
        <w:rPr>
          <w:rStyle w:val="FootnoteReference"/>
          <w:color w:val="0D0D0D" w:themeColor="text1" w:themeTint="F2"/>
        </w:rPr>
        <w:footnoteReference w:id="811"/>
      </w:r>
      <w:r w:rsidRPr="00575514">
        <w:rPr>
          <w:color w:val="0D0D0D" w:themeColor="text1" w:themeTint="F2"/>
        </w:rPr>
        <w:t xml:space="preserve"> </w:t>
      </w:r>
    </w:p>
    <w:p w14:paraId="4724F23D" w14:textId="77777777" w:rsidR="00FE5562" w:rsidRDefault="00FE5562" w:rsidP="00FE5562">
      <w:pPr>
        <w:pStyle w:val="NormalAutoChapter"/>
        <w:tabs>
          <w:tab w:val="num" w:pos="2705"/>
        </w:tabs>
        <w:rPr>
          <w:lang w:eastAsia="en-US"/>
        </w:rPr>
      </w:pPr>
      <w:r>
        <w:rPr>
          <w:color w:val="0D0D0D" w:themeColor="text1" w:themeTint="F2"/>
        </w:rPr>
        <w:t>Options could include using the expression in s 93Z, that is, a person who “has … HIV or AIDS”. One preliminary submission suggested person-centred language such as “persons living with HIV/AIDS”.</w:t>
      </w:r>
      <w:r>
        <w:rPr>
          <w:rStyle w:val="FootnoteReference"/>
          <w:color w:val="0D0D0D" w:themeColor="text1" w:themeTint="F2"/>
        </w:rPr>
        <w:footnoteReference w:id="812"/>
      </w:r>
      <w:r>
        <w:rPr>
          <w:color w:val="0D0D0D" w:themeColor="text1" w:themeTint="F2"/>
        </w:rPr>
        <w:t xml:space="preserve"> </w:t>
      </w:r>
      <w:r>
        <w:t xml:space="preserve">Another </w:t>
      </w:r>
      <w:r w:rsidRPr="00575514">
        <w:t>suggested extending the</w:t>
      </w:r>
      <w:r>
        <w:t xml:space="preserve"> vilification</w:t>
      </w:r>
      <w:r w:rsidRPr="00575514">
        <w:t xml:space="preserve"> protections to include the unwanted disclosure of a person’s HIV/AIDS status or threats to disclose</w:t>
      </w:r>
      <w:r>
        <w:t xml:space="preserve"> it</w:t>
      </w:r>
      <w:r w:rsidRPr="00575514">
        <w:t>.</w:t>
      </w:r>
      <w:r w:rsidRPr="00575514">
        <w:rPr>
          <w:rStyle w:val="FootnoteReference"/>
        </w:rPr>
        <w:footnoteReference w:id="813"/>
      </w:r>
      <w:r w:rsidRPr="00575514">
        <w:t xml:space="preserve">  </w:t>
      </w:r>
    </w:p>
    <w:p w14:paraId="776C64C1" w14:textId="3F647D21" w:rsidR="00CE484D" w:rsidRPr="00575514" w:rsidRDefault="00CE484D" w:rsidP="00CE484D">
      <w:pPr>
        <w:pStyle w:val="NormalAutoChapter"/>
        <w:tabs>
          <w:tab w:val="num" w:pos="2705"/>
        </w:tabs>
      </w:pPr>
      <w:r>
        <w:t>We consider the definition of “religious belief or affiliation” in detail later in this chapter, when we discuss the 2023 reforms that prohibited vilification on this ground.</w:t>
      </w:r>
    </w:p>
    <w:p w14:paraId="6F6DEEF7" w14:textId="77777777" w:rsidR="00FE5562" w:rsidRDefault="00FE5562" w:rsidP="00FE5562">
      <w:pPr>
        <w:pStyle w:val="Heading2"/>
      </w:pPr>
      <w:bookmarkStart w:id="361" w:name="_Toc196746768"/>
      <w:bookmarkStart w:id="362" w:name="_Toc196826922"/>
      <w:r>
        <w:t>Other potential protected attributes</w:t>
      </w:r>
      <w:bookmarkEnd w:id="361"/>
      <w:bookmarkEnd w:id="362"/>
      <w:r>
        <w:t xml:space="preserve">  </w:t>
      </w:r>
    </w:p>
    <w:p w14:paraId="67756DA4" w14:textId="77777777" w:rsidR="00FE5562" w:rsidRDefault="00FE5562" w:rsidP="00FE5562">
      <w:pPr>
        <w:pStyle w:val="NormalAutoChapter"/>
        <w:tabs>
          <w:tab w:val="num" w:pos="2705"/>
        </w:tabs>
      </w:pPr>
      <w:r>
        <w:rPr>
          <w:lang w:eastAsia="en-US"/>
        </w:rPr>
        <w:t xml:space="preserve">Some think the ADA fails to protect certain other groups that experience high levels of social stigma and hate speech. </w:t>
      </w:r>
      <w:r>
        <w:t>In submissions both to this review and our review of s 93Z, we received suggestions that the law should prohibit vilification based on:</w:t>
      </w:r>
    </w:p>
    <w:p w14:paraId="1EFC2CC8" w14:textId="77777777" w:rsidR="00FE5562" w:rsidRDefault="00FE5562" w:rsidP="00FE5562">
      <w:pPr>
        <w:pStyle w:val="Normalbullet"/>
      </w:pPr>
      <w:r>
        <w:t>disability</w:t>
      </w:r>
      <w:r w:rsidRPr="00813FB1">
        <w:rPr>
          <w:vertAlign w:val="superscript"/>
        </w:rPr>
        <w:footnoteReference w:id="814"/>
      </w:r>
      <w:r>
        <w:t xml:space="preserve"> </w:t>
      </w:r>
    </w:p>
    <w:p w14:paraId="4B4EC654" w14:textId="77777777" w:rsidR="00FE5562" w:rsidRDefault="00FE5562" w:rsidP="00FE5562">
      <w:pPr>
        <w:pStyle w:val="Normalbullet"/>
      </w:pPr>
      <w:r>
        <w:t>caste</w:t>
      </w:r>
      <w:r>
        <w:rPr>
          <w:rStyle w:val="FootnoteReference"/>
        </w:rPr>
        <w:footnoteReference w:id="815"/>
      </w:r>
    </w:p>
    <w:p w14:paraId="281B5DE8" w14:textId="77777777" w:rsidR="00FE5562" w:rsidRDefault="00FE5562" w:rsidP="00FE5562">
      <w:pPr>
        <w:pStyle w:val="Normalbullet"/>
      </w:pPr>
      <w:r>
        <w:t>people who experience mental illness, and their families and carers</w:t>
      </w:r>
      <w:r>
        <w:rPr>
          <w:rStyle w:val="FootnoteReference"/>
        </w:rPr>
        <w:footnoteReference w:id="816"/>
      </w:r>
    </w:p>
    <w:p w14:paraId="3CEE5B82" w14:textId="77777777" w:rsidR="00FE5562" w:rsidRDefault="00FE5562" w:rsidP="00FE5562">
      <w:pPr>
        <w:pStyle w:val="Normalbullet"/>
      </w:pPr>
      <w:r>
        <w:t>sex workers,</w:t>
      </w:r>
      <w:r>
        <w:rPr>
          <w:rStyle w:val="FootnoteReference"/>
        </w:rPr>
        <w:footnoteReference w:id="817"/>
      </w:r>
      <w:r>
        <w:t xml:space="preserve"> and</w:t>
      </w:r>
    </w:p>
    <w:p w14:paraId="1F3955FB" w14:textId="77777777" w:rsidR="00FE5562" w:rsidRDefault="00FE5562" w:rsidP="00FE5562">
      <w:pPr>
        <w:pStyle w:val="Normalbullet"/>
      </w:pPr>
      <w:r>
        <w:t>all members of LGBTQIA+ communities, including bisexual+ people, non-binary and other gender diverse people and people with diverse sex characteristics.</w:t>
      </w:r>
      <w:r>
        <w:rPr>
          <w:rStyle w:val="FootnoteReference"/>
        </w:rPr>
        <w:footnoteReference w:id="818"/>
      </w:r>
      <w:r>
        <w:t xml:space="preserve"> </w:t>
      </w:r>
    </w:p>
    <w:p w14:paraId="75A44A28" w14:textId="77777777" w:rsidR="00FE5562" w:rsidRDefault="00FE5562" w:rsidP="00FE5562">
      <w:pPr>
        <w:pStyle w:val="NormalAutoChapter"/>
        <w:tabs>
          <w:tab w:val="num" w:pos="2705"/>
        </w:tabs>
        <w:rPr>
          <w:color w:val="0D0D0D" w:themeColor="text1" w:themeTint="F2"/>
        </w:rPr>
      </w:pPr>
      <w:r w:rsidRPr="00CB3F5C">
        <w:rPr>
          <w:color w:val="0D0D0D" w:themeColor="text1" w:themeTint="F2"/>
        </w:rPr>
        <w:t xml:space="preserve">The Disability Royal Commission recommended that the </w:t>
      </w:r>
      <w:r w:rsidRPr="007531C6">
        <w:rPr>
          <w:i/>
          <w:iCs/>
          <w:color w:val="0D0D0D" w:themeColor="text1" w:themeTint="F2"/>
        </w:rPr>
        <w:t>D</w:t>
      </w:r>
      <w:r w:rsidRPr="00CB3F5C">
        <w:rPr>
          <w:i/>
          <w:iCs/>
          <w:color w:val="0D0D0D" w:themeColor="text1" w:themeTint="F2"/>
        </w:rPr>
        <w:t>isability Discrimination Act 1992</w:t>
      </w:r>
      <w:r w:rsidRPr="00CB3F5C">
        <w:rPr>
          <w:color w:val="0D0D0D" w:themeColor="text1" w:themeTint="F2"/>
        </w:rPr>
        <w:t xml:space="preserve"> (Cth) should</w:t>
      </w:r>
      <w:r>
        <w:rPr>
          <w:color w:val="0D0D0D" w:themeColor="text1" w:themeTint="F2"/>
        </w:rPr>
        <w:t>:</w:t>
      </w:r>
    </w:p>
    <w:p w14:paraId="3ABDE7C7" w14:textId="77777777" w:rsidR="00FE5562" w:rsidRDefault="00FE5562" w:rsidP="00FE5562">
      <w:pPr>
        <w:pStyle w:val="Normalbullet"/>
      </w:pPr>
      <w:r>
        <w:lastRenderedPageBreak/>
        <w:t xml:space="preserve">contain </w:t>
      </w:r>
      <w:r w:rsidRPr="00CB3F5C">
        <w:t xml:space="preserve">a </w:t>
      </w:r>
      <w:r>
        <w:t xml:space="preserve">new </w:t>
      </w:r>
      <w:r w:rsidRPr="00CB3F5C">
        <w:t>protection against offensive behaviour</w:t>
      </w:r>
      <w:r>
        <w:t>,</w:t>
      </w:r>
      <w:r w:rsidRPr="00CB3F5C">
        <w:t xml:space="preserve"> modelled on the </w:t>
      </w:r>
      <w:r w:rsidRPr="00CB3F5C">
        <w:rPr>
          <w:i/>
          <w:iCs/>
        </w:rPr>
        <w:t>Racial Discrimination Act</w:t>
      </w:r>
      <w:r>
        <w:t>, and</w:t>
      </w:r>
    </w:p>
    <w:p w14:paraId="227191E4" w14:textId="77777777" w:rsidR="00FE5562" w:rsidRDefault="00FE5562" w:rsidP="00FE5562">
      <w:pPr>
        <w:pStyle w:val="Normalbullet"/>
      </w:pPr>
      <w:r>
        <w:t>make it unlawful to perpetrate or encourage violence or serious abuse, or incite hatred, because of disability.</w:t>
      </w:r>
      <w:r>
        <w:rPr>
          <w:rStyle w:val="FootnoteReference"/>
        </w:rPr>
        <w:footnoteReference w:id="819"/>
      </w:r>
      <w:r>
        <w:t xml:space="preserve">  </w:t>
      </w:r>
    </w:p>
    <w:p w14:paraId="79F68E13" w14:textId="65CB6C5B" w:rsidR="00FE5562" w:rsidRPr="00CB3F5C" w:rsidRDefault="00FE5562" w:rsidP="00FE5562">
      <w:pPr>
        <w:pStyle w:val="NormalAutoChapter"/>
        <w:tabs>
          <w:tab w:val="num" w:pos="2705"/>
        </w:tabs>
      </w:pPr>
      <w:r>
        <w:t xml:space="preserve">The Royal Commission also recommended that criminal vilification offences be extended to cover the vilification of people with disability </w:t>
      </w:r>
      <w:r w:rsidR="00CE484D">
        <w:t>based on</w:t>
      </w:r>
      <w:r>
        <w:t xml:space="preserve"> their disability or perceived disability.</w:t>
      </w:r>
      <w:r>
        <w:rPr>
          <w:rStyle w:val="FootnoteReference"/>
        </w:rPr>
        <w:footnoteReference w:id="820"/>
      </w:r>
      <w:r>
        <w:t xml:space="preserve"> </w:t>
      </w:r>
    </w:p>
    <w:p w14:paraId="02B55C3A" w14:textId="1D67E745" w:rsidR="00FE5562" w:rsidRDefault="00FE5562" w:rsidP="00FE5562">
      <w:pPr>
        <w:pStyle w:val="NormalAutoChapter"/>
        <w:tabs>
          <w:tab w:val="num" w:pos="2705"/>
        </w:tabs>
      </w:pPr>
      <w:r>
        <w:rPr>
          <w:lang w:eastAsia="en-US"/>
        </w:rPr>
        <w:t xml:space="preserve">Others have cautioned against expanding the list of protected attributes. </w:t>
      </w:r>
      <w:r w:rsidR="00B256F5">
        <w:rPr>
          <w:lang w:eastAsia="en-US"/>
        </w:rPr>
        <w:t>We heard</w:t>
      </w:r>
      <w:r>
        <w:rPr>
          <w:lang w:eastAsia="en-US"/>
        </w:rPr>
        <w:t xml:space="preserve"> concerns about the potential impact of expanding vilification law on freedom of speech and freedom of religion</w:t>
      </w:r>
      <w:r>
        <w:t>.</w:t>
      </w:r>
      <w:r>
        <w:rPr>
          <w:rStyle w:val="FootnoteReference"/>
        </w:rPr>
        <w:footnoteReference w:id="821"/>
      </w:r>
      <w:r>
        <w:t xml:space="preserve"> </w:t>
      </w:r>
    </w:p>
    <w:p w14:paraId="029FD126" w14:textId="77777777" w:rsidR="00FE5562" w:rsidRDefault="00FE5562" w:rsidP="00FE5562">
      <w:pPr>
        <w:pStyle w:val="NormalAutoChapter"/>
        <w:tabs>
          <w:tab w:val="num" w:pos="2705"/>
        </w:tabs>
      </w:pPr>
      <w:r>
        <w:t>We invite you to comment on whether the coverage of the ADA’s civil vilification protections should be expanded and, if so, which groups should be added. We set out below some considerations, adopted from other recent reviews, that could guide your response.</w:t>
      </w:r>
    </w:p>
    <w:p w14:paraId="48275B80" w14:textId="77777777" w:rsidR="00FE5562" w:rsidRDefault="00FE5562" w:rsidP="00FE5562">
      <w:pPr>
        <w:pStyle w:val="Heading3"/>
      </w:pPr>
      <w:r>
        <w:t xml:space="preserve">General principles to guide decision-making about protected attributes </w:t>
      </w:r>
    </w:p>
    <w:p w14:paraId="28EE0CEC" w14:textId="77777777" w:rsidR="00FE5562" w:rsidRDefault="00FE5562" w:rsidP="00FE5562">
      <w:pPr>
        <w:pStyle w:val="NormalAutoChapter"/>
        <w:tabs>
          <w:tab w:val="num" w:pos="2705"/>
        </w:tabs>
      </w:pPr>
      <w:r>
        <w:t xml:space="preserve">A preliminary issue is what principles should guide decisions about which, if any, new attributes should be covered by the ADA’s civil vilification protections. </w:t>
      </w:r>
    </w:p>
    <w:p w14:paraId="4F727A3F" w14:textId="77777777" w:rsidR="00FE5562" w:rsidRDefault="00FE5562" w:rsidP="00FE5562">
      <w:pPr>
        <w:pStyle w:val="NormalAutoChapter"/>
        <w:tabs>
          <w:tab w:val="num" w:pos="2705"/>
        </w:tabs>
        <w:rPr>
          <w:lang w:eastAsia="en-US"/>
        </w:rPr>
      </w:pPr>
      <w:r>
        <w:t>The New South Wales Law Reform Commission (NSWLRC) t</w:t>
      </w:r>
      <w:r>
        <w:rPr>
          <w:lang w:eastAsia="en-US"/>
        </w:rPr>
        <w:t>ook a cautious approach in its 1999 review of the ADA, noting arguments that:</w:t>
      </w:r>
    </w:p>
    <w:p w14:paraId="75C8ABC9" w14:textId="77777777" w:rsidR="00FE5562" w:rsidRDefault="00FE5562" w:rsidP="00FE5562">
      <w:pPr>
        <w:pStyle w:val="Normalbullet"/>
      </w:pPr>
      <w:r>
        <w:t>vilification laws can have a chilling effect on free speech, and</w:t>
      </w:r>
    </w:p>
    <w:p w14:paraId="2E732340" w14:textId="77777777" w:rsidR="00FE5562" w:rsidRDefault="00FE5562" w:rsidP="00FE5562">
      <w:pPr>
        <w:pStyle w:val="Normalbullet"/>
      </w:pPr>
      <w:r>
        <w:t>wider protections may increase complaints, which can have resource implications.</w:t>
      </w:r>
      <w:r>
        <w:rPr>
          <w:rStyle w:val="FootnoteReference"/>
        </w:rPr>
        <w:footnoteReference w:id="822"/>
      </w:r>
    </w:p>
    <w:p w14:paraId="121C1104" w14:textId="133F8B61" w:rsidR="00FE5562" w:rsidRDefault="00FE5562" w:rsidP="00FE5562">
      <w:pPr>
        <w:pStyle w:val="NormalAutoChapter"/>
        <w:tabs>
          <w:tab w:val="num" w:pos="2705"/>
        </w:tabs>
      </w:pPr>
      <w:r>
        <w:t xml:space="preserve">The NSWLRC’s view in 1999 was that vilification laws should only protect groups that are “socially significant”, and who are being harmed noticeably and actively by hatred. It </w:t>
      </w:r>
      <w:r>
        <w:rPr>
          <w:lang w:eastAsia="en-US"/>
        </w:rPr>
        <w:t xml:space="preserve">considered that </w:t>
      </w:r>
      <w:r w:rsidR="00543FDD">
        <w:rPr>
          <w:lang w:eastAsia="en-US"/>
        </w:rPr>
        <w:t xml:space="preserve">the </w:t>
      </w:r>
      <w:r>
        <w:rPr>
          <w:lang w:eastAsia="en-US"/>
        </w:rPr>
        <w:t xml:space="preserve">coverage of vilification laws should be justifiable and based on statistical information on the incidence of vilification of a particular group. In its view, </w:t>
      </w:r>
      <w:r>
        <w:t xml:space="preserve">new or extended vilification prohibitions should only be recommended where there is evidence that: </w:t>
      </w:r>
    </w:p>
    <w:p w14:paraId="59C573DC" w14:textId="77777777" w:rsidR="00FE5562" w:rsidRDefault="00FE5562" w:rsidP="00FE5562">
      <w:pPr>
        <w:pStyle w:val="Normalbullet"/>
      </w:pPr>
      <w:r>
        <w:t xml:space="preserve">a practical problem needs to be addressed </w:t>
      </w:r>
    </w:p>
    <w:p w14:paraId="06FA9B9D" w14:textId="77777777" w:rsidR="00FE5562" w:rsidRDefault="00FE5562" w:rsidP="00FE5562">
      <w:pPr>
        <w:pStyle w:val="Normalbullet"/>
      </w:pPr>
      <w:r>
        <w:lastRenderedPageBreak/>
        <w:t xml:space="preserve">existing laws are ineffective in addressing this problem </w:t>
      </w:r>
    </w:p>
    <w:p w14:paraId="57307D99" w14:textId="77777777" w:rsidR="00FE5562" w:rsidRDefault="00FE5562" w:rsidP="00FE5562">
      <w:pPr>
        <w:pStyle w:val="Normalbullet"/>
      </w:pPr>
      <w:r>
        <w:t xml:space="preserve">the proposed prohibition might reasonably be expected to have an appropriate impact on this problem, and </w:t>
      </w:r>
    </w:p>
    <w:p w14:paraId="7A4F2CD2" w14:textId="77777777" w:rsidR="00FE5562" w:rsidRDefault="00FE5562" w:rsidP="00FE5562">
      <w:pPr>
        <w:pStyle w:val="Normalbullet"/>
      </w:pPr>
      <w:r>
        <w:t>the proposed prohibition would not disproportionately diminish freedom of speech.</w:t>
      </w:r>
      <w:r>
        <w:rPr>
          <w:rStyle w:val="FootnoteReference"/>
        </w:rPr>
        <w:footnoteReference w:id="823"/>
      </w:r>
    </w:p>
    <w:p w14:paraId="4A77771D" w14:textId="77777777" w:rsidR="00FE5562" w:rsidRDefault="00FE5562" w:rsidP="00FE5562">
      <w:pPr>
        <w:pStyle w:val="NormalAutoChapter"/>
        <w:tabs>
          <w:tab w:val="num" w:pos="2705"/>
        </w:tabs>
        <w:rPr>
          <w:lang w:eastAsia="en-US"/>
        </w:rPr>
      </w:pPr>
      <w:r>
        <w:rPr>
          <w:lang w:eastAsia="en-US"/>
        </w:rPr>
        <w:t>Applying these considerations, the NSWLRC did not support expanding the ADA’s coverage to prohibit gender, religion or disability vilification.</w:t>
      </w:r>
      <w:r>
        <w:rPr>
          <w:rStyle w:val="FootnoteReference"/>
          <w:lang w:eastAsia="en-US"/>
        </w:rPr>
        <w:footnoteReference w:id="824"/>
      </w:r>
      <w:r>
        <w:rPr>
          <w:lang w:eastAsia="en-US"/>
        </w:rPr>
        <w:t xml:space="preserve"> However, a prohibition on religious vilification was added to the ADA in 2023.</w:t>
      </w:r>
      <w:r>
        <w:rPr>
          <w:rStyle w:val="FootnoteReference"/>
          <w:lang w:eastAsia="en-US"/>
        </w:rPr>
        <w:footnoteReference w:id="825"/>
      </w:r>
    </w:p>
    <w:p w14:paraId="64217311" w14:textId="77777777" w:rsidR="00FE5562" w:rsidRDefault="00FE5562" w:rsidP="00FE5562">
      <w:pPr>
        <w:pStyle w:val="NormalAutoChapter"/>
        <w:tabs>
          <w:tab w:val="num" w:pos="2705"/>
        </w:tabs>
        <w:rPr>
          <w:lang w:eastAsia="en-US"/>
        </w:rPr>
      </w:pPr>
      <w:r>
        <w:rPr>
          <w:lang w:eastAsia="en-US"/>
        </w:rPr>
        <w:t>More recent reviews of vilification laws have also identified principles to guide attribute selection. Some similarly considered that protections against vilification should only be extended to other groups if there is empirical evidence that the group is targeted or is at risk of experiencing vilifying behaviour.</w:t>
      </w:r>
      <w:r>
        <w:rPr>
          <w:rStyle w:val="FootnoteReference"/>
          <w:lang w:eastAsia="en-US"/>
        </w:rPr>
        <w:footnoteReference w:id="826"/>
      </w:r>
      <w:r>
        <w:rPr>
          <w:lang w:eastAsia="en-US"/>
        </w:rPr>
        <w:t xml:space="preserve">  </w:t>
      </w:r>
    </w:p>
    <w:p w14:paraId="724843B7" w14:textId="77777777" w:rsidR="00FE5562" w:rsidRDefault="00FE5562" w:rsidP="00FE5562">
      <w:pPr>
        <w:pStyle w:val="NormalAutoChapter"/>
        <w:tabs>
          <w:tab w:val="num" w:pos="2705"/>
        </w:tabs>
        <w:rPr>
          <w:lang w:eastAsia="en-US"/>
        </w:rPr>
      </w:pPr>
      <w:r>
        <w:rPr>
          <w:lang w:eastAsia="en-US"/>
        </w:rPr>
        <w:t>The Law Commission of England and Wales identified a range of factors that could be used to assess whether there is a “demonstrable need” for protection against vilification. These include the:</w:t>
      </w:r>
    </w:p>
    <w:p w14:paraId="595ABCF0" w14:textId="77777777" w:rsidR="00FE5562" w:rsidRDefault="00FE5562" w:rsidP="00FE5562">
      <w:pPr>
        <w:pStyle w:val="Normalbullet"/>
      </w:pPr>
      <w:r>
        <w:t>severity of the vilifying behaviour experienced by the group</w:t>
      </w:r>
    </w:p>
    <w:p w14:paraId="090F2DF7" w14:textId="77777777" w:rsidR="00FE5562" w:rsidRDefault="00FE5562" w:rsidP="00FE5562">
      <w:pPr>
        <w:pStyle w:val="Normalbullet"/>
      </w:pPr>
      <w:r>
        <w:t>total amount of vilifying behaviour targeted at the group, and</w:t>
      </w:r>
    </w:p>
    <w:p w14:paraId="266309FD" w14:textId="77777777" w:rsidR="00FE5562" w:rsidRDefault="00FE5562" w:rsidP="00FE5562">
      <w:pPr>
        <w:pStyle w:val="Normalbullet"/>
      </w:pPr>
      <w:r>
        <w:t>amount of vilification targeted at the group, compared with the size of the group.</w:t>
      </w:r>
      <w:r>
        <w:rPr>
          <w:rStyle w:val="FootnoteReference"/>
        </w:rPr>
        <w:footnoteReference w:id="827"/>
      </w:r>
    </w:p>
    <w:p w14:paraId="4082FDA9" w14:textId="64EB08EE" w:rsidR="00FE5562" w:rsidRDefault="00FE5562" w:rsidP="00FE5562">
      <w:pPr>
        <w:pStyle w:val="NormalAutoChapter"/>
        <w:tabs>
          <w:tab w:val="num" w:pos="2705"/>
        </w:tabs>
      </w:pPr>
      <w:r>
        <w:t>Other recent reviews also supported adding new groups that had been omitted from protection. This could involve consideration of whether:</w:t>
      </w:r>
    </w:p>
    <w:p w14:paraId="7C4A128F" w14:textId="77777777" w:rsidR="00FE5562" w:rsidRDefault="00FE5562" w:rsidP="00FE5562">
      <w:pPr>
        <w:pStyle w:val="Normalbullet"/>
      </w:pPr>
      <w:r>
        <w:t xml:space="preserve">the attribute is protected in other states and territories </w:t>
      </w:r>
    </w:p>
    <w:p w14:paraId="40B6F3CE" w14:textId="77777777" w:rsidR="00FE5562" w:rsidRDefault="00FE5562" w:rsidP="00FE5562">
      <w:pPr>
        <w:pStyle w:val="Normalbullet"/>
      </w:pPr>
      <w:r>
        <w:t xml:space="preserve">the attribute is protected under discrimination law, but not vilification law, and </w:t>
      </w:r>
    </w:p>
    <w:p w14:paraId="45B4096A" w14:textId="77777777" w:rsidR="00FE5562" w:rsidRDefault="00FE5562" w:rsidP="00FE5562">
      <w:pPr>
        <w:pStyle w:val="Normalbullet"/>
      </w:pPr>
      <w:r>
        <w:t>existing human rights standards provide any guidance.</w:t>
      </w:r>
      <w:r>
        <w:rPr>
          <w:rStyle w:val="FootnoteReference"/>
        </w:rPr>
        <w:footnoteReference w:id="828"/>
      </w:r>
    </w:p>
    <w:p w14:paraId="26DA10B6" w14:textId="42BE02BD" w:rsidR="00FE5562" w:rsidRDefault="00FE5562" w:rsidP="00FE5562">
      <w:pPr>
        <w:pStyle w:val="NormalAutoChapter"/>
        <w:tabs>
          <w:tab w:val="num" w:pos="2705"/>
        </w:tabs>
        <w:rPr>
          <w:lang w:eastAsia="en-US"/>
        </w:rPr>
      </w:pPr>
      <w:r>
        <w:rPr>
          <w:lang w:eastAsia="en-US"/>
        </w:rPr>
        <w:lastRenderedPageBreak/>
        <w:t xml:space="preserve">The Law Commission of England and Wales also referred to the principle of “additional harm”. This considers if there is evidence that the vilification of a member of a particular group also causes harm to other members, and to society more widely. </w:t>
      </w:r>
      <w:r w:rsidR="00F549FA">
        <w:rPr>
          <w:lang w:eastAsia="en-US"/>
        </w:rPr>
        <w:t>“</w:t>
      </w:r>
      <w:r>
        <w:rPr>
          <w:lang w:eastAsia="en-US"/>
        </w:rPr>
        <w:t>Additional harm</w:t>
      </w:r>
      <w:r w:rsidR="00F549FA">
        <w:rPr>
          <w:lang w:eastAsia="en-US"/>
        </w:rPr>
        <w:t>”</w:t>
      </w:r>
      <w:r>
        <w:rPr>
          <w:lang w:eastAsia="en-US"/>
        </w:rPr>
        <w:t xml:space="preserve"> </w:t>
      </w:r>
      <w:r w:rsidR="00F549FA">
        <w:rPr>
          <w:lang w:eastAsia="en-US"/>
        </w:rPr>
        <w:t xml:space="preserve">is harm </w:t>
      </w:r>
      <w:r>
        <w:rPr>
          <w:lang w:eastAsia="en-US"/>
        </w:rPr>
        <w:t>that is “associated with a shared sense of collective identity”.</w:t>
      </w:r>
      <w:r>
        <w:rPr>
          <w:rStyle w:val="FootnoteReference"/>
          <w:lang w:eastAsia="en-US"/>
        </w:rPr>
        <w:footnoteReference w:id="829"/>
      </w:r>
      <w:r>
        <w:rPr>
          <w:lang w:eastAsia="en-US"/>
        </w:rPr>
        <w:t xml:space="preserve"> </w:t>
      </w:r>
    </w:p>
    <w:p w14:paraId="16BFCA7F" w14:textId="77777777" w:rsidR="00FE5562" w:rsidRDefault="00FE5562" w:rsidP="00FE5562">
      <w:pPr>
        <w:pStyle w:val="Heading3"/>
      </w:pPr>
      <w:r>
        <w:t xml:space="preserve">Consistency between discrimination law and civil vilification law     </w:t>
      </w:r>
    </w:p>
    <w:p w14:paraId="56C81C56" w14:textId="08829524" w:rsidR="00FE5562" w:rsidRPr="00FE5562" w:rsidRDefault="00FE5562" w:rsidP="00FE5562">
      <w:pPr>
        <w:pStyle w:val="NormalAutoChapter"/>
        <w:tabs>
          <w:tab w:val="num" w:pos="2705"/>
        </w:tabs>
        <w:rPr>
          <w:color w:val="000000" w:themeColor="text1"/>
        </w:rPr>
      </w:pPr>
      <w:r w:rsidRPr="00FE5562">
        <w:rPr>
          <w:color w:val="000000" w:themeColor="text1"/>
        </w:rPr>
        <w:t>One issue is whether the civil vilification protections should apply to the same groups as the ADA’s discrimination protections</w:t>
      </w:r>
      <w:bookmarkStart w:id="363" w:name="_Hlk196745608"/>
      <w:r w:rsidRPr="00FE5562">
        <w:rPr>
          <w:color w:val="000000" w:themeColor="text1"/>
        </w:rPr>
        <w:t xml:space="preserve">. </w:t>
      </w:r>
      <w:bookmarkEnd w:id="363"/>
    </w:p>
    <w:p w14:paraId="55F403E8" w14:textId="77777777" w:rsidR="00FE5562" w:rsidRDefault="00FE5562" w:rsidP="00FE5562">
      <w:pPr>
        <w:pStyle w:val="NormalAutoChapter"/>
        <w:tabs>
          <w:tab w:val="num" w:pos="2705"/>
        </w:tabs>
        <w:spacing w:after="240"/>
        <w:rPr>
          <w:lang w:eastAsia="en-US"/>
        </w:rPr>
      </w:pPr>
      <w:r>
        <w:rPr>
          <w:lang w:eastAsia="en-US"/>
        </w:rPr>
        <w:t>The ADA’s vilification protections apply to a narrower range of attributes than the discrimination protections, as we set out in the table below.</w:t>
      </w:r>
    </w:p>
    <w:p w14:paraId="0D46AE01" w14:textId="77777777" w:rsidR="00FE5562" w:rsidRDefault="00FE5562" w:rsidP="00FE5562">
      <w:pPr>
        <w:pStyle w:val="Tablecaption"/>
      </w:pPr>
      <w:r>
        <w:t>Table 8.1: Attributes protected from civil vilification and discrimination</w:t>
      </w:r>
    </w:p>
    <w:tbl>
      <w:tblPr>
        <w:tblStyle w:val="TableGrid"/>
        <w:tblW w:w="0" w:type="auto"/>
        <w:tblInd w:w="720" w:type="dxa"/>
        <w:tblLook w:val="04A0" w:firstRow="1" w:lastRow="0" w:firstColumn="1" w:lastColumn="0" w:noHBand="0" w:noVBand="1"/>
        <w:tblCaption w:val="Table 8.1: Attributes protected from civil vilification and discrimination"/>
        <w:tblDescription w:val="The attributes protected from civil vilification are: being &quot;HIV/AIDS infected&quot;, actually or presumed; homosexuality; race; religious belief, affiliation or activity (including not having one); or transgender grounds. The attributes protected from discrimination are: age; carer's responsibilities; disability; homosexuality; marital or domestic status; race; sex (including pregnancy or breastfeeding); or transgender grounds."/>
      </w:tblPr>
      <w:tblGrid>
        <w:gridCol w:w="4285"/>
        <w:gridCol w:w="4283"/>
      </w:tblGrid>
      <w:tr w:rsidR="00FE5562" w14:paraId="594A3A17" w14:textId="77777777" w:rsidTr="00517091">
        <w:trPr>
          <w:trHeight w:val="260"/>
        </w:trPr>
        <w:tc>
          <w:tcPr>
            <w:tcW w:w="4285" w:type="dxa"/>
            <w:tcBorders>
              <w:bottom w:val="single" w:sz="4" w:space="0" w:color="000000"/>
            </w:tcBorders>
            <w:shd w:val="clear" w:color="auto" w:fill="002664"/>
          </w:tcPr>
          <w:p w14:paraId="6B8E2438" w14:textId="77777777" w:rsidR="00FE5562" w:rsidRDefault="00FE5562" w:rsidP="004B2BE2">
            <w:pPr>
              <w:pStyle w:val="TableHeading"/>
            </w:pPr>
            <w:r>
              <w:t xml:space="preserve">Attributes protected from civil vilification </w:t>
            </w:r>
          </w:p>
        </w:tc>
        <w:tc>
          <w:tcPr>
            <w:tcW w:w="4283" w:type="dxa"/>
            <w:shd w:val="clear" w:color="auto" w:fill="002664"/>
          </w:tcPr>
          <w:p w14:paraId="4710599A" w14:textId="77777777" w:rsidR="00FE5562" w:rsidRDefault="00FE5562" w:rsidP="004B2BE2">
            <w:pPr>
              <w:pStyle w:val="TableHeading"/>
            </w:pPr>
            <w:r>
              <w:t>Attributes protected from discrimination</w:t>
            </w:r>
          </w:p>
        </w:tc>
      </w:tr>
      <w:tr w:rsidR="00FE5562" w14:paraId="6B4FFAA4" w14:textId="77777777" w:rsidTr="004B2BE2">
        <w:tc>
          <w:tcPr>
            <w:tcW w:w="4285" w:type="dxa"/>
            <w:tcBorders>
              <w:bottom w:val="single" w:sz="4" w:space="0" w:color="auto"/>
            </w:tcBorders>
          </w:tcPr>
          <w:p w14:paraId="0FA379B2" w14:textId="77777777" w:rsidR="00FE5562" w:rsidRDefault="00FE5562" w:rsidP="004B2BE2">
            <w:pPr>
              <w:pStyle w:val="Tabletextbullet"/>
              <w:tabs>
                <w:tab w:val="clear" w:pos="360"/>
              </w:tabs>
            </w:pPr>
            <w:r>
              <w:t>being “HIV/AIDS infected”, actually or presumed</w:t>
            </w:r>
          </w:p>
          <w:p w14:paraId="0D806660" w14:textId="77777777" w:rsidR="00FE5562" w:rsidRDefault="00FE5562" w:rsidP="004B2BE2">
            <w:pPr>
              <w:pStyle w:val="Tabletextbullet"/>
              <w:tabs>
                <w:tab w:val="clear" w:pos="360"/>
              </w:tabs>
            </w:pPr>
            <w:r>
              <w:t>homosexuality</w:t>
            </w:r>
          </w:p>
          <w:p w14:paraId="11E43A02" w14:textId="77777777" w:rsidR="00FE5562" w:rsidRDefault="00FE5562" w:rsidP="004B2BE2">
            <w:pPr>
              <w:pStyle w:val="Tabletextbullet"/>
              <w:tabs>
                <w:tab w:val="clear" w:pos="360"/>
              </w:tabs>
            </w:pPr>
            <w:r>
              <w:t>race</w:t>
            </w:r>
          </w:p>
          <w:p w14:paraId="7B921CFD" w14:textId="77777777" w:rsidR="00FE5562" w:rsidRDefault="00FE5562" w:rsidP="004B2BE2">
            <w:pPr>
              <w:pStyle w:val="Tabletextbullet"/>
              <w:tabs>
                <w:tab w:val="clear" w:pos="360"/>
              </w:tabs>
            </w:pPr>
            <w:r>
              <w:t>religious belief, affiliation or activity (including not having one)</w:t>
            </w:r>
          </w:p>
          <w:p w14:paraId="2F6F13F1" w14:textId="77777777" w:rsidR="00FE5562" w:rsidRDefault="00FE5562" w:rsidP="004B2BE2">
            <w:pPr>
              <w:pStyle w:val="Tabletextbullet"/>
            </w:pPr>
            <w:r>
              <w:t>transgender grounds</w:t>
            </w:r>
          </w:p>
        </w:tc>
        <w:tc>
          <w:tcPr>
            <w:tcW w:w="4283" w:type="dxa"/>
          </w:tcPr>
          <w:p w14:paraId="535CCC1B" w14:textId="77777777" w:rsidR="00FE5562" w:rsidRDefault="00FE5562" w:rsidP="004B2BE2">
            <w:pPr>
              <w:pStyle w:val="Tabletextbullet"/>
              <w:tabs>
                <w:tab w:val="clear" w:pos="360"/>
              </w:tabs>
            </w:pPr>
            <w:r>
              <w:t>age</w:t>
            </w:r>
          </w:p>
          <w:p w14:paraId="2A0F138F" w14:textId="77777777" w:rsidR="00FE5562" w:rsidRDefault="00FE5562" w:rsidP="004B2BE2">
            <w:pPr>
              <w:pStyle w:val="Tabletextbullet"/>
              <w:tabs>
                <w:tab w:val="clear" w:pos="360"/>
              </w:tabs>
            </w:pPr>
            <w:r>
              <w:t xml:space="preserve">carer’s responsibilities </w:t>
            </w:r>
          </w:p>
          <w:p w14:paraId="1F6E1012" w14:textId="77777777" w:rsidR="00FE5562" w:rsidRDefault="00FE5562" w:rsidP="004B2BE2">
            <w:pPr>
              <w:pStyle w:val="Tabletextbullet"/>
              <w:tabs>
                <w:tab w:val="clear" w:pos="360"/>
              </w:tabs>
            </w:pPr>
            <w:r>
              <w:t>disability</w:t>
            </w:r>
          </w:p>
          <w:p w14:paraId="5C6B4214" w14:textId="77777777" w:rsidR="00FE5562" w:rsidRPr="00487CF8" w:rsidRDefault="00FE5562" w:rsidP="004B2BE2">
            <w:pPr>
              <w:pStyle w:val="Tabletextbullet"/>
              <w:tabs>
                <w:tab w:val="clear" w:pos="360"/>
              </w:tabs>
            </w:pPr>
            <w:r>
              <w:t>homosexuality</w:t>
            </w:r>
          </w:p>
          <w:p w14:paraId="19D2D44E" w14:textId="77777777" w:rsidR="00FE5562" w:rsidRPr="00487CF8" w:rsidRDefault="00FE5562" w:rsidP="004B2BE2">
            <w:pPr>
              <w:pStyle w:val="Tabletextbullet"/>
              <w:tabs>
                <w:tab w:val="clear" w:pos="360"/>
              </w:tabs>
            </w:pPr>
            <w:r w:rsidRPr="00487CF8">
              <w:t>marital or domestic status</w:t>
            </w:r>
          </w:p>
          <w:p w14:paraId="48278269" w14:textId="77777777" w:rsidR="00FE5562" w:rsidRDefault="00FE5562" w:rsidP="004B2BE2">
            <w:pPr>
              <w:pStyle w:val="Tabletextbullet"/>
            </w:pPr>
            <w:r>
              <w:t>race</w:t>
            </w:r>
          </w:p>
          <w:p w14:paraId="2EC2DA53" w14:textId="77777777" w:rsidR="00FE5562" w:rsidRDefault="00FE5562" w:rsidP="004B2BE2">
            <w:pPr>
              <w:pStyle w:val="Tabletextbullet"/>
              <w:tabs>
                <w:tab w:val="clear" w:pos="360"/>
              </w:tabs>
            </w:pPr>
            <w:r>
              <w:t xml:space="preserve">sex (including pregnancy and breastfeeding) </w:t>
            </w:r>
          </w:p>
          <w:p w14:paraId="043E7660" w14:textId="77777777" w:rsidR="00FE5562" w:rsidRDefault="00FE5562" w:rsidP="004B2BE2">
            <w:pPr>
              <w:pStyle w:val="Tabletextbullet"/>
            </w:pPr>
            <w:r>
              <w:t xml:space="preserve">transgender grounds </w:t>
            </w:r>
          </w:p>
        </w:tc>
      </w:tr>
    </w:tbl>
    <w:p w14:paraId="764F6780" w14:textId="77777777" w:rsidR="00FE5562" w:rsidRPr="00293FAA" w:rsidRDefault="00FE5562" w:rsidP="00FE5562">
      <w:pPr>
        <w:pStyle w:val="NormalAutoChapter"/>
        <w:tabs>
          <w:tab w:val="num" w:pos="2705"/>
          <w:tab w:val="num" w:pos="5682"/>
        </w:tabs>
      </w:pPr>
      <w:r>
        <w:t xml:space="preserve">For instance, </w:t>
      </w:r>
      <w:r w:rsidRPr="00293FAA">
        <w:rPr>
          <w:color w:val="auto"/>
        </w:rPr>
        <w:t>the ADA:</w:t>
      </w:r>
    </w:p>
    <w:p w14:paraId="5F429880" w14:textId="77777777" w:rsidR="00FE5562" w:rsidRPr="00FF441E" w:rsidRDefault="00FE5562" w:rsidP="00FE5562">
      <w:pPr>
        <w:pStyle w:val="Normalbullet"/>
      </w:pPr>
      <w:r w:rsidRPr="00FF441E">
        <w:t>prohibits discrimination based on age, carer’s responsibilities, disability, marital or domestic status and sex, but does</w:t>
      </w:r>
      <w:r>
        <w:t xml:space="preserve"> </w:t>
      </w:r>
      <w:r w:rsidRPr="00FF441E">
        <w:t>n</w:t>
      </w:r>
      <w:r>
        <w:t>o</w:t>
      </w:r>
      <w:r w:rsidRPr="00FF441E">
        <w:t>t protect against vilification on these grounds</w:t>
      </w:r>
      <w:r>
        <w:t>, and</w:t>
      </w:r>
    </w:p>
    <w:p w14:paraId="18E16236" w14:textId="77777777" w:rsidR="00FE5562" w:rsidRDefault="00FE5562" w:rsidP="00FE5562">
      <w:pPr>
        <w:pStyle w:val="Normalbullet"/>
      </w:pPr>
      <w:r>
        <w:t xml:space="preserve">specifically </w:t>
      </w:r>
      <w:r w:rsidRPr="00FF441E">
        <w:t xml:space="preserve">prohibits </w:t>
      </w:r>
      <w:r>
        <w:t>vilification</w:t>
      </w:r>
      <w:r w:rsidRPr="00FF441E">
        <w:t xml:space="preserve"> based on </w:t>
      </w:r>
      <w:r>
        <w:t>a person being, or thought to be, “</w:t>
      </w:r>
      <w:r w:rsidRPr="00FF441E">
        <w:t xml:space="preserve">HIV/AIDS </w:t>
      </w:r>
      <w:r>
        <w:t>infected”,</w:t>
      </w:r>
      <w:r>
        <w:rPr>
          <w:rStyle w:val="FootnoteReference"/>
        </w:rPr>
        <w:footnoteReference w:id="830"/>
      </w:r>
      <w:r>
        <w:t xml:space="preserve"> but </w:t>
      </w:r>
      <w:r w:rsidRPr="006A1FA9">
        <w:t>HIV/AIDS</w:t>
      </w:r>
      <w:r>
        <w:t xml:space="preserve"> status is not a distinct protected attribute for the purposes of discrimination law. Instead, discrimination </w:t>
      </w:r>
      <w:proofErr w:type="gramStart"/>
      <w:r>
        <w:t>on the basis of</w:t>
      </w:r>
      <w:proofErr w:type="gramEnd"/>
      <w:r>
        <w:t xml:space="preserve"> </w:t>
      </w:r>
      <w:r w:rsidRPr="006A1FA9">
        <w:t>HIV/AIDS</w:t>
      </w:r>
      <w:r>
        <w:t xml:space="preserve"> status may constitute a form of disability discrimination (we discuss this more in chapter 4).</w:t>
      </w:r>
    </w:p>
    <w:p w14:paraId="198160D3" w14:textId="77777777" w:rsidR="00FE5562" w:rsidRDefault="00FE5562" w:rsidP="00FE5562">
      <w:pPr>
        <w:pStyle w:val="NormalAutoChapter"/>
        <w:tabs>
          <w:tab w:val="num" w:pos="2705"/>
        </w:tabs>
      </w:pPr>
      <w:r>
        <w:lastRenderedPageBreak/>
        <w:t>It could be argued that the groups at risk of experiencing discrimination are likely also to be at risk of experiencing vilification. However, there may be differences in principle between discrimination and vilification that justify different coverage.</w:t>
      </w:r>
    </w:p>
    <w:p w14:paraId="136C42C4" w14:textId="77777777" w:rsidR="00FE5562" w:rsidRDefault="00FE5562" w:rsidP="00FE5562">
      <w:pPr>
        <w:pStyle w:val="NormalAutoChapter"/>
        <w:tabs>
          <w:tab w:val="num" w:pos="2705"/>
        </w:tabs>
      </w:pPr>
      <w:r>
        <w:t xml:space="preserve">In 1999, the NSWLRC did not accept that all groups protected against discrimination should also be protected against vilification. Instead, it considered the merits and problems of extending vilification protections to each specific group, and applied the principles set out above. </w:t>
      </w:r>
    </w:p>
    <w:p w14:paraId="3B4A10F3" w14:textId="77777777" w:rsidR="00FE5562" w:rsidRDefault="00FE5562" w:rsidP="00FE5562">
      <w:pPr>
        <w:pStyle w:val="NormalAutoChapter"/>
        <w:tabs>
          <w:tab w:val="num" w:pos="2705"/>
        </w:tabs>
        <w:rPr>
          <w:color w:val="000000" w:themeColor="text1"/>
        </w:rPr>
      </w:pPr>
      <w:r w:rsidRPr="005A29C5">
        <w:rPr>
          <w:color w:val="000000" w:themeColor="text1"/>
        </w:rPr>
        <w:t>Views may differ about whether this approach is still appropriate today. For instance, in its 2015 report, the ACT Law Reform Advisory Council recommended that vilification laws should cover all attributes protected by discrimination laws.</w:t>
      </w:r>
      <w:r w:rsidRPr="005A29C5">
        <w:rPr>
          <w:rStyle w:val="FootnoteReference"/>
          <w:color w:val="000000" w:themeColor="text1"/>
        </w:rPr>
        <w:footnoteReference w:id="831"/>
      </w:r>
      <w:r w:rsidRPr="005A29C5">
        <w:rPr>
          <w:color w:val="000000" w:themeColor="text1"/>
        </w:rPr>
        <w:t xml:space="preserve"> </w:t>
      </w:r>
      <w:r>
        <w:rPr>
          <w:color w:val="000000" w:themeColor="text1"/>
        </w:rPr>
        <w:t>T</w:t>
      </w:r>
      <w:r w:rsidRPr="005A29C5">
        <w:rPr>
          <w:color w:val="000000" w:themeColor="text1"/>
        </w:rPr>
        <w:t xml:space="preserve">his was not adopted, and the </w:t>
      </w:r>
      <w:r>
        <w:rPr>
          <w:color w:val="000000" w:themeColor="text1"/>
        </w:rPr>
        <w:t>Australian Capital Territory (</w:t>
      </w:r>
      <w:r w:rsidRPr="005A29C5">
        <w:rPr>
          <w:color w:val="000000" w:themeColor="text1"/>
        </w:rPr>
        <w:t>ACT</w:t>
      </w:r>
      <w:r>
        <w:rPr>
          <w:color w:val="000000" w:themeColor="text1"/>
        </w:rPr>
        <w:t>)</w:t>
      </w:r>
      <w:r w:rsidRPr="005A29C5">
        <w:rPr>
          <w:color w:val="000000" w:themeColor="text1"/>
        </w:rPr>
        <w:t xml:space="preserve"> discrimination protections continue to cover many more attributes</w:t>
      </w:r>
      <w:r>
        <w:rPr>
          <w:color w:val="000000" w:themeColor="text1"/>
        </w:rPr>
        <w:t xml:space="preserve"> than</w:t>
      </w:r>
      <w:r w:rsidRPr="005A29C5">
        <w:rPr>
          <w:color w:val="000000" w:themeColor="text1"/>
        </w:rPr>
        <w:t xml:space="preserve"> its civil vilification protections.</w:t>
      </w:r>
      <w:r w:rsidRPr="005A29C5">
        <w:rPr>
          <w:rStyle w:val="FootnoteReference"/>
          <w:color w:val="000000" w:themeColor="text1"/>
        </w:rPr>
        <w:footnoteReference w:id="832"/>
      </w:r>
    </w:p>
    <w:p w14:paraId="23791983" w14:textId="77777777" w:rsidR="00FE5562" w:rsidRPr="005A29C5" w:rsidRDefault="00FE5562" w:rsidP="00FE5562">
      <w:pPr>
        <w:pStyle w:val="NormalAutoChapter"/>
        <w:tabs>
          <w:tab w:val="num" w:pos="2705"/>
        </w:tabs>
        <w:rPr>
          <w:color w:val="000000" w:themeColor="text1"/>
        </w:rPr>
      </w:pPr>
      <w:r>
        <w:rPr>
          <w:color w:val="000000" w:themeColor="text1"/>
        </w:rPr>
        <w:t xml:space="preserve">As we discuss in </w:t>
      </w:r>
      <w:r w:rsidRPr="00AD475C">
        <w:rPr>
          <w:color w:val="000000" w:themeColor="text1"/>
        </w:rPr>
        <w:t xml:space="preserve">chapter </w:t>
      </w:r>
      <w:r w:rsidRPr="007047A5">
        <w:rPr>
          <w:color w:val="000000" w:themeColor="text1"/>
        </w:rPr>
        <w:t>9</w:t>
      </w:r>
      <w:r>
        <w:rPr>
          <w:color w:val="000000" w:themeColor="text1"/>
        </w:rPr>
        <w:t xml:space="preserve">, the ADA’s specific protections against harassment only cover sexual harassment and not harassment based on protected attributes. </w:t>
      </w:r>
    </w:p>
    <w:p w14:paraId="77D48B41" w14:textId="77777777" w:rsidR="00FE5562" w:rsidRDefault="00FE5562" w:rsidP="00FE5562">
      <w:pPr>
        <w:pStyle w:val="Heading3"/>
      </w:pPr>
      <w:r>
        <w:t>Consistency between the civil and criminal law</w:t>
      </w:r>
    </w:p>
    <w:p w14:paraId="2FEF468F" w14:textId="37C2FFA3" w:rsidR="00FE5562" w:rsidRDefault="00FE5562" w:rsidP="00FE5562">
      <w:pPr>
        <w:pStyle w:val="NormalAutoChapter"/>
        <w:tabs>
          <w:tab w:val="num" w:pos="2705"/>
        </w:tabs>
      </w:pPr>
      <w:r>
        <w:t xml:space="preserve">Another question is whether s 93Z of the </w:t>
      </w:r>
      <w:r w:rsidRPr="007047A5">
        <w:rPr>
          <w:i/>
          <w:iCs/>
        </w:rPr>
        <w:t>Crimes Act</w:t>
      </w:r>
      <w:r>
        <w:t xml:space="preserve"> and the ADA’s civil vilification protections should cover the same protected attributes.</w:t>
      </w:r>
      <w:r w:rsidR="000E13BB">
        <w:t xml:space="preserve"> Th</w:t>
      </w:r>
      <w:r>
        <w:t>ere is a view that some of the expressions and definitions used in s 93Z are more modern and should be adopted in the ADA.</w:t>
      </w:r>
    </w:p>
    <w:p w14:paraId="09729EDD" w14:textId="2FC061F0" w:rsidR="00FE5562" w:rsidRDefault="00365316" w:rsidP="00FE5562">
      <w:pPr>
        <w:pStyle w:val="NormalAutoChapter"/>
        <w:tabs>
          <w:tab w:val="num" w:pos="2705"/>
        </w:tabs>
      </w:pPr>
      <w:r>
        <w:t>As noted above, currently</w:t>
      </w:r>
      <w:r w:rsidR="00FE5562">
        <w:t xml:space="preserve"> s 93Z goes beyond the ADA by covering vilification based on “intersex status”</w:t>
      </w:r>
      <w:r w:rsidR="00AE25B5">
        <w:t xml:space="preserve"> and “sexual orientation” (as opposed to “homosexuality”)</w:t>
      </w:r>
      <w:r w:rsidR="00FE5562">
        <w:t xml:space="preserve">. </w:t>
      </w:r>
    </w:p>
    <w:p w14:paraId="0D453FA2" w14:textId="77777777" w:rsidR="00FE5562" w:rsidRDefault="00FE5562" w:rsidP="00FE5562">
      <w:pPr>
        <w:pStyle w:val="Heading3"/>
      </w:pPr>
      <w:r>
        <w:t xml:space="preserve">Identifying gaps based on the coverage of other civil vilification laws </w:t>
      </w:r>
    </w:p>
    <w:p w14:paraId="34A6D7EF" w14:textId="77777777" w:rsidR="00FE5562" w:rsidRDefault="00FE5562" w:rsidP="00FE5562">
      <w:pPr>
        <w:pStyle w:val="NormalAutoChapter"/>
        <w:tabs>
          <w:tab w:val="num" w:pos="2705"/>
        </w:tabs>
      </w:pPr>
      <w:r>
        <w:t>Some o</w:t>
      </w:r>
      <w:r w:rsidRPr="00FB4843">
        <w:t xml:space="preserve">ther states and territories </w:t>
      </w:r>
      <w:r>
        <w:t>prohibit vilification based on a wider range of attributes than the ADA. These include:</w:t>
      </w:r>
    </w:p>
    <w:p w14:paraId="7FB6BA7F" w14:textId="77777777" w:rsidR="00FE5562" w:rsidRDefault="00FE5562" w:rsidP="00FE5562">
      <w:pPr>
        <w:pStyle w:val="Normalbullet"/>
      </w:pPr>
      <w:r>
        <w:t>disability</w:t>
      </w:r>
      <w:r>
        <w:rPr>
          <w:rStyle w:val="FootnoteReference"/>
        </w:rPr>
        <w:footnoteReference w:id="833"/>
      </w:r>
      <w:r>
        <w:t xml:space="preserve"> </w:t>
      </w:r>
    </w:p>
    <w:p w14:paraId="201D8FB4" w14:textId="77777777" w:rsidR="00FE5562" w:rsidRDefault="00FE5562" w:rsidP="00FE5562">
      <w:pPr>
        <w:pStyle w:val="Normalbullet"/>
      </w:pPr>
      <w:r>
        <w:t>gender identity</w:t>
      </w:r>
      <w:r>
        <w:rPr>
          <w:rStyle w:val="FootnoteReference"/>
        </w:rPr>
        <w:footnoteReference w:id="834"/>
      </w:r>
    </w:p>
    <w:p w14:paraId="291E9FB8" w14:textId="77777777" w:rsidR="00FE5562" w:rsidRDefault="00FE5562" w:rsidP="00FE5562">
      <w:pPr>
        <w:pStyle w:val="Normalbullet"/>
      </w:pPr>
      <w:r>
        <w:t>age</w:t>
      </w:r>
      <w:r>
        <w:rPr>
          <w:rStyle w:val="FootnoteReference"/>
        </w:rPr>
        <w:footnoteReference w:id="835"/>
      </w:r>
      <w:r>
        <w:t xml:space="preserve"> </w:t>
      </w:r>
    </w:p>
    <w:p w14:paraId="16E21995" w14:textId="77777777" w:rsidR="00FE5562" w:rsidRDefault="00FE5562" w:rsidP="00FE5562">
      <w:pPr>
        <w:pStyle w:val="Normalbullet"/>
      </w:pPr>
      <w:r>
        <w:lastRenderedPageBreak/>
        <w:t>relationship, accommodation, or employment status,</w:t>
      </w:r>
      <w:r>
        <w:rPr>
          <w:rStyle w:val="FootnoteReference"/>
        </w:rPr>
        <w:footnoteReference w:id="836"/>
      </w:r>
      <w:r>
        <w:t xml:space="preserve"> and</w:t>
      </w:r>
    </w:p>
    <w:p w14:paraId="7AFC2465" w14:textId="77777777" w:rsidR="00FE5562" w:rsidRDefault="00FE5562" w:rsidP="00FE5562">
      <w:pPr>
        <w:pStyle w:val="Normalbullet"/>
      </w:pPr>
      <w:r>
        <w:t>association with a person who has, or is believed to have, a protected attribute.</w:t>
      </w:r>
      <w:r>
        <w:rPr>
          <w:rStyle w:val="FootnoteReference"/>
        </w:rPr>
        <w:footnoteReference w:id="837"/>
      </w:r>
    </w:p>
    <w:p w14:paraId="360D2A88" w14:textId="1289086F" w:rsidR="00FE5562" w:rsidRDefault="00FE5562" w:rsidP="00FE5562">
      <w:pPr>
        <w:pStyle w:val="NormalAutoChapter"/>
        <w:tabs>
          <w:tab w:val="num" w:pos="2705"/>
        </w:tabs>
      </w:pPr>
      <w:r>
        <w:t>The Northern Territory (NT) discrimination law protects the widest range of attributes against vilification. However, the NT Government recently signalled its intention to repeal these vilification protections.</w:t>
      </w:r>
      <w:r>
        <w:rPr>
          <w:rStyle w:val="FootnoteReference"/>
        </w:rPr>
        <w:footnoteReference w:id="838"/>
      </w:r>
      <w:r>
        <w:t xml:space="preserve"> </w:t>
      </w:r>
    </w:p>
    <w:p w14:paraId="3225765A" w14:textId="77777777" w:rsidR="00FE5562" w:rsidRDefault="00FE5562" w:rsidP="00FE5562">
      <w:pPr>
        <w:pStyle w:val="NormalAutoChapter"/>
        <w:tabs>
          <w:tab w:val="num" w:pos="2705"/>
        </w:tabs>
      </w:pPr>
      <w:r>
        <w:t>Recent reviews in other states have recommended extending their own protections to cover more attributes, including attributes not currently covered in NSW.</w:t>
      </w:r>
      <w:r>
        <w:rPr>
          <w:rStyle w:val="FootnoteReference"/>
        </w:rPr>
        <w:footnoteReference w:id="839"/>
      </w:r>
    </w:p>
    <w:p w14:paraId="623A3774" w14:textId="528D8E17" w:rsidR="00FE5562" w:rsidRDefault="00FE5562" w:rsidP="00FE5562">
      <w:pPr>
        <w:pStyle w:val="NormalAutoChapter"/>
        <w:tabs>
          <w:tab w:val="num" w:pos="2705"/>
        </w:tabs>
      </w:pPr>
      <w:r>
        <w:t xml:space="preserve">Some states have introduced or proposed new laws to expand the list of protected attributes in vilification laws. </w:t>
      </w:r>
      <w:r w:rsidR="00957034">
        <w:t>Most recently, t</w:t>
      </w:r>
      <w:r>
        <w:t xml:space="preserve">he Victorian Parliament passed amendments to its vilification law to protect the attributes of disability, gender identity, sex, sex characteristics, sexual orientation, </w:t>
      </w:r>
      <w:r w:rsidR="0066679A">
        <w:t>in addition to the existing protected attributes of race and religious belief</w:t>
      </w:r>
      <w:r>
        <w:t>.</w:t>
      </w:r>
      <w:r>
        <w:rPr>
          <w:rStyle w:val="FootnoteReference"/>
        </w:rPr>
        <w:footnoteReference w:id="840"/>
      </w:r>
      <w:r>
        <w:t xml:space="preserve"> </w:t>
      </w:r>
    </w:p>
    <w:p w14:paraId="6E6E5865" w14:textId="77777777" w:rsidR="00FE5562" w:rsidRDefault="00FE5562" w:rsidP="00FE5562">
      <w:pPr>
        <w:pStyle w:val="NormalAutoChapter"/>
        <w:tabs>
          <w:tab w:val="num" w:pos="2705"/>
        </w:tabs>
        <w:rPr>
          <w:lang w:val="en-GB"/>
        </w:rPr>
      </w:pPr>
      <w:r>
        <w:rPr>
          <w:lang w:val="en-GB"/>
        </w:rPr>
        <w:t>The Victorian amendments also provide that it is irrelevant that the person engaging in the conduct was incorrect about:</w:t>
      </w:r>
    </w:p>
    <w:p w14:paraId="1A42132E" w14:textId="77777777" w:rsidR="00FE5562" w:rsidRDefault="00FE5562" w:rsidP="00FE5562">
      <w:pPr>
        <w:pStyle w:val="Normalbullet"/>
        <w:rPr>
          <w:lang w:val="en-GB"/>
        </w:rPr>
      </w:pPr>
      <w:r>
        <w:rPr>
          <w:lang w:val="en-GB"/>
        </w:rPr>
        <w:t xml:space="preserve">a protected attribute of the other person or group, or </w:t>
      </w:r>
    </w:p>
    <w:p w14:paraId="73E6822E" w14:textId="77777777" w:rsidR="00FE5562" w:rsidRDefault="00FE5562" w:rsidP="00FE5562">
      <w:pPr>
        <w:pStyle w:val="Normalbullet"/>
        <w:rPr>
          <w:lang w:val="en-GB"/>
        </w:rPr>
      </w:pPr>
      <w:r>
        <w:rPr>
          <w:lang w:val="en-GB"/>
        </w:rPr>
        <w:t>whether the other person or group had a particular protected attribute.</w:t>
      </w:r>
      <w:r>
        <w:rPr>
          <w:rStyle w:val="FootnoteReference"/>
          <w:lang w:val="en-GB"/>
        </w:rPr>
        <w:footnoteReference w:id="841"/>
      </w:r>
      <w:r>
        <w:rPr>
          <w:lang w:val="en-GB"/>
        </w:rPr>
        <w:t xml:space="preserve"> </w:t>
      </w:r>
    </w:p>
    <w:p w14:paraId="6D1D20EF" w14:textId="581A81D2" w:rsidR="00FE5562" w:rsidRDefault="00FE5562" w:rsidP="00FE5562">
      <w:pPr>
        <w:pStyle w:val="NormalAutoChapter"/>
        <w:tabs>
          <w:tab w:val="num" w:pos="2705"/>
        </w:tabs>
      </w:pPr>
      <w:r>
        <w:t xml:space="preserve">The </w:t>
      </w:r>
      <w:r w:rsidRPr="008F14D2">
        <w:rPr>
          <w:color w:val="auto"/>
        </w:rPr>
        <w:t>Queensland Parliament passed similar amendments in 2024.</w:t>
      </w:r>
      <w:r w:rsidRPr="008F14D2">
        <w:rPr>
          <w:rStyle w:val="FootnoteReference"/>
          <w:color w:val="auto"/>
        </w:rPr>
        <w:footnoteReference w:id="842"/>
      </w:r>
      <w:r w:rsidRPr="008F14D2">
        <w:rPr>
          <w:color w:val="auto"/>
        </w:rPr>
        <w:t xml:space="preserve"> Along with other reforms, these amendments were due to commence on 1 July 2025. However, the </w:t>
      </w:r>
      <w:r w:rsidRPr="008F14D2">
        <w:rPr>
          <w:color w:val="auto"/>
        </w:rPr>
        <w:lastRenderedPageBreak/>
        <w:t xml:space="preserve">current Queensland Government </w:t>
      </w:r>
      <w:r w:rsidR="00FF580C">
        <w:rPr>
          <w:color w:val="auto"/>
        </w:rPr>
        <w:t xml:space="preserve">decided </w:t>
      </w:r>
      <w:r w:rsidRPr="008F14D2">
        <w:rPr>
          <w:color w:val="auto"/>
        </w:rPr>
        <w:t>to postpone the commencement of the reform package.</w:t>
      </w:r>
      <w:r w:rsidRPr="008F14D2">
        <w:rPr>
          <w:rStyle w:val="FootnoteReference"/>
          <w:color w:val="auto"/>
        </w:rPr>
        <w:footnoteReference w:id="843"/>
      </w:r>
      <w:r w:rsidRPr="008F14D2">
        <w:rPr>
          <w:color w:val="auto"/>
        </w:rPr>
        <w:t xml:space="preserve"> </w:t>
      </w:r>
    </w:p>
    <w:p w14:paraId="11856557" w14:textId="33D2263D" w:rsidR="00FE5562" w:rsidRPr="009E721A" w:rsidRDefault="00FE5562" w:rsidP="00FE5562">
      <w:pPr>
        <w:pStyle w:val="NormalAutoChapter"/>
        <w:tabs>
          <w:tab w:val="num" w:pos="2705"/>
        </w:tabs>
      </w:pPr>
      <w:r w:rsidRPr="009E721A">
        <w:rPr>
          <w:color w:val="auto"/>
        </w:rPr>
        <w:t xml:space="preserve">A further issue is whether the ADA should protect against vilification based on having an association, </w:t>
      </w:r>
      <w:r>
        <w:rPr>
          <w:color w:val="auto"/>
        </w:rPr>
        <w:t xml:space="preserve">real </w:t>
      </w:r>
      <w:r w:rsidRPr="009E721A">
        <w:rPr>
          <w:color w:val="auto"/>
        </w:rPr>
        <w:t>or</w:t>
      </w:r>
      <w:r>
        <w:rPr>
          <w:color w:val="auto"/>
        </w:rPr>
        <w:t xml:space="preserve"> </w:t>
      </w:r>
      <w:r w:rsidRPr="009E721A">
        <w:rPr>
          <w:color w:val="auto"/>
        </w:rPr>
        <w:t xml:space="preserve">perceived, with a targeted group. This might be a way of protecting people who are friends, parents, </w:t>
      </w:r>
      <w:r w:rsidR="0067709B">
        <w:rPr>
          <w:color w:val="auto"/>
        </w:rPr>
        <w:t xml:space="preserve">or </w:t>
      </w:r>
      <w:r w:rsidRPr="009E721A">
        <w:rPr>
          <w:color w:val="auto"/>
        </w:rPr>
        <w:t>relatives of someone with protected attributes.</w:t>
      </w:r>
    </w:p>
    <w:p w14:paraId="458D7F77" w14:textId="0BF32CF5" w:rsidR="00FE5562" w:rsidRDefault="00FE5562" w:rsidP="00FE5562">
      <w:pPr>
        <w:pStyle w:val="NormalAutoChapter"/>
        <w:tabs>
          <w:tab w:val="num" w:pos="2705"/>
        </w:tabs>
      </w:pPr>
      <w:r>
        <w:rPr>
          <w:color w:val="auto"/>
        </w:rPr>
        <w:t>T</w:t>
      </w:r>
      <w:r w:rsidRPr="00C61F13">
        <w:rPr>
          <w:color w:val="auto"/>
        </w:rPr>
        <w:t xml:space="preserve">his is </w:t>
      </w:r>
      <w:r>
        <w:rPr>
          <w:color w:val="auto"/>
        </w:rPr>
        <w:t xml:space="preserve">currently part of the </w:t>
      </w:r>
      <w:r w:rsidRPr="00C61F13">
        <w:rPr>
          <w:color w:val="auto"/>
        </w:rPr>
        <w:t>NT</w:t>
      </w:r>
      <w:r>
        <w:rPr>
          <w:color w:val="auto"/>
        </w:rPr>
        <w:t xml:space="preserve"> law</w:t>
      </w:r>
      <w:r w:rsidRPr="00C61F13">
        <w:rPr>
          <w:color w:val="auto"/>
        </w:rPr>
        <w:t>.</w:t>
      </w:r>
      <w:r>
        <w:rPr>
          <w:rStyle w:val="FootnoteReference"/>
        </w:rPr>
        <w:footnoteReference w:id="844"/>
      </w:r>
      <w:r w:rsidRPr="00C61F13">
        <w:rPr>
          <w:color w:val="auto"/>
        </w:rPr>
        <w:t xml:space="preserve"> </w:t>
      </w:r>
      <w:r>
        <w:rPr>
          <w:color w:val="auto"/>
        </w:rPr>
        <w:t>Victoria has passed amendments to include this in its list of protected attributes.</w:t>
      </w:r>
      <w:r>
        <w:rPr>
          <w:rStyle w:val="FootnoteReference"/>
        </w:rPr>
        <w:footnoteReference w:id="845"/>
      </w:r>
      <w:r>
        <w:t xml:space="preserve"> </w:t>
      </w:r>
    </w:p>
    <w:p w14:paraId="605FCF4C" w14:textId="77777777" w:rsidR="00FE5562" w:rsidRDefault="00FE5562" w:rsidP="00FE5562">
      <w:pPr>
        <w:pStyle w:val="NormalAutoChapter"/>
        <w:tabs>
          <w:tab w:val="num" w:pos="2705"/>
        </w:tabs>
        <w:rPr>
          <w:color w:val="auto"/>
        </w:rPr>
      </w:pPr>
      <w:r w:rsidRPr="00C3023F">
        <w:rPr>
          <w:color w:val="auto"/>
        </w:rPr>
        <w:t xml:space="preserve">Another issue is whether NSW </w:t>
      </w:r>
      <w:r>
        <w:rPr>
          <w:color w:val="auto"/>
        </w:rPr>
        <w:t>should</w:t>
      </w:r>
      <w:r w:rsidRPr="00C3023F">
        <w:rPr>
          <w:color w:val="auto"/>
        </w:rPr>
        <w:t xml:space="preserve"> prohibit vilification based on more than one attribute. </w:t>
      </w:r>
      <w:r>
        <w:rPr>
          <w:color w:val="auto"/>
        </w:rPr>
        <w:t>The Victorian amendments will, upon commencement, provide that it does not matter if the conduct is claimed to have been in respect of one or more protected attributes.</w:t>
      </w:r>
      <w:r w:rsidRPr="006256A3">
        <w:rPr>
          <w:rStyle w:val="FootnoteReference"/>
          <w:color w:val="000000" w:themeColor="text1"/>
        </w:rPr>
        <w:footnoteReference w:id="846"/>
      </w:r>
      <w:r>
        <w:rPr>
          <w:color w:val="auto"/>
        </w:rPr>
        <w:t xml:space="preserve"> </w:t>
      </w:r>
    </w:p>
    <w:p w14:paraId="56A072FF" w14:textId="77777777" w:rsidR="00FE5562" w:rsidRDefault="00FE5562" w:rsidP="00FE5562">
      <w:pPr>
        <w:pStyle w:val="NormalAutoChapter"/>
        <w:tabs>
          <w:tab w:val="num" w:pos="2705"/>
        </w:tabs>
        <w:rPr>
          <w:color w:val="auto"/>
        </w:rPr>
      </w:pPr>
      <w:r>
        <w:rPr>
          <w:color w:val="auto"/>
        </w:rPr>
        <w:t xml:space="preserve">After recent amendments, the federal vilification offences </w:t>
      </w:r>
      <w:proofErr w:type="gramStart"/>
      <w:r>
        <w:rPr>
          <w:color w:val="auto"/>
        </w:rPr>
        <w:t>can</w:t>
      </w:r>
      <w:proofErr w:type="gramEnd"/>
      <w:r>
        <w:rPr>
          <w:color w:val="auto"/>
        </w:rPr>
        <w:t xml:space="preserve"> apply if the accused person had in mind a combination of protected attributes when targeting an individual or group.</w:t>
      </w:r>
      <w:r>
        <w:rPr>
          <w:rStyle w:val="FootnoteReference"/>
          <w:color w:val="auto"/>
        </w:rPr>
        <w:footnoteReference w:id="847"/>
      </w:r>
      <w:r>
        <w:rPr>
          <w:color w:val="auto"/>
        </w:rPr>
        <w:t xml:space="preserve">  </w:t>
      </w:r>
    </w:p>
    <w:p w14:paraId="6468790D" w14:textId="77777777" w:rsidR="00FE5562" w:rsidRDefault="00FE5562" w:rsidP="00FE5562">
      <w:pPr>
        <w:pStyle w:val="NormalAutoChapter"/>
        <w:tabs>
          <w:tab w:val="num" w:pos="2705"/>
        </w:tabs>
        <w:rPr>
          <w:color w:val="auto"/>
        </w:rPr>
      </w:pPr>
      <w:r>
        <w:rPr>
          <w:color w:val="auto"/>
        </w:rPr>
        <w:t>Prohibiting vilification that occurs because of more than one attribute</w:t>
      </w:r>
      <w:r w:rsidRPr="00C3023F">
        <w:rPr>
          <w:color w:val="auto"/>
        </w:rPr>
        <w:t xml:space="preserve"> might recognise that people with multiple protected attributes can experience vilification in unique</w:t>
      </w:r>
      <w:r>
        <w:rPr>
          <w:color w:val="auto"/>
        </w:rPr>
        <w:t xml:space="preserve"> and intersectional</w:t>
      </w:r>
      <w:r w:rsidRPr="00C3023F">
        <w:rPr>
          <w:color w:val="auto"/>
        </w:rPr>
        <w:t xml:space="preserve"> ways. </w:t>
      </w:r>
      <w:r>
        <w:rPr>
          <w:color w:val="auto"/>
        </w:rPr>
        <w:t xml:space="preserve">It could also simplify the law, as it is sometimes hard to work out </w:t>
      </w:r>
      <w:r w:rsidRPr="00C3023F">
        <w:rPr>
          <w:color w:val="auto"/>
        </w:rPr>
        <w:t xml:space="preserve">which </w:t>
      </w:r>
      <w:r>
        <w:rPr>
          <w:color w:val="auto"/>
        </w:rPr>
        <w:t xml:space="preserve">attribute a vilifying act was </w:t>
      </w:r>
      <w:r w:rsidRPr="00C3023F">
        <w:rPr>
          <w:color w:val="auto"/>
        </w:rPr>
        <w:t>based on.</w:t>
      </w:r>
      <w:r w:rsidRPr="00C3023F">
        <w:rPr>
          <w:rStyle w:val="FootnoteReference"/>
          <w:color w:val="auto"/>
        </w:rPr>
        <w:footnoteReference w:id="848"/>
      </w:r>
    </w:p>
    <w:p w14:paraId="16F8CE74" w14:textId="77777777" w:rsidR="00FE5562" w:rsidRPr="00220EA7" w:rsidRDefault="00FE5562" w:rsidP="00FE5562">
      <w:pPr>
        <w:pStyle w:val="Recommendationheading"/>
        <w:rPr>
          <w:color w:val="auto"/>
        </w:rPr>
      </w:pPr>
      <w:r w:rsidRPr="00220EA7">
        <w:rPr>
          <w:color w:val="auto"/>
        </w:rPr>
        <w:t xml:space="preserve">Question </w:t>
      </w:r>
      <w:r>
        <w:rPr>
          <w:color w:val="auto"/>
        </w:rPr>
        <w:t>8</w:t>
      </w:r>
      <w:r w:rsidRPr="00220EA7">
        <w:rPr>
          <w:color w:val="auto"/>
        </w:rPr>
        <w:t>.</w:t>
      </w:r>
      <w:r>
        <w:rPr>
          <w:color w:val="auto"/>
        </w:rPr>
        <w:t>1</w:t>
      </w:r>
      <w:r w:rsidRPr="00220EA7">
        <w:rPr>
          <w:color w:val="auto"/>
        </w:rPr>
        <w:t xml:space="preserve">: </w:t>
      </w:r>
      <w:r>
        <w:rPr>
          <w:color w:val="auto"/>
        </w:rPr>
        <w:t xml:space="preserve">Protected attributes </w:t>
      </w:r>
      <w:r w:rsidRPr="00220EA7">
        <w:rPr>
          <w:color w:val="auto"/>
        </w:rPr>
        <w:t xml:space="preserve"> </w:t>
      </w:r>
    </w:p>
    <w:p w14:paraId="6214ECBD" w14:textId="106FA0C1" w:rsidR="00FE5562" w:rsidRDefault="00FE5562" w:rsidP="00FE5562">
      <w:pPr>
        <w:pStyle w:val="Recommendationhanging1"/>
      </w:pPr>
      <w:r w:rsidRPr="00220EA7">
        <w:t xml:space="preserve">(1) </w:t>
      </w:r>
      <w:r w:rsidRPr="00220EA7">
        <w:tab/>
      </w:r>
      <w:r>
        <w:t>What</w:t>
      </w:r>
      <w:r w:rsidR="00F55080">
        <w:t xml:space="preserve"> changes, if any,</w:t>
      </w:r>
      <w:r>
        <w:t xml:space="preserve"> should be made to the way the ADA expresses and defines the attributes currently protected against vilification?</w:t>
      </w:r>
    </w:p>
    <w:p w14:paraId="57CAFC21" w14:textId="77777777" w:rsidR="00FE5562" w:rsidRDefault="00FE5562" w:rsidP="00FE5562">
      <w:pPr>
        <w:pStyle w:val="Recommendationhanging1"/>
      </w:pPr>
      <w:r>
        <w:t>(2)</w:t>
      </w:r>
      <w:r>
        <w:tab/>
      </w:r>
      <w:r w:rsidRPr="00220EA7">
        <w:t xml:space="preserve">Should the </w:t>
      </w:r>
      <w:r w:rsidRPr="00925DA8">
        <w:t xml:space="preserve">ADA </w:t>
      </w:r>
      <w:r>
        <w:t xml:space="preserve">protect against vilification based on a </w:t>
      </w:r>
      <w:r w:rsidRPr="00220EA7">
        <w:t>wider range of attributes? If s</w:t>
      </w:r>
      <w:r>
        <w:t>o,</w:t>
      </w:r>
      <w:r w:rsidRPr="00220EA7">
        <w:t xml:space="preserve"> which attributes should be covered and </w:t>
      </w:r>
      <w:r w:rsidRPr="00D644B0">
        <w:t>how should these be defined?</w:t>
      </w:r>
    </w:p>
    <w:p w14:paraId="2137664A" w14:textId="77777777" w:rsidR="00FE5562" w:rsidRDefault="00FE5562" w:rsidP="00FE5562">
      <w:pPr>
        <w:pStyle w:val="Heading1"/>
      </w:pPr>
      <w:bookmarkStart w:id="364" w:name="_Toc196746769"/>
      <w:bookmarkStart w:id="365" w:name="_Toc196826923"/>
      <w:r>
        <w:lastRenderedPageBreak/>
        <w:t>The test for vilification</w:t>
      </w:r>
      <w:bookmarkEnd w:id="364"/>
      <w:bookmarkEnd w:id="365"/>
      <w:r>
        <w:t xml:space="preserve">  </w:t>
      </w:r>
    </w:p>
    <w:p w14:paraId="655BF8BA" w14:textId="77777777" w:rsidR="00FE5562" w:rsidRPr="00DF6B6D" w:rsidRDefault="00FE5562" w:rsidP="00FE5562">
      <w:pPr>
        <w:pStyle w:val="NormalAutoChapter"/>
        <w:tabs>
          <w:tab w:val="num" w:pos="2705"/>
        </w:tabs>
        <w:rPr>
          <w:lang w:val="en-GB"/>
        </w:rPr>
      </w:pPr>
      <w:r>
        <w:t xml:space="preserve">Under the ADA, vilification occurs when a person, by public act, incites hatred towards, serious contempt for, or severe ridicule of a person or group because they have a protected attribute. This is an “incitement-based” test. </w:t>
      </w:r>
    </w:p>
    <w:p w14:paraId="1461DB3A" w14:textId="77777777" w:rsidR="00FE5562" w:rsidRDefault="00FE5562" w:rsidP="00FE5562">
      <w:pPr>
        <w:pStyle w:val="NormalAutoChapter"/>
        <w:tabs>
          <w:tab w:val="num" w:pos="2705"/>
        </w:tabs>
      </w:pPr>
      <w:r>
        <w:t xml:space="preserve">There are </w:t>
      </w:r>
      <w:r w:rsidRPr="007022B6">
        <w:t xml:space="preserve">mixed views on incitement-based tests. </w:t>
      </w:r>
      <w:r>
        <w:t xml:space="preserve">In general, some consider them </w:t>
      </w:r>
      <w:r w:rsidRPr="007022B6">
        <w:t>unclear</w:t>
      </w:r>
      <w:r>
        <w:t xml:space="preserve"> and </w:t>
      </w:r>
      <w:r w:rsidRPr="007022B6">
        <w:t>overly restrictive</w:t>
      </w:r>
      <w:r>
        <w:t>. Another criticism is that incitement-based tests</w:t>
      </w:r>
      <w:r w:rsidRPr="007022B6">
        <w:t xml:space="preserve"> ignore the harm experienced by the victim</w:t>
      </w:r>
      <w:r>
        <w:t>.</w:t>
      </w:r>
      <w:r w:rsidRPr="007022B6">
        <w:rPr>
          <w:rStyle w:val="FootnoteReference"/>
        </w:rPr>
        <w:footnoteReference w:id="849"/>
      </w:r>
      <w:r w:rsidRPr="007022B6">
        <w:t xml:space="preserve"> </w:t>
      </w:r>
    </w:p>
    <w:p w14:paraId="092409E1" w14:textId="56BDD0F5" w:rsidR="00FE5562" w:rsidRDefault="002136D4" w:rsidP="00FE5562">
      <w:pPr>
        <w:pStyle w:val="NormalAutoChapter"/>
        <w:tabs>
          <w:tab w:val="num" w:pos="2705"/>
        </w:tabs>
      </w:pPr>
      <w:r>
        <w:t>We heard</w:t>
      </w:r>
      <w:r w:rsidR="00FE5562">
        <w:t xml:space="preserve"> specific concerns about the test in the ADA. Some observe that</w:t>
      </w:r>
      <w:r w:rsidR="00FE5562" w:rsidRPr="007022B6">
        <w:t xml:space="preserve"> the ADA imposes a higher standard than the </w:t>
      </w:r>
      <w:r w:rsidR="00FE5562" w:rsidRPr="007022B6">
        <w:rPr>
          <w:i/>
          <w:iCs/>
        </w:rPr>
        <w:t>Racial Discrimination Ac</w:t>
      </w:r>
      <w:r w:rsidR="00FE5562">
        <w:rPr>
          <w:i/>
          <w:iCs/>
        </w:rPr>
        <w:t>t.</w:t>
      </w:r>
      <w:r w:rsidR="00FE5562" w:rsidRPr="007022B6">
        <w:rPr>
          <w:rStyle w:val="FootnoteReference"/>
        </w:rPr>
        <w:footnoteReference w:id="850"/>
      </w:r>
      <w:r w:rsidR="00FE5562" w:rsidRPr="007022B6">
        <w:t xml:space="preserve"> </w:t>
      </w:r>
      <w:r w:rsidR="00FE5562">
        <w:t>Others consider the ADA’s focus</w:t>
      </w:r>
      <w:r w:rsidR="00FE5562" w:rsidRPr="007022B6">
        <w:t xml:space="preserve"> on a third-party</w:t>
      </w:r>
      <w:r w:rsidR="00FE5562">
        <w:t xml:space="preserve"> audience sets the bar too high</w:t>
      </w:r>
      <w:r w:rsidR="00FE5562" w:rsidRPr="007022B6">
        <w:t>.</w:t>
      </w:r>
      <w:r w:rsidR="00FE5562" w:rsidRPr="007022B6">
        <w:rPr>
          <w:rStyle w:val="FootnoteReference"/>
        </w:rPr>
        <w:footnoteReference w:id="851"/>
      </w:r>
      <w:r w:rsidR="00FE5562" w:rsidRPr="007022B6">
        <w:t xml:space="preserve"> </w:t>
      </w:r>
    </w:p>
    <w:p w14:paraId="469BACFE" w14:textId="77777777" w:rsidR="00FE5562" w:rsidRPr="007022B6" w:rsidRDefault="00FE5562" w:rsidP="00FE5562">
      <w:pPr>
        <w:pStyle w:val="NormalAutoChapter"/>
        <w:tabs>
          <w:tab w:val="num" w:pos="2705"/>
        </w:tabs>
      </w:pPr>
      <w:r w:rsidRPr="007022B6">
        <w:t>On the other hand, we heard concern that a lower threshold would unjustifiably restrict free speech and prevent criticisms of religion.</w:t>
      </w:r>
      <w:r w:rsidRPr="007022B6">
        <w:rPr>
          <w:rStyle w:val="FootnoteReference"/>
        </w:rPr>
        <w:footnoteReference w:id="852"/>
      </w:r>
      <w:r>
        <w:t xml:space="preserve"> </w:t>
      </w:r>
      <w:r w:rsidRPr="007022B6">
        <w:t>In its 1999 report, the NSWLRC did</w:t>
      </w:r>
      <w:r>
        <w:t xml:space="preserve"> </w:t>
      </w:r>
      <w:r w:rsidRPr="007022B6">
        <w:t>n</w:t>
      </w:r>
      <w:r>
        <w:t>o</w:t>
      </w:r>
      <w:r w:rsidRPr="007022B6">
        <w:t>t recommend changes to the incitement-based test.</w:t>
      </w:r>
      <w:r w:rsidRPr="007022B6">
        <w:rPr>
          <w:rStyle w:val="FootnoteReference"/>
        </w:rPr>
        <w:footnoteReference w:id="853"/>
      </w:r>
      <w:r w:rsidRPr="007022B6">
        <w:t xml:space="preserve"> </w:t>
      </w:r>
    </w:p>
    <w:p w14:paraId="5D486536" w14:textId="77777777" w:rsidR="00FE5562" w:rsidRPr="002E00C0" w:rsidRDefault="00FE5562" w:rsidP="00FE5562">
      <w:pPr>
        <w:pStyle w:val="NormalAutoChapter"/>
        <w:tabs>
          <w:tab w:val="num" w:pos="1712"/>
        </w:tabs>
        <w:rPr>
          <w:b/>
          <w:bCs/>
          <w:iCs/>
        </w:rPr>
      </w:pPr>
      <w:r>
        <w:rPr>
          <w:color w:val="000000" w:themeColor="text1"/>
        </w:rPr>
        <w:t>Section 93Z also contains an incitement-based test. W</w:t>
      </w:r>
      <w:r w:rsidRPr="002E00C0">
        <w:rPr>
          <w:color w:val="000000" w:themeColor="text1"/>
        </w:rPr>
        <w:t>e did not recommend changes to th</w:t>
      </w:r>
      <w:r>
        <w:rPr>
          <w:color w:val="000000" w:themeColor="text1"/>
        </w:rPr>
        <w:t>is test</w:t>
      </w:r>
      <w:r w:rsidRPr="002E00C0">
        <w:rPr>
          <w:color w:val="000000" w:themeColor="text1"/>
        </w:rPr>
        <w:t xml:space="preserve"> </w:t>
      </w:r>
      <w:r>
        <w:rPr>
          <w:color w:val="000000" w:themeColor="text1"/>
        </w:rPr>
        <w:t xml:space="preserve">in our review of that section. </w:t>
      </w:r>
      <w:r>
        <w:t>However, we have not reached a view on the test as it operates in the ADA, or on any potential alternatives. If it is felt that the ADA test requires reform, there are a range of options to consider.</w:t>
      </w:r>
    </w:p>
    <w:p w14:paraId="3D5FB9C2" w14:textId="77777777" w:rsidR="00FE5562" w:rsidRPr="00BC31A3" w:rsidRDefault="00FE5562" w:rsidP="00FE5562">
      <w:pPr>
        <w:pStyle w:val="Heading2"/>
        <w:rPr>
          <w:lang w:val="en-GB"/>
        </w:rPr>
      </w:pPr>
      <w:bookmarkStart w:id="366" w:name="_Toc196746770"/>
      <w:bookmarkStart w:id="367" w:name="_Toc196826924"/>
      <w:r>
        <w:t>An overview of the ADA’s incitement-based test</w:t>
      </w:r>
      <w:bookmarkEnd w:id="366"/>
      <w:bookmarkEnd w:id="367"/>
    </w:p>
    <w:p w14:paraId="1C662BF5" w14:textId="152B2C79" w:rsidR="00FE5562" w:rsidRPr="00EA7A4D" w:rsidRDefault="00FE5562" w:rsidP="00FE5562">
      <w:pPr>
        <w:pStyle w:val="NormalAutoChapter"/>
        <w:tabs>
          <w:tab w:val="num" w:pos="2705"/>
        </w:tabs>
        <w:rPr>
          <w:lang w:val="en-GB"/>
        </w:rPr>
      </w:pPr>
      <w:r>
        <w:t>The ADA’s test focuses on whether the public act incites, or is capable of inciting, particular emotions or responses in others</w:t>
      </w:r>
      <w:r w:rsidR="00412599">
        <w:t xml:space="preserve">. It </w:t>
      </w:r>
      <w:r>
        <w:t>does not consider the effect of the act on the targeted person or group. Similar tests are found in the civil vilification laws of several other states and territories.</w:t>
      </w:r>
      <w:r>
        <w:rPr>
          <w:rStyle w:val="FootnoteReference"/>
        </w:rPr>
        <w:footnoteReference w:id="854"/>
      </w:r>
    </w:p>
    <w:p w14:paraId="16B11FBC" w14:textId="0EE35E38" w:rsidR="00FE5562" w:rsidRPr="001F56F6" w:rsidRDefault="00FE5562" w:rsidP="00FE5562">
      <w:pPr>
        <w:pStyle w:val="NormalAutoChapter"/>
        <w:tabs>
          <w:tab w:val="num" w:pos="2705"/>
        </w:tabs>
        <w:rPr>
          <w:lang w:val="en-GB"/>
        </w:rPr>
      </w:pPr>
      <w:r>
        <w:lastRenderedPageBreak/>
        <w:t>The ADA does not define the word “incite”. However, courts have held it to mean “</w:t>
      </w:r>
      <w:r w:rsidRPr="001F56F6">
        <w:rPr>
          <w:lang w:val="en-GB"/>
        </w:rPr>
        <w:t>to rouse, to stimulate, to urge, to spur on, to stir up or to animate</w:t>
      </w:r>
      <w:r w:rsidR="00412599">
        <w:rPr>
          <w:lang w:val="en-GB"/>
        </w:rPr>
        <w:t>”</w:t>
      </w:r>
      <w:r w:rsidRPr="001F56F6">
        <w:rPr>
          <w:lang w:val="en-GB"/>
        </w:rPr>
        <w:t xml:space="preserve">, and </w:t>
      </w:r>
      <w:r w:rsidR="00412599">
        <w:rPr>
          <w:lang w:val="en-GB"/>
        </w:rPr>
        <w:t>that it “</w:t>
      </w:r>
      <w:r w:rsidRPr="001F56F6">
        <w:rPr>
          <w:lang w:val="en-GB"/>
        </w:rPr>
        <w:t>covers conduct involving commands, requests, proposals, actions or encouragement</w:t>
      </w:r>
      <w:r>
        <w:rPr>
          <w:lang w:val="en-GB"/>
        </w:rPr>
        <w:t>”.</w:t>
      </w:r>
      <w:r w:rsidRPr="001F56F6">
        <w:rPr>
          <w:vertAlign w:val="superscript"/>
          <w:lang w:val="en-GB"/>
        </w:rPr>
        <w:footnoteReference w:id="855"/>
      </w:r>
      <w:r w:rsidRPr="001F56F6">
        <w:rPr>
          <w:lang w:val="en-GB"/>
        </w:rPr>
        <w:t xml:space="preserve"> </w:t>
      </w:r>
    </w:p>
    <w:p w14:paraId="241B3EF3" w14:textId="77777777" w:rsidR="00FE5562" w:rsidRDefault="00FE5562" w:rsidP="00FE5562">
      <w:pPr>
        <w:pStyle w:val="NormalAutoChapter"/>
        <w:tabs>
          <w:tab w:val="num" w:pos="2705"/>
        </w:tabs>
      </w:pPr>
      <w:r>
        <w:t>The public act must reach an intended audience. Under the ADA, the act must be capable of inciting an ordinary member of that audience to feel hatred, serious contempt or severe ridicule based on the protected attribute. When assessing whether an act could incite those emotions, the context and intended audience of the act is relevant.</w:t>
      </w:r>
      <w:r>
        <w:rPr>
          <w:rStyle w:val="FootnoteReference"/>
        </w:rPr>
        <w:footnoteReference w:id="856"/>
      </w:r>
      <w:r w:rsidRPr="00F36400">
        <w:t xml:space="preserve"> </w:t>
      </w:r>
    </w:p>
    <w:p w14:paraId="444AA6FA" w14:textId="77777777" w:rsidR="00FE5562" w:rsidRDefault="00FE5562" w:rsidP="00FE5562">
      <w:pPr>
        <w:pStyle w:val="NormalAutoChapter"/>
        <w:tabs>
          <w:tab w:val="num" w:pos="2705"/>
        </w:tabs>
      </w:pPr>
      <w:r>
        <w:t>Importantly, there is no need to show that the person who did the act intended to incite those emotions. It is also not necessary for anyone to in fact, be incited to feel those emotions.</w:t>
      </w:r>
      <w:r w:rsidRPr="004B23F1">
        <w:rPr>
          <w:vertAlign w:val="superscript"/>
        </w:rPr>
        <w:footnoteReference w:id="857"/>
      </w:r>
    </w:p>
    <w:p w14:paraId="7EF48F38" w14:textId="77777777" w:rsidR="00FE5562" w:rsidRPr="00323F7E" w:rsidRDefault="00FE5562" w:rsidP="00FE5562">
      <w:pPr>
        <w:pStyle w:val="Heading2"/>
      </w:pPr>
      <w:bookmarkStart w:id="368" w:name="_Toc196746771"/>
      <w:bookmarkStart w:id="369" w:name="_Toc196826925"/>
      <w:r>
        <w:t>A harm-based test</w:t>
      </w:r>
      <w:bookmarkEnd w:id="368"/>
      <w:bookmarkEnd w:id="369"/>
      <w:r>
        <w:t xml:space="preserve"> </w:t>
      </w:r>
    </w:p>
    <w:p w14:paraId="072765B6" w14:textId="77777777" w:rsidR="00FE5562" w:rsidRPr="00761570" w:rsidRDefault="00FE5562" w:rsidP="00FE5562">
      <w:pPr>
        <w:pStyle w:val="NormalAutoChapter"/>
        <w:tabs>
          <w:tab w:val="num" w:pos="2705"/>
        </w:tabs>
        <w:rPr>
          <w:lang w:val="en-GB"/>
        </w:rPr>
      </w:pPr>
      <w:r w:rsidRPr="00761570">
        <w:rPr>
          <w:lang w:val="en-GB"/>
        </w:rPr>
        <w:t xml:space="preserve">One </w:t>
      </w:r>
      <w:r>
        <w:rPr>
          <w:lang w:val="en-GB"/>
        </w:rPr>
        <w:t xml:space="preserve">reform </w:t>
      </w:r>
      <w:r w:rsidRPr="00761570">
        <w:rPr>
          <w:lang w:val="en-GB"/>
        </w:rPr>
        <w:t xml:space="preserve">option could be to introduce a harm-based test. </w:t>
      </w:r>
      <w:r>
        <w:rPr>
          <w:lang w:val="en-GB"/>
        </w:rPr>
        <w:t xml:space="preserve">This would </w:t>
      </w:r>
      <w:r w:rsidRPr="00761570">
        <w:rPr>
          <w:lang w:val="en-GB"/>
        </w:rPr>
        <w:t xml:space="preserve">focus on the impact of the conduct on the individuals and groups targeted by </w:t>
      </w:r>
      <w:r>
        <w:rPr>
          <w:lang w:val="en-GB"/>
        </w:rPr>
        <w:t>a public act</w:t>
      </w:r>
      <w:r w:rsidRPr="00761570">
        <w:rPr>
          <w:lang w:val="en-GB"/>
        </w:rPr>
        <w:t xml:space="preserve">. </w:t>
      </w:r>
      <w:r>
        <w:rPr>
          <w:lang w:val="en-GB"/>
        </w:rPr>
        <w:t xml:space="preserve">For instance, harm-based </w:t>
      </w:r>
      <w:r w:rsidRPr="00761570">
        <w:rPr>
          <w:lang w:val="en-GB"/>
        </w:rPr>
        <w:t>test</w:t>
      </w:r>
      <w:r>
        <w:rPr>
          <w:lang w:val="en-GB"/>
        </w:rPr>
        <w:t xml:space="preserve">s elsewhere </w:t>
      </w:r>
      <w:r w:rsidRPr="00761570">
        <w:rPr>
          <w:lang w:val="en-GB"/>
        </w:rPr>
        <w:t xml:space="preserve">focus on whether the conduct: </w:t>
      </w:r>
    </w:p>
    <w:p w14:paraId="0D75AF18" w14:textId="77777777" w:rsidR="00FE5562" w:rsidRDefault="00FE5562" w:rsidP="00FE5562">
      <w:pPr>
        <w:pStyle w:val="Normalbullet"/>
        <w:rPr>
          <w:lang w:val="en-GB"/>
        </w:rPr>
      </w:pPr>
      <w:r w:rsidRPr="00AA679A">
        <w:rPr>
          <w:lang w:val="en-GB"/>
        </w:rPr>
        <w:t>is reasonably likely to offend, insult, humiliate, intimidate or ridicule a person with a protected attribute</w:t>
      </w:r>
      <w:r>
        <w:rPr>
          <w:lang w:val="en-GB"/>
        </w:rPr>
        <w:t>,</w:t>
      </w:r>
      <w:r>
        <w:rPr>
          <w:rStyle w:val="FootnoteReference"/>
          <w:lang w:val="en-GB"/>
        </w:rPr>
        <w:footnoteReference w:id="858"/>
      </w:r>
      <w:r>
        <w:rPr>
          <w:lang w:val="en-GB"/>
        </w:rPr>
        <w:t xml:space="preserve"> or</w:t>
      </w:r>
      <w:r w:rsidRPr="00AA679A">
        <w:rPr>
          <w:lang w:val="en-GB"/>
        </w:rPr>
        <w:t xml:space="preserve"> </w:t>
      </w:r>
    </w:p>
    <w:p w14:paraId="76CAD321" w14:textId="25E4DBDB" w:rsidR="00FE5562" w:rsidRDefault="00B02C63" w:rsidP="00FE5562">
      <w:pPr>
        <w:pStyle w:val="Normalbullet"/>
        <w:rPr>
          <w:lang w:val="en-GB"/>
        </w:rPr>
      </w:pPr>
      <w:r>
        <w:rPr>
          <w:lang w:val="en-GB"/>
        </w:rPr>
        <w:t>would</w:t>
      </w:r>
      <w:r w:rsidR="00F363D7">
        <w:rPr>
          <w:lang w:val="en-GB"/>
        </w:rPr>
        <w:t xml:space="preserve"> be</w:t>
      </w:r>
      <w:r w:rsidR="00FE5562">
        <w:rPr>
          <w:lang w:val="en-GB"/>
        </w:rPr>
        <w:t xml:space="preserve"> reasonably likely to be considered by </w:t>
      </w:r>
      <w:r w:rsidR="00FE5562" w:rsidRPr="00AA679A">
        <w:rPr>
          <w:lang w:val="en-GB"/>
        </w:rPr>
        <w:t xml:space="preserve">a reasonable person </w:t>
      </w:r>
      <w:r w:rsidR="00FE5562">
        <w:rPr>
          <w:lang w:val="en-GB"/>
        </w:rPr>
        <w:t xml:space="preserve">with the protected attribute to be </w:t>
      </w:r>
      <w:r w:rsidR="00FE5562" w:rsidRPr="00AA679A">
        <w:rPr>
          <w:lang w:val="en-GB"/>
        </w:rPr>
        <w:t xml:space="preserve">hateful, seriously contemptuous, or reviling or seriously ridiculing of </w:t>
      </w:r>
      <w:r w:rsidR="00C90436">
        <w:rPr>
          <w:lang w:val="en-GB"/>
        </w:rPr>
        <w:t xml:space="preserve">the targeted </w:t>
      </w:r>
      <w:r w:rsidR="00FE5562" w:rsidRPr="00AA679A">
        <w:rPr>
          <w:lang w:val="en-GB"/>
        </w:rPr>
        <w:t>person or group.</w:t>
      </w:r>
      <w:r w:rsidR="00FE5562">
        <w:rPr>
          <w:rStyle w:val="FootnoteReference"/>
          <w:lang w:val="en-GB"/>
        </w:rPr>
        <w:footnoteReference w:id="859"/>
      </w:r>
      <w:r w:rsidR="00FE5562">
        <w:rPr>
          <w:lang w:val="en-GB"/>
        </w:rPr>
        <w:t xml:space="preserve"> </w:t>
      </w:r>
    </w:p>
    <w:p w14:paraId="5E1287A8" w14:textId="77777777" w:rsidR="00FE5562" w:rsidRDefault="00FE5562" w:rsidP="00FE5562">
      <w:pPr>
        <w:pStyle w:val="Heading3"/>
        <w:rPr>
          <w:lang w:val="en-GB"/>
        </w:rPr>
      </w:pPr>
      <w:r>
        <w:rPr>
          <w:lang w:val="en-GB"/>
        </w:rPr>
        <w:t>Perspectives on a harm-based test</w:t>
      </w:r>
    </w:p>
    <w:p w14:paraId="07EB1CD0" w14:textId="10E0183C" w:rsidR="00FE5562" w:rsidRPr="00A86B62" w:rsidRDefault="00FE5562" w:rsidP="00FE5562">
      <w:pPr>
        <w:pStyle w:val="NormalAutoChapter"/>
        <w:tabs>
          <w:tab w:val="num" w:pos="2705"/>
        </w:tabs>
        <w:rPr>
          <w:lang w:val="en-GB"/>
        </w:rPr>
      </w:pPr>
      <w:r w:rsidRPr="00A86B62">
        <w:rPr>
          <w:lang w:val="en-GB"/>
        </w:rPr>
        <w:t>Some argue harm-based tests better reflect how members of the community understand and experience vilification.</w:t>
      </w:r>
      <w:r>
        <w:rPr>
          <w:rStyle w:val="FootnoteReference"/>
          <w:lang w:val="en-GB"/>
        </w:rPr>
        <w:footnoteReference w:id="860"/>
      </w:r>
      <w:r w:rsidRPr="00A86B62">
        <w:rPr>
          <w:lang w:val="en-GB"/>
        </w:rPr>
        <w:t xml:space="preserve"> This is because they </w:t>
      </w:r>
      <w:r>
        <w:rPr>
          <w:lang w:val="en-GB"/>
        </w:rPr>
        <w:t>consider how the target group experiences the conduct.</w:t>
      </w:r>
    </w:p>
    <w:p w14:paraId="61BD16CD" w14:textId="77777777" w:rsidR="00FE5562" w:rsidRDefault="00FE5562" w:rsidP="00FE5562">
      <w:pPr>
        <w:pStyle w:val="NormalAutoChapter"/>
        <w:tabs>
          <w:tab w:val="num" w:pos="2705"/>
        </w:tabs>
        <w:rPr>
          <w:lang w:val="en-GB"/>
        </w:rPr>
      </w:pPr>
      <w:r>
        <w:rPr>
          <w:lang w:val="en-GB"/>
        </w:rPr>
        <w:lastRenderedPageBreak/>
        <w:t>A harm-based test could also lower the threshold for civil vilification complaints. Removing the need to prove the conduct could have incited a third party might reduce the burden on the complainant.</w:t>
      </w:r>
      <w:r>
        <w:rPr>
          <w:rStyle w:val="FootnoteReference"/>
          <w:lang w:val="en-GB"/>
        </w:rPr>
        <w:footnoteReference w:id="861"/>
      </w:r>
    </w:p>
    <w:p w14:paraId="2E209C00" w14:textId="77777777" w:rsidR="00FE5562" w:rsidRDefault="00FE5562" w:rsidP="00FE5562">
      <w:pPr>
        <w:pStyle w:val="NormalAutoChapter"/>
        <w:tabs>
          <w:tab w:val="num" w:pos="2705"/>
        </w:tabs>
      </w:pPr>
      <w:r>
        <w:t xml:space="preserve">In our recent review of s 93Z of the </w:t>
      </w:r>
      <w:r w:rsidRPr="005D0DA6">
        <w:rPr>
          <w:i/>
          <w:iCs/>
        </w:rPr>
        <w:t>Crimes Act</w:t>
      </w:r>
      <w:r>
        <w:t>, we concluded that a harm-based test should not be introduced into the NSW criminal vilification offence. We were concerned that the elements of a harm-based test are insufficiently certain for application in the criminal law. Such a test could lead to unintended consequences, especially if it had an “objective” standard and there was no element that focused on the accused person’s state of mind.</w:t>
      </w:r>
      <w:r>
        <w:rPr>
          <w:rStyle w:val="FootnoteReference"/>
        </w:rPr>
        <w:footnoteReference w:id="862"/>
      </w:r>
      <w:r>
        <w:t xml:space="preserve"> </w:t>
      </w:r>
    </w:p>
    <w:p w14:paraId="340D8A90" w14:textId="77777777" w:rsidR="00FE5562" w:rsidRPr="00A86B62" w:rsidRDefault="00FE5562" w:rsidP="00FE5562">
      <w:pPr>
        <w:pStyle w:val="NormalAutoChapter"/>
        <w:tabs>
          <w:tab w:val="num" w:pos="2705"/>
        </w:tabs>
        <w:rPr>
          <w:lang w:val="en-GB"/>
        </w:rPr>
      </w:pPr>
      <w:r>
        <w:t xml:space="preserve">However, we have not reached a view about whether a harm-based test should be part of the ADA’s civil vilification framework. Different considerations may apply to civil vilification laws, where no criminal penalty applies. </w:t>
      </w:r>
    </w:p>
    <w:p w14:paraId="068972A2" w14:textId="08963028" w:rsidR="00FE5562" w:rsidRDefault="00FE5562" w:rsidP="00FE5562">
      <w:pPr>
        <w:pStyle w:val="Heading3"/>
        <w:rPr>
          <w:lang w:val="en-GB"/>
        </w:rPr>
      </w:pPr>
      <w:r>
        <w:rPr>
          <w:lang w:val="en-GB"/>
        </w:rPr>
        <w:t>Examples of</w:t>
      </w:r>
      <w:r w:rsidR="00C237E4">
        <w:rPr>
          <w:lang w:val="en-GB"/>
        </w:rPr>
        <w:t xml:space="preserve"> civil</w:t>
      </w:r>
      <w:r>
        <w:rPr>
          <w:lang w:val="en-GB"/>
        </w:rPr>
        <w:t xml:space="preserve"> harm-based tests</w:t>
      </w:r>
    </w:p>
    <w:p w14:paraId="61FF6CCB" w14:textId="77777777" w:rsidR="00FE5562" w:rsidRDefault="00FE5562" w:rsidP="00FE5562">
      <w:pPr>
        <w:pStyle w:val="NormalAutoChapter"/>
        <w:tabs>
          <w:tab w:val="num" w:pos="2705"/>
        </w:tabs>
        <w:rPr>
          <w:lang w:val="en-GB"/>
        </w:rPr>
      </w:pPr>
      <w:r>
        <w:rPr>
          <w:lang w:val="en-GB"/>
        </w:rPr>
        <w:t>Harm-based tests apply in</w:t>
      </w:r>
      <w:r w:rsidRPr="005F6EF1">
        <w:rPr>
          <w:lang w:val="en-GB"/>
        </w:rPr>
        <w:t xml:space="preserve"> civil vilification laws</w:t>
      </w:r>
      <w:r>
        <w:rPr>
          <w:lang w:val="en-GB"/>
        </w:rPr>
        <w:t xml:space="preserve"> in the NT, Tasmania and in the </w:t>
      </w:r>
      <w:r w:rsidRPr="00500027">
        <w:rPr>
          <w:i/>
          <w:iCs/>
          <w:lang w:val="en-GB"/>
        </w:rPr>
        <w:t>Racial Discrimination Act</w:t>
      </w:r>
      <w:r>
        <w:rPr>
          <w:lang w:val="en-GB"/>
        </w:rPr>
        <w:t>.</w:t>
      </w:r>
      <w:r w:rsidRPr="00272890">
        <w:rPr>
          <w:vertAlign w:val="superscript"/>
          <w:lang w:val="en-GB"/>
        </w:rPr>
        <w:footnoteReference w:id="863"/>
      </w:r>
      <w:r w:rsidRPr="00272890">
        <w:rPr>
          <w:lang w:val="en-GB"/>
        </w:rPr>
        <w:t xml:space="preserve"> </w:t>
      </w:r>
      <w:r>
        <w:rPr>
          <w:lang w:val="en-GB"/>
        </w:rPr>
        <w:t>Amendments to introduce such a test were recently enacted in Victoria.</w:t>
      </w:r>
      <w:r>
        <w:rPr>
          <w:rStyle w:val="FootnoteReference"/>
          <w:lang w:val="en-GB"/>
        </w:rPr>
        <w:footnoteReference w:id="864"/>
      </w:r>
      <w:r>
        <w:rPr>
          <w:lang w:val="en-GB"/>
        </w:rPr>
        <w:t xml:space="preserve">  Recent inquiries supported the introduction, or consideration, of such a test in other states and territories too.</w:t>
      </w:r>
      <w:r w:rsidRPr="00272890">
        <w:rPr>
          <w:vertAlign w:val="superscript"/>
          <w:lang w:val="en-GB"/>
        </w:rPr>
        <w:footnoteReference w:id="865"/>
      </w:r>
      <w:r>
        <w:rPr>
          <w:lang w:val="en-GB"/>
        </w:rPr>
        <w:t xml:space="preserve"> </w:t>
      </w:r>
    </w:p>
    <w:p w14:paraId="1EFD8D93" w14:textId="77777777" w:rsidR="00FE5562" w:rsidRPr="002973EE" w:rsidRDefault="00FE5562" w:rsidP="00FE5562">
      <w:pPr>
        <w:pStyle w:val="NormalAutoChapter"/>
        <w:tabs>
          <w:tab w:val="num" w:pos="2705"/>
        </w:tabs>
        <w:rPr>
          <w:lang w:val="en-GB"/>
        </w:rPr>
      </w:pPr>
      <w:r>
        <w:t xml:space="preserve">If NSW was to introduce a civil harm-based test, an issue is whether it should replace the existing ADA test or operate in addition to it. Some laws, such as </w:t>
      </w:r>
      <w:r w:rsidRPr="002973EE">
        <w:rPr>
          <w:lang w:val="en-GB"/>
        </w:rPr>
        <w:t xml:space="preserve">the civil vilification protections in the NT and the </w:t>
      </w:r>
      <w:r w:rsidRPr="00275F7C">
        <w:rPr>
          <w:i/>
          <w:iCs/>
          <w:lang w:val="en-GB"/>
        </w:rPr>
        <w:t>Racial Discrimination Act</w:t>
      </w:r>
      <w:r>
        <w:rPr>
          <w:lang w:val="en-GB"/>
        </w:rPr>
        <w:t xml:space="preserve">, </w:t>
      </w:r>
      <w:r w:rsidRPr="002973EE">
        <w:rPr>
          <w:lang w:val="en-GB"/>
        </w:rPr>
        <w:t xml:space="preserve">only </w:t>
      </w:r>
      <w:r>
        <w:rPr>
          <w:lang w:val="en-GB"/>
        </w:rPr>
        <w:t xml:space="preserve">apply a </w:t>
      </w:r>
      <w:r w:rsidRPr="002973EE">
        <w:rPr>
          <w:lang w:val="en-GB"/>
        </w:rPr>
        <w:t>harm-based test.</w:t>
      </w:r>
      <w:r>
        <w:rPr>
          <w:rStyle w:val="FootnoteReference"/>
          <w:lang w:val="en-GB"/>
        </w:rPr>
        <w:footnoteReference w:id="866"/>
      </w:r>
      <w:r w:rsidRPr="002973EE">
        <w:rPr>
          <w:lang w:val="en-GB"/>
        </w:rPr>
        <w:t xml:space="preserve"> </w:t>
      </w:r>
    </w:p>
    <w:p w14:paraId="002D147A" w14:textId="77777777" w:rsidR="00FE5562" w:rsidRPr="00930FAE" w:rsidRDefault="00FE5562" w:rsidP="00FE5562">
      <w:pPr>
        <w:pStyle w:val="NormalAutoChapter"/>
        <w:tabs>
          <w:tab w:val="num" w:pos="2705"/>
        </w:tabs>
        <w:rPr>
          <w:lang w:val="en-GB"/>
        </w:rPr>
      </w:pPr>
      <w:r>
        <w:rPr>
          <w:lang w:val="en-GB"/>
        </w:rPr>
        <w:t>However o</w:t>
      </w:r>
      <w:r w:rsidRPr="00930FAE">
        <w:rPr>
          <w:lang w:val="en-GB"/>
        </w:rPr>
        <w:t>ther civil vilification laws apply both a harm-based and an incitement-based test, in separate sections. This ensures that a wide range of vilifying behaviours are unlawful.</w:t>
      </w:r>
      <w:r>
        <w:rPr>
          <w:rStyle w:val="FootnoteReference"/>
        </w:rPr>
        <w:footnoteReference w:id="867"/>
      </w:r>
      <w:r>
        <w:t xml:space="preserve"> </w:t>
      </w:r>
    </w:p>
    <w:p w14:paraId="5C773827" w14:textId="77777777" w:rsidR="00FE5562" w:rsidRPr="00B1750E" w:rsidRDefault="00FE5562" w:rsidP="00FE5562">
      <w:pPr>
        <w:pStyle w:val="NormalAutoChapter"/>
        <w:tabs>
          <w:tab w:val="num" w:pos="2705"/>
        </w:tabs>
        <w:rPr>
          <w:lang w:val="en-GB"/>
        </w:rPr>
      </w:pPr>
      <w:r w:rsidRPr="00930FAE">
        <w:rPr>
          <w:lang w:val="en-GB"/>
        </w:rPr>
        <w:lastRenderedPageBreak/>
        <w:t xml:space="preserve">Tasmania, for example, applies an incitement-based test to vilification based on </w:t>
      </w:r>
      <w:r>
        <w:t>race, disability, sexual orientation, lawful sexual activity, religious belief, affiliation or activity, gender identity or sex characteristics. A harm-based test applies to a wider range of attributes.</w:t>
      </w:r>
      <w:r>
        <w:rPr>
          <w:rStyle w:val="FootnoteReference"/>
        </w:rPr>
        <w:footnoteReference w:id="868"/>
      </w:r>
    </w:p>
    <w:p w14:paraId="64B213F9" w14:textId="77777777" w:rsidR="00FE5562" w:rsidRDefault="00FE5562" w:rsidP="00FE5562">
      <w:pPr>
        <w:pStyle w:val="NormalAutoChapter"/>
        <w:tabs>
          <w:tab w:val="num" w:pos="1712"/>
        </w:tabs>
      </w:pPr>
      <w:r>
        <w:t xml:space="preserve">The Victorian amendments will, upon commencement, provide for a harm-based test in addition to a separate incitement-based test. These will cover the same protected attributes. </w:t>
      </w:r>
    </w:p>
    <w:p w14:paraId="1EB51D96" w14:textId="77777777" w:rsidR="00FE5562" w:rsidRDefault="00FE5562" w:rsidP="00FE5562">
      <w:pPr>
        <w:pStyle w:val="NormalAutoChapter"/>
        <w:tabs>
          <w:tab w:val="num" w:pos="1712"/>
        </w:tabs>
      </w:pPr>
      <w:r>
        <w:t>First, the Victorian harm-based test will make it unlawful to engage in public conduct:</w:t>
      </w:r>
    </w:p>
    <w:p w14:paraId="253CCD13" w14:textId="77777777" w:rsidR="00FE5562" w:rsidRDefault="00FE5562" w:rsidP="00FE5562">
      <w:pPr>
        <w:pStyle w:val="Normalbullet"/>
      </w:pPr>
      <w:r>
        <w:t xml:space="preserve">because of a protected attribute of another person or group of persons </w:t>
      </w:r>
    </w:p>
    <w:p w14:paraId="2894139E" w14:textId="77777777" w:rsidR="00FE5562" w:rsidRDefault="00FE5562" w:rsidP="00FE5562">
      <w:pPr>
        <w:pStyle w:val="Normalbullet"/>
      </w:pPr>
      <w:r>
        <w:t xml:space="preserve">that would, in all the circumstances, </w:t>
      </w:r>
      <w:r w:rsidRPr="00415585">
        <w:t>be reasonably likely to be considered by a reasonable person with the protected attribute to be hateful or seriously contemptuous of, or reviling or severely ridiculing, the other person or group of persons.</w:t>
      </w:r>
      <w:r>
        <w:rPr>
          <w:rStyle w:val="FootnoteReference"/>
        </w:rPr>
        <w:footnoteReference w:id="869"/>
      </w:r>
      <w:r>
        <w:t xml:space="preserve">  </w:t>
      </w:r>
    </w:p>
    <w:p w14:paraId="53C15356" w14:textId="77777777" w:rsidR="00FE5562" w:rsidRDefault="00FE5562" w:rsidP="00FE5562">
      <w:pPr>
        <w:pStyle w:val="NormalAutoChapter"/>
        <w:tabs>
          <w:tab w:val="num" w:pos="1712"/>
        </w:tabs>
        <w:rPr>
          <w:color w:val="auto"/>
          <w:lang w:val="en-GB"/>
        </w:rPr>
      </w:pPr>
      <w:r>
        <w:rPr>
          <w:color w:val="auto"/>
          <w:lang w:val="en-GB"/>
        </w:rPr>
        <w:t>The test will provide for conduct that is engaged in for two or more reasons. Where one of the reasons is a protected attribute, the conduct is taken to have been engaged in because of a protected attribute. This applies even if this is not the dominant or substantial reason for the conduct.</w:t>
      </w:r>
      <w:r>
        <w:rPr>
          <w:rStyle w:val="FootnoteReference"/>
        </w:rPr>
        <w:footnoteReference w:id="870"/>
      </w:r>
    </w:p>
    <w:p w14:paraId="3AA6FA43" w14:textId="77777777" w:rsidR="00FE5562" w:rsidRPr="00925A74" w:rsidRDefault="00FE5562" w:rsidP="00FE5562">
      <w:pPr>
        <w:pStyle w:val="NormalAutoChapter"/>
        <w:tabs>
          <w:tab w:val="num" w:pos="1712"/>
        </w:tabs>
        <w:rPr>
          <w:color w:val="auto"/>
          <w:lang w:val="en-GB"/>
        </w:rPr>
      </w:pPr>
      <w:r>
        <w:rPr>
          <w:color w:val="auto"/>
          <w:lang w:val="en-GB"/>
        </w:rPr>
        <w:t>Second, t</w:t>
      </w:r>
      <w:r w:rsidRPr="00925A74">
        <w:rPr>
          <w:color w:val="auto"/>
          <w:lang w:val="en-GB"/>
        </w:rPr>
        <w:t xml:space="preserve">he </w:t>
      </w:r>
      <w:r>
        <w:rPr>
          <w:color w:val="auto"/>
          <w:lang w:val="en-GB"/>
        </w:rPr>
        <w:t xml:space="preserve">Victorian </w:t>
      </w:r>
      <w:r w:rsidRPr="00925A74">
        <w:rPr>
          <w:color w:val="auto"/>
          <w:lang w:val="en-GB"/>
        </w:rPr>
        <w:t>incitement-based test will cover public conduct:</w:t>
      </w:r>
    </w:p>
    <w:p w14:paraId="32DBA505" w14:textId="77777777" w:rsidR="00FE5562" w:rsidRDefault="00FE5562" w:rsidP="00FE5562">
      <w:pPr>
        <w:pStyle w:val="Quotationnormal"/>
      </w:pPr>
      <w:r w:rsidRPr="00925A74">
        <w:t>that is likely to incite hatred against, serious contempt for, revulsion towards or severe ridicule of, another person or a group of persons on the ground of a protected attribute of that other person or group of persons</w:t>
      </w:r>
      <w:r>
        <w:t>.</w:t>
      </w:r>
      <w:r>
        <w:rPr>
          <w:rStyle w:val="FootnoteReference"/>
        </w:rPr>
        <w:footnoteReference w:id="871"/>
      </w:r>
    </w:p>
    <w:p w14:paraId="2F569200" w14:textId="77777777" w:rsidR="00FE5562" w:rsidRDefault="00FE5562" w:rsidP="00FE5562">
      <w:pPr>
        <w:pStyle w:val="NormalAutoChapter"/>
        <w:tabs>
          <w:tab w:val="num" w:pos="1712"/>
        </w:tabs>
        <w:rPr>
          <w:color w:val="auto"/>
          <w:lang w:val="en-GB"/>
        </w:rPr>
      </w:pPr>
      <w:r>
        <w:rPr>
          <w:color w:val="auto"/>
          <w:lang w:val="en-GB"/>
        </w:rPr>
        <w:t>The test will provide that the motive for engaging in any such conduct is irrelevant.</w:t>
      </w:r>
      <w:r>
        <w:rPr>
          <w:rStyle w:val="FootnoteReference"/>
        </w:rPr>
        <w:footnoteReference w:id="872"/>
      </w:r>
      <w:r>
        <w:rPr>
          <w:color w:val="auto"/>
          <w:lang w:val="en-GB"/>
        </w:rPr>
        <w:t xml:space="preserve"> </w:t>
      </w:r>
    </w:p>
    <w:p w14:paraId="272BD408" w14:textId="77777777" w:rsidR="00FE5562" w:rsidRPr="004E5CEE" w:rsidRDefault="00FE5562" w:rsidP="00FE5562">
      <w:pPr>
        <w:pStyle w:val="NormalAutoChapter"/>
        <w:tabs>
          <w:tab w:val="num" w:pos="1712"/>
        </w:tabs>
        <w:rPr>
          <w:color w:val="auto"/>
          <w:lang w:val="en-GB"/>
        </w:rPr>
      </w:pPr>
      <w:r w:rsidRPr="004E5CEE">
        <w:rPr>
          <w:color w:val="auto"/>
          <w:lang w:val="en-GB"/>
        </w:rPr>
        <w:t>The Queensland amendments would also introduce a new harm-based test to operate alongside an incitement-based test.</w:t>
      </w:r>
      <w:r w:rsidRPr="004E5CEE">
        <w:rPr>
          <w:rStyle w:val="FootnoteReference"/>
          <w:color w:val="auto"/>
          <w:lang w:val="en-GB"/>
        </w:rPr>
        <w:footnoteReference w:id="873"/>
      </w:r>
      <w:r w:rsidRPr="004E5CEE">
        <w:rPr>
          <w:color w:val="auto"/>
          <w:lang w:val="en-GB"/>
        </w:rPr>
        <w:t xml:space="preserve"> However, as we explain above, their commencement date is now uncertain.</w:t>
      </w:r>
    </w:p>
    <w:p w14:paraId="5771FC10" w14:textId="77777777" w:rsidR="00FE5562" w:rsidRDefault="00FE5562" w:rsidP="00FE5562">
      <w:pPr>
        <w:pStyle w:val="Heading3"/>
      </w:pPr>
      <w:r>
        <w:lastRenderedPageBreak/>
        <w:t>The new offence of inciting hatred</w:t>
      </w:r>
    </w:p>
    <w:p w14:paraId="4ADFE4C1" w14:textId="77777777" w:rsidR="00FE5562" w:rsidRDefault="00FE5562" w:rsidP="00FE5562">
      <w:pPr>
        <w:pStyle w:val="NormalAutoChapter"/>
        <w:tabs>
          <w:tab w:val="num" w:pos="2705"/>
        </w:tabs>
      </w:pPr>
      <w:r>
        <w:t xml:space="preserve">Although a criminal provision, the new NSW offence of inciting hatred will use aspects of both an incitement-based and harm-based test. </w:t>
      </w:r>
    </w:p>
    <w:p w14:paraId="0A578C05" w14:textId="77777777" w:rsidR="00FE5562" w:rsidRDefault="00FE5562" w:rsidP="00FE5562">
      <w:pPr>
        <w:pStyle w:val="NormalAutoChapter"/>
        <w:tabs>
          <w:tab w:val="num" w:pos="2705"/>
        </w:tabs>
      </w:pPr>
      <w:r>
        <w:t xml:space="preserve">Section 93ZAA of the </w:t>
      </w:r>
      <w:r w:rsidRPr="00523B01">
        <w:rPr>
          <w:i/>
          <w:iCs/>
        </w:rPr>
        <w:t>Crimes Act</w:t>
      </w:r>
      <w:r>
        <w:t xml:space="preserve"> will, upon commencement, require proof that the accused person intentionally incited racial hatred towards another person or group. It will also require proof that their act would cause a reasonable person, who was the target of the incitement of hatred or a member of the targeted group, to fear harassment, intimidation or violence, or to fear for their safety. </w:t>
      </w:r>
    </w:p>
    <w:p w14:paraId="5BA34F5E" w14:textId="77777777" w:rsidR="00FE5562" w:rsidRDefault="00FE5562" w:rsidP="00FE5562">
      <w:pPr>
        <w:pStyle w:val="Heading2"/>
      </w:pPr>
      <w:bookmarkStart w:id="370" w:name="_Toc196746772"/>
      <w:bookmarkStart w:id="371" w:name="_Toc196826926"/>
      <w:r>
        <w:t>Other options for reform</w:t>
      </w:r>
      <w:bookmarkEnd w:id="370"/>
      <w:bookmarkEnd w:id="371"/>
    </w:p>
    <w:p w14:paraId="2328A1CA" w14:textId="77777777" w:rsidR="00FE5562" w:rsidRPr="00B05F5E" w:rsidRDefault="00FE5562" w:rsidP="00FE5562">
      <w:pPr>
        <w:pStyle w:val="NormalAutoChapter"/>
        <w:tabs>
          <w:tab w:val="num" w:pos="2705"/>
        </w:tabs>
        <w:rPr>
          <w:color w:val="00B050"/>
        </w:rPr>
      </w:pPr>
      <w:r>
        <w:t>Another option might be to lower the threshold in the ADA’s incitement-based test to cover a public act that is “</w:t>
      </w:r>
      <w:r w:rsidRPr="005D0DA6">
        <w:t>likely</w:t>
      </w:r>
      <w:r>
        <w:t>” to incite. The Victorian incitement-based test will take this approach.</w:t>
      </w:r>
      <w:r>
        <w:rPr>
          <w:rStyle w:val="FootnoteReference"/>
        </w:rPr>
        <w:footnoteReference w:id="874"/>
      </w:r>
      <w:r>
        <w:t xml:space="preserve"> It was considered that this reform may reduce the burden on complainants.</w:t>
      </w:r>
      <w:r w:rsidRPr="005D066C">
        <w:rPr>
          <w:rStyle w:val="FootnoteReference"/>
          <w:color w:val="auto"/>
        </w:rPr>
        <w:footnoteReference w:id="875"/>
      </w:r>
      <w:r w:rsidRPr="005D066C">
        <w:rPr>
          <w:color w:val="auto"/>
        </w:rPr>
        <w:t xml:space="preserve"> </w:t>
      </w:r>
    </w:p>
    <w:p w14:paraId="68D397A6" w14:textId="77777777" w:rsidR="00FE5562" w:rsidRDefault="00FE5562" w:rsidP="00FE5562">
      <w:pPr>
        <w:pStyle w:val="NormalAutoChapter"/>
        <w:tabs>
          <w:tab w:val="num" w:pos="1712"/>
        </w:tabs>
        <w:rPr>
          <w:color w:val="auto"/>
          <w:lang w:val="en-GB"/>
        </w:rPr>
      </w:pPr>
      <w:r>
        <w:rPr>
          <w:color w:val="auto"/>
          <w:lang w:val="en-GB"/>
        </w:rPr>
        <w:t xml:space="preserve">Other options, drawn from Victoria, include confirming that the conduct may: </w:t>
      </w:r>
    </w:p>
    <w:p w14:paraId="186DB045" w14:textId="77777777" w:rsidR="00FE5562" w:rsidRDefault="00FE5562" w:rsidP="00FE5562">
      <w:pPr>
        <w:pStyle w:val="Normalbullet"/>
        <w:rPr>
          <w:lang w:val="en-GB"/>
        </w:rPr>
      </w:pPr>
      <w:r>
        <w:rPr>
          <w:lang w:val="en-GB"/>
        </w:rPr>
        <w:t xml:space="preserve">consist of a single occasion or </w:t>
      </w:r>
      <w:proofErr w:type="gramStart"/>
      <w:r>
        <w:rPr>
          <w:lang w:val="en-GB"/>
        </w:rPr>
        <w:t>a number of</w:t>
      </w:r>
      <w:proofErr w:type="gramEnd"/>
      <w:r>
        <w:rPr>
          <w:lang w:val="en-GB"/>
        </w:rPr>
        <w:t xml:space="preserve"> occasions over time, and</w:t>
      </w:r>
    </w:p>
    <w:p w14:paraId="43100F4C" w14:textId="4D66CDFD" w:rsidR="00FE5562" w:rsidRDefault="00FE5562" w:rsidP="00FE5562">
      <w:pPr>
        <w:pStyle w:val="Normalbullet"/>
        <w:rPr>
          <w:lang w:val="en-GB"/>
        </w:rPr>
      </w:pPr>
      <w:r>
        <w:rPr>
          <w:lang w:val="en-GB"/>
        </w:rPr>
        <w:t xml:space="preserve">occur in or outside </w:t>
      </w:r>
      <w:r w:rsidR="00C66C8D">
        <w:rPr>
          <w:lang w:val="en-GB"/>
        </w:rPr>
        <w:t>the state</w:t>
      </w:r>
      <w:r>
        <w:rPr>
          <w:lang w:val="en-GB"/>
        </w:rPr>
        <w:t>.</w:t>
      </w:r>
      <w:r>
        <w:rPr>
          <w:rStyle w:val="FootnoteReference"/>
          <w:lang w:val="en-GB"/>
        </w:rPr>
        <w:footnoteReference w:id="876"/>
      </w:r>
      <w:r>
        <w:rPr>
          <w:lang w:val="en-GB"/>
        </w:rPr>
        <w:t xml:space="preserve"> </w:t>
      </w:r>
    </w:p>
    <w:p w14:paraId="5A27B458" w14:textId="77777777" w:rsidR="00FE5562" w:rsidRDefault="00FE5562" w:rsidP="00FE5562">
      <w:pPr>
        <w:pStyle w:val="NormalAutoChapter"/>
        <w:tabs>
          <w:tab w:val="num" w:pos="2705"/>
        </w:tabs>
        <w:rPr>
          <w:lang w:eastAsia="en-US"/>
        </w:rPr>
      </w:pPr>
      <w:r>
        <w:rPr>
          <w:lang w:eastAsia="en-US"/>
        </w:rPr>
        <w:t>Further considerations could include changing the conduct that is prohibited. For example, the ADA could make it unlawful to:</w:t>
      </w:r>
    </w:p>
    <w:p w14:paraId="403E76B9" w14:textId="77777777" w:rsidR="00FE5562" w:rsidRPr="00B020EC" w:rsidRDefault="00FE5562" w:rsidP="00FE5562">
      <w:pPr>
        <w:pStyle w:val="Normalbullet"/>
      </w:pPr>
      <w:r w:rsidRPr="00B15948">
        <w:rPr>
          <w:lang w:val="en-GB"/>
        </w:rPr>
        <w:t>commit a public act that expresses (rather than incites) hostility against</w:t>
      </w:r>
      <w:r>
        <w:rPr>
          <w:lang w:val="en-GB"/>
        </w:rPr>
        <w:t>,</w:t>
      </w:r>
      <w:r w:rsidRPr="00B15948">
        <w:rPr>
          <w:lang w:val="en-GB"/>
        </w:rPr>
        <w:t xml:space="preserve"> brings into contempt or ridicule</w:t>
      </w:r>
      <w:r>
        <w:rPr>
          <w:lang w:val="en-GB"/>
        </w:rPr>
        <w:t>s</w:t>
      </w:r>
      <w:r w:rsidRPr="00B15948">
        <w:rPr>
          <w:lang w:val="en-GB"/>
        </w:rPr>
        <w:t xml:space="preserve"> </w:t>
      </w:r>
      <w:r>
        <w:rPr>
          <w:lang w:val="en-GB"/>
        </w:rPr>
        <w:t>a</w:t>
      </w:r>
      <w:r w:rsidRPr="00B15948">
        <w:rPr>
          <w:lang w:val="en-GB"/>
        </w:rPr>
        <w:t xml:space="preserve"> person with </w:t>
      </w:r>
      <w:r>
        <w:rPr>
          <w:lang w:val="en-GB"/>
        </w:rPr>
        <w:t>a</w:t>
      </w:r>
      <w:r w:rsidRPr="00B15948">
        <w:rPr>
          <w:lang w:val="en-GB"/>
        </w:rPr>
        <w:t xml:space="preserve"> protected attribute</w:t>
      </w:r>
      <w:r w:rsidRPr="00B15948">
        <w:rPr>
          <w:vertAlign w:val="superscript"/>
          <w:lang w:val="en-GB"/>
        </w:rPr>
        <w:footnoteReference w:id="877"/>
      </w:r>
    </w:p>
    <w:p w14:paraId="375D807B" w14:textId="77777777" w:rsidR="00FE5562" w:rsidRPr="00B15948" w:rsidRDefault="00FE5562" w:rsidP="00FE5562">
      <w:pPr>
        <w:pStyle w:val="Normalbullet"/>
        <w:rPr>
          <w:lang w:val="en-GB"/>
        </w:rPr>
      </w:pPr>
      <w:r w:rsidRPr="00B15948">
        <w:rPr>
          <w:lang w:val="en-GB"/>
        </w:rPr>
        <w:t>engage in conduct that is likely to create, promote or increase animosity towards, threaten, seriously abuse or severely ridicule</w:t>
      </w:r>
      <w:r>
        <w:rPr>
          <w:lang w:val="en-GB"/>
        </w:rPr>
        <w:t>,</w:t>
      </w:r>
      <w:r w:rsidRPr="00B15948">
        <w:rPr>
          <w:vertAlign w:val="superscript"/>
          <w:lang w:val="en-GB"/>
        </w:rPr>
        <w:footnoteReference w:id="878"/>
      </w:r>
      <w:r>
        <w:rPr>
          <w:lang w:val="en-GB"/>
        </w:rPr>
        <w:t xml:space="preserve"> or</w:t>
      </w:r>
    </w:p>
    <w:p w14:paraId="1916D065" w14:textId="77777777" w:rsidR="00FE5562" w:rsidRPr="0060393B" w:rsidRDefault="00FE5562" w:rsidP="00FE5562">
      <w:pPr>
        <w:pStyle w:val="Normalbullet"/>
      </w:pPr>
      <w:r w:rsidRPr="00B15948">
        <w:rPr>
          <w:lang w:val="en-GB"/>
        </w:rPr>
        <w:t>threaten vilification.</w:t>
      </w:r>
      <w:r w:rsidRPr="00B15948">
        <w:rPr>
          <w:vertAlign w:val="superscript"/>
          <w:lang w:val="en-GB"/>
        </w:rPr>
        <w:footnoteReference w:id="879"/>
      </w:r>
    </w:p>
    <w:p w14:paraId="1B4560C6" w14:textId="77777777" w:rsidR="00FE5562" w:rsidRDefault="00FE5562" w:rsidP="00FE5562">
      <w:pPr>
        <w:pStyle w:val="Recommendationheading"/>
      </w:pPr>
      <w:r>
        <w:lastRenderedPageBreak/>
        <w:t xml:space="preserve">Question </w:t>
      </w:r>
      <w:r w:rsidRPr="00DD3CE4">
        <w:t>8</w:t>
      </w:r>
      <w:r>
        <w:t>.</w:t>
      </w:r>
      <w:r w:rsidRPr="00DD3CE4">
        <w:t>2</w:t>
      </w:r>
      <w:r>
        <w:t>: The test for vilification</w:t>
      </w:r>
    </w:p>
    <w:p w14:paraId="4F9E5A9B" w14:textId="77777777" w:rsidR="00FE5562" w:rsidRPr="00440271" w:rsidRDefault="00FE5562" w:rsidP="00FE5562">
      <w:pPr>
        <w:pStyle w:val="Recommendationhanging1"/>
      </w:pPr>
      <w:r>
        <w:t xml:space="preserve">(1) </w:t>
      </w:r>
      <w:r>
        <w:tab/>
        <w:t xml:space="preserve">Should NSW adopt a “harm-based” test for civil vilification? If so, should this replace or supplement the existing “incitement-based” test? </w:t>
      </w:r>
    </w:p>
    <w:p w14:paraId="0906BB83" w14:textId="77777777" w:rsidR="00FE5562" w:rsidRDefault="00FE5562" w:rsidP="00FE5562">
      <w:pPr>
        <w:pStyle w:val="Recommendationhanging1"/>
      </w:pPr>
      <w:r>
        <w:t xml:space="preserve">(2) </w:t>
      </w:r>
      <w:r>
        <w:tab/>
        <w:t xml:space="preserve">What, if any, other changes should be made to the incitement-based test for civil vilification?   </w:t>
      </w:r>
    </w:p>
    <w:p w14:paraId="625443D7" w14:textId="77777777" w:rsidR="00FE5562" w:rsidRDefault="00FE5562" w:rsidP="00FE5562">
      <w:pPr>
        <w:pStyle w:val="Heading1"/>
      </w:pPr>
      <w:bookmarkStart w:id="373" w:name="_Toc196746773"/>
      <w:bookmarkStart w:id="374" w:name="_Toc196826927"/>
      <w:r>
        <w:t>The definition of public act</w:t>
      </w:r>
      <w:bookmarkEnd w:id="373"/>
      <w:bookmarkEnd w:id="374"/>
    </w:p>
    <w:p w14:paraId="55BB723C" w14:textId="77777777" w:rsidR="00FE5562" w:rsidRDefault="00FE5562" w:rsidP="00FE5562">
      <w:pPr>
        <w:pStyle w:val="NormalAutoChapter"/>
        <w:tabs>
          <w:tab w:val="num" w:pos="2705"/>
        </w:tabs>
      </w:pPr>
      <w:r>
        <w:t xml:space="preserve">The prohibitions on vilification in the ADA and in the </w:t>
      </w:r>
      <w:r w:rsidRPr="009E362F">
        <w:rPr>
          <w:i/>
          <w:iCs/>
        </w:rPr>
        <w:t xml:space="preserve">Crimes Act </w:t>
      </w:r>
      <w:r>
        <w:t>only apply to public acts. Maintaining a distinction between public and private acts is one way the law seeks to protect diverse groups, without unjustifiably intruding into the private sphere. However, there may be ways of clarifying the definition of “public act” to ensure it covers relevant conduct and keeps pace with social change.</w:t>
      </w:r>
    </w:p>
    <w:p w14:paraId="131A4D8D" w14:textId="77777777" w:rsidR="00FE5562" w:rsidRDefault="00FE5562" w:rsidP="00FE5562">
      <w:pPr>
        <w:pStyle w:val="Heading2"/>
      </w:pPr>
      <w:bookmarkStart w:id="375" w:name="_Toc196746774"/>
      <w:bookmarkStart w:id="376" w:name="_Toc196826928"/>
      <w:r>
        <w:t>The ADA takes a broad approach to “public act”</w:t>
      </w:r>
      <w:bookmarkEnd w:id="375"/>
      <w:bookmarkEnd w:id="376"/>
    </w:p>
    <w:p w14:paraId="731DE752" w14:textId="77777777" w:rsidR="00FE5562" w:rsidRDefault="00FE5562" w:rsidP="00FE5562">
      <w:pPr>
        <w:pStyle w:val="NormalAutoChapter"/>
        <w:tabs>
          <w:tab w:val="num" w:pos="2705"/>
        </w:tabs>
      </w:pPr>
      <w:r>
        <w:t xml:space="preserve">The ADA provides that a “public act” includes: </w:t>
      </w:r>
    </w:p>
    <w:p w14:paraId="5D403178" w14:textId="77777777" w:rsidR="00FE5562" w:rsidRDefault="00FE5562" w:rsidP="00FE5562">
      <w:pPr>
        <w:pStyle w:val="Quotation1hanging"/>
      </w:pPr>
      <w:r>
        <w:t>(a)</w:t>
      </w:r>
      <w:r>
        <w:tab/>
        <w:t xml:space="preserve">any form of communication to the public, </w:t>
      </w:r>
      <w:r w:rsidRPr="006C3020">
        <w:t>including speaking, writing, printing, displaying</w:t>
      </w:r>
      <w:r>
        <w:t xml:space="preserve"> </w:t>
      </w:r>
      <w:r w:rsidRPr="006C3020">
        <w:t>notices, broadcasting, telecasting, screening and playing of tapes or other recorded material</w:t>
      </w:r>
      <w:r>
        <w:t xml:space="preserve">, </w:t>
      </w:r>
      <w:r w:rsidRPr="00D457D9">
        <w:t>and</w:t>
      </w:r>
      <w:r>
        <w:t xml:space="preserve"> </w:t>
      </w:r>
    </w:p>
    <w:p w14:paraId="02B6AC07" w14:textId="77777777" w:rsidR="00FE5562" w:rsidRDefault="00FE5562" w:rsidP="00FE5562">
      <w:pPr>
        <w:pStyle w:val="Quotation1hanging"/>
      </w:pPr>
      <w:r>
        <w:t>(b)</w:t>
      </w:r>
      <w:r>
        <w:tab/>
        <w:t>any conduct (not being a form of communication referred to in paragraph (a)) observable by the public,</w:t>
      </w:r>
      <w:r w:rsidRPr="006C3020">
        <w:rPr>
          <w:rFonts w:ascii="Calibri" w:hAnsi="Calibri" w:cs="Calibri"/>
          <w:szCs w:val="22"/>
          <w:lang w:eastAsia="en-AU"/>
        </w:rPr>
        <w:t xml:space="preserve"> </w:t>
      </w:r>
      <w:r w:rsidRPr="006C3020">
        <w:t>including actions and gestures and the wearing or display of clothing, signs, flags,</w:t>
      </w:r>
      <w:r>
        <w:t xml:space="preserve"> </w:t>
      </w:r>
      <w:r w:rsidRPr="006C3020">
        <w:t>emblems and insignia</w:t>
      </w:r>
      <w:r>
        <w:t xml:space="preserve">, </w:t>
      </w:r>
      <w:r w:rsidRPr="00D457D9">
        <w:t>and</w:t>
      </w:r>
    </w:p>
    <w:p w14:paraId="34F23D71" w14:textId="77777777" w:rsidR="00FE5562" w:rsidRPr="003B3C64" w:rsidRDefault="00FE5562" w:rsidP="00FE5562">
      <w:pPr>
        <w:pStyle w:val="Quotation1hanging"/>
        <w:rPr>
          <w:color w:val="FF0000"/>
        </w:rPr>
      </w:pPr>
      <w:r>
        <w:t>(c)</w:t>
      </w:r>
      <w:r>
        <w:tab/>
        <w:t>the distribution or dissemination of any matter to the public with knowledge that the matter promotes or expresses hatred towards, serious contempt for, or severe ridicule of, a person or group of persons [</w:t>
      </w:r>
      <w:proofErr w:type="gramStart"/>
      <w:r>
        <w:t>on the basis of</w:t>
      </w:r>
      <w:proofErr w:type="gramEnd"/>
      <w:r>
        <w:t xml:space="preserve"> the protected attribute of the person or members of the group].</w:t>
      </w:r>
      <w:r>
        <w:rPr>
          <w:rStyle w:val="FootnoteReference"/>
        </w:rPr>
        <w:footnoteReference w:id="880"/>
      </w:r>
      <w:r>
        <w:t xml:space="preserve"> </w:t>
      </w:r>
    </w:p>
    <w:p w14:paraId="4C2BFB08" w14:textId="77777777" w:rsidR="00FE5562" w:rsidRDefault="00FE5562" w:rsidP="00FE5562">
      <w:pPr>
        <w:pStyle w:val="NormalAutoChapter"/>
        <w:tabs>
          <w:tab w:val="num" w:pos="2705"/>
        </w:tabs>
      </w:pPr>
      <w:r>
        <w:t>Tribunals have interpreted the expression “public act” broadly. It includes conduct or communication that is “capable of</w:t>
      </w:r>
      <w:r w:rsidRPr="00E55A7F">
        <w:t xml:space="preserve"> being seen or heard, without undue intrusion, by a non-participant”</w:t>
      </w:r>
      <w:r>
        <w:t>.</w:t>
      </w:r>
      <w:r>
        <w:rPr>
          <w:rStyle w:val="FootnoteReference"/>
        </w:rPr>
        <w:footnoteReference w:id="881"/>
      </w:r>
      <w:r>
        <w:t xml:space="preserve"> </w:t>
      </w:r>
    </w:p>
    <w:p w14:paraId="4E4A50BA" w14:textId="77777777" w:rsidR="00FE5562" w:rsidRDefault="00FE5562" w:rsidP="00FE5562">
      <w:pPr>
        <w:pStyle w:val="NormalAutoChapter"/>
        <w:tabs>
          <w:tab w:val="num" w:pos="2705"/>
        </w:tabs>
      </w:pPr>
      <w:r>
        <w:rPr>
          <w:lang w:eastAsia="en-US"/>
        </w:rPr>
        <w:t>The NSW Civil and Administrative Tribunal has observed that the following factors may be helpful in determining if there has been a public act:</w:t>
      </w:r>
    </w:p>
    <w:p w14:paraId="1407BBDA" w14:textId="77777777" w:rsidR="00FE5562" w:rsidRDefault="00FE5562" w:rsidP="00FE5562">
      <w:pPr>
        <w:pStyle w:val="Normalbullet"/>
      </w:pPr>
      <w:r>
        <w:t>whether there is an audience (where a speaker addresses an audience, it is more likely to be public)</w:t>
      </w:r>
    </w:p>
    <w:p w14:paraId="07BE4A3A" w14:textId="77777777" w:rsidR="00FE5562" w:rsidRDefault="00FE5562" w:rsidP="00FE5562">
      <w:pPr>
        <w:pStyle w:val="Normalbullet"/>
      </w:pPr>
      <w:r>
        <w:t>the size of any audience (where a speaker addresses a group, it is more likely to be public)</w:t>
      </w:r>
    </w:p>
    <w:p w14:paraId="2A32571B" w14:textId="77777777" w:rsidR="00FE5562" w:rsidRDefault="00FE5562" w:rsidP="00FE5562">
      <w:pPr>
        <w:pStyle w:val="Normalbullet"/>
      </w:pPr>
      <w:r>
        <w:t xml:space="preserve">the nature of the communication </w:t>
      </w:r>
    </w:p>
    <w:p w14:paraId="68447DF3" w14:textId="77777777" w:rsidR="00FE5562" w:rsidRDefault="00FE5562" w:rsidP="00FE5562">
      <w:pPr>
        <w:pStyle w:val="Normalbullet"/>
      </w:pPr>
      <w:r>
        <w:lastRenderedPageBreak/>
        <w:t xml:space="preserve">the intention of the person or people communicating, and </w:t>
      </w:r>
    </w:p>
    <w:p w14:paraId="26A0B6A2" w14:textId="77777777" w:rsidR="00FE5562" w:rsidRDefault="00FE5562" w:rsidP="00FE5562">
      <w:pPr>
        <w:pStyle w:val="Normalbullet"/>
      </w:pPr>
      <w:r>
        <w:t>the circumstances that led to the communication.</w:t>
      </w:r>
      <w:r>
        <w:rPr>
          <w:rStyle w:val="FootnoteReference"/>
        </w:rPr>
        <w:footnoteReference w:id="882"/>
      </w:r>
      <w:r>
        <w:t xml:space="preserve"> </w:t>
      </w:r>
    </w:p>
    <w:p w14:paraId="7E8B3924" w14:textId="77777777" w:rsidR="00FE5562" w:rsidRDefault="00FE5562" w:rsidP="00FE5562">
      <w:pPr>
        <w:pStyle w:val="NormalAutoChapter"/>
        <w:tabs>
          <w:tab w:val="num" w:pos="2705"/>
        </w:tabs>
      </w:pPr>
      <w:r>
        <w:t xml:space="preserve">For instance, the following have been found to be public acts: </w:t>
      </w:r>
    </w:p>
    <w:p w14:paraId="3E1C278B" w14:textId="77777777" w:rsidR="00FE5562" w:rsidRPr="00BD2629" w:rsidRDefault="00FE5562" w:rsidP="00FE5562">
      <w:pPr>
        <w:pStyle w:val="Normalbullet"/>
        <w:rPr>
          <w:lang w:val="en-GB"/>
        </w:rPr>
      </w:pPr>
      <w:r>
        <w:rPr>
          <w:lang w:val="en-GB"/>
        </w:rPr>
        <w:t>words shouted in the stairwell of an apartment block</w:t>
      </w:r>
      <w:r>
        <w:rPr>
          <w:rStyle w:val="FootnoteReference"/>
          <w:lang w:val="en-GB"/>
        </w:rPr>
        <w:footnoteReference w:id="883"/>
      </w:r>
    </w:p>
    <w:p w14:paraId="5925D6F0" w14:textId="77777777" w:rsidR="00FE5562" w:rsidRDefault="00FE5562" w:rsidP="00FE5562">
      <w:pPr>
        <w:pStyle w:val="Normalbullet"/>
      </w:pPr>
      <w:r>
        <w:t>shouting words from private property into a public street,</w:t>
      </w:r>
      <w:r>
        <w:rPr>
          <w:rStyle w:val="FootnoteReference"/>
        </w:rPr>
        <w:footnoteReference w:id="884"/>
      </w:r>
      <w:r>
        <w:t xml:space="preserve"> and</w:t>
      </w:r>
    </w:p>
    <w:p w14:paraId="1BB38E0E" w14:textId="77777777" w:rsidR="00FE5562" w:rsidRPr="00AC7D65" w:rsidRDefault="00FE5562" w:rsidP="00FE5562">
      <w:pPr>
        <w:pStyle w:val="Normalbullet"/>
      </w:pPr>
      <w:r>
        <w:t>a police exercise involving</w:t>
      </w:r>
      <w:r>
        <w:rPr>
          <w:lang w:val="en-GB"/>
        </w:rPr>
        <w:t xml:space="preserve"> 200 people </w:t>
      </w:r>
      <w:r w:rsidRPr="00CD4FC3">
        <w:rPr>
          <w:lang w:val="en-GB"/>
        </w:rPr>
        <w:t xml:space="preserve">at a </w:t>
      </w:r>
      <w:r>
        <w:rPr>
          <w:lang w:val="en-GB"/>
        </w:rPr>
        <w:t xml:space="preserve">public train </w:t>
      </w:r>
      <w:r w:rsidRPr="00CD4FC3">
        <w:rPr>
          <w:lang w:val="en-GB"/>
        </w:rPr>
        <w:t>station that was closed to the public</w:t>
      </w:r>
      <w:r>
        <w:rPr>
          <w:lang w:val="en-GB"/>
        </w:rPr>
        <w:t>.</w:t>
      </w:r>
      <w:r>
        <w:rPr>
          <w:rStyle w:val="FootnoteReference"/>
        </w:rPr>
        <w:footnoteReference w:id="885"/>
      </w:r>
    </w:p>
    <w:p w14:paraId="525D72E5" w14:textId="77777777" w:rsidR="00FE5562" w:rsidRDefault="00FE5562" w:rsidP="00FE5562">
      <w:pPr>
        <w:pStyle w:val="NormalAutoChapter"/>
        <w:tabs>
          <w:tab w:val="num" w:pos="2705"/>
        </w:tabs>
      </w:pPr>
      <w:r>
        <w:rPr>
          <w:lang w:eastAsia="en-US"/>
        </w:rPr>
        <w:t>In some situations, acts directed at sections of the public, or limited classes of people, can be considered public acts. In one case, this included a teacher’s spoken communication to a high school class.</w:t>
      </w:r>
      <w:r w:rsidRPr="00CD4FC3">
        <w:rPr>
          <w:vertAlign w:val="superscript"/>
          <w:lang w:val="en-GB"/>
        </w:rPr>
        <w:footnoteReference w:id="886"/>
      </w:r>
      <w:r>
        <w:rPr>
          <w:lang w:eastAsia="en-US"/>
        </w:rPr>
        <w:t xml:space="preserve"> </w:t>
      </w:r>
    </w:p>
    <w:p w14:paraId="660DA3CA" w14:textId="77777777" w:rsidR="00FE5562" w:rsidRDefault="00FE5562" w:rsidP="00FE5562">
      <w:pPr>
        <w:pStyle w:val="NormalAutoChapter"/>
        <w:tabs>
          <w:tab w:val="num" w:pos="2705"/>
        </w:tabs>
      </w:pPr>
      <w:r>
        <w:t xml:space="preserve">Certain online activity has also been considered a public act. For example, where someone posts: </w:t>
      </w:r>
    </w:p>
    <w:p w14:paraId="34516C1A" w14:textId="77777777" w:rsidR="00FE5562" w:rsidRDefault="00FE5562" w:rsidP="00FE5562">
      <w:pPr>
        <w:pStyle w:val="Normalbullet"/>
      </w:pPr>
      <w:r>
        <w:t>written text on a website that is not password protected</w:t>
      </w:r>
      <w:r>
        <w:rPr>
          <w:rStyle w:val="FootnoteReference"/>
        </w:rPr>
        <w:footnoteReference w:id="887"/>
      </w:r>
    </w:p>
    <w:p w14:paraId="32ACF49E" w14:textId="77777777" w:rsidR="00FE5562" w:rsidRDefault="00FE5562" w:rsidP="00FE5562">
      <w:pPr>
        <w:pStyle w:val="Normalbullet"/>
      </w:pPr>
      <w:r>
        <w:t>written text on a public Facebook page or</w:t>
      </w:r>
      <w:r w:rsidRPr="005D7EE3">
        <w:rPr>
          <w:rFonts w:ascii="Public Sans Light" w:hAnsi="Public Sans Light"/>
          <w:lang w:val="en-GB"/>
        </w:rPr>
        <w:t xml:space="preserve"> </w:t>
      </w:r>
      <w:r w:rsidRPr="005D7EE3">
        <w:rPr>
          <w:lang w:val="en-GB"/>
        </w:rPr>
        <w:t>one that has an audience of “a number of people”</w:t>
      </w:r>
      <w:r>
        <w:rPr>
          <w:lang w:val="en-GB"/>
        </w:rPr>
        <w:t>,</w:t>
      </w:r>
      <w:r>
        <w:rPr>
          <w:rStyle w:val="FootnoteReference"/>
        </w:rPr>
        <w:footnoteReference w:id="888"/>
      </w:r>
      <w:r>
        <w:rPr>
          <w:lang w:val="en-GB"/>
        </w:rPr>
        <w:t xml:space="preserve"> or</w:t>
      </w:r>
    </w:p>
    <w:p w14:paraId="30311CB4" w14:textId="77777777" w:rsidR="00FE5562" w:rsidRDefault="00FE5562" w:rsidP="00FE5562">
      <w:pPr>
        <w:pStyle w:val="Normalbullet"/>
      </w:pPr>
      <w:r>
        <w:t>a link on a public website to another website containing vilifying material, with an express invitation to access that link.</w:t>
      </w:r>
      <w:r>
        <w:rPr>
          <w:rStyle w:val="FootnoteReference"/>
        </w:rPr>
        <w:footnoteReference w:id="889"/>
      </w:r>
    </w:p>
    <w:p w14:paraId="6726EDEB" w14:textId="77777777" w:rsidR="00FE5562" w:rsidRDefault="00FE5562" w:rsidP="00FE5562">
      <w:pPr>
        <w:pStyle w:val="NormalAutoChapter"/>
        <w:tabs>
          <w:tab w:val="num" w:pos="2705"/>
        </w:tabs>
      </w:pPr>
      <w:r>
        <w:t>While broad, the definition of public act is not unlimited. For instance, a statement made in a school staff muster meeting was found not be a public act. This was because the meetings were not open to the public.</w:t>
      </w:r>
      <w:r>
        <w:rPr>
          <w:rStyle w:val="FootnoteReference"/>
        </w:rPr>
        <w:footnoteReference w:id="890"/>
      </w:r>
      <w:r>
        <w:t xml:space="preserve"> </w:t>
      </w:r>
    </w:p>
    <w:p w14:paraId="5B8249FA" w14:textId="77777777" w:rsidR="00FE5562" w:rsidRDefault="00FE5562" w:rsidP="00FE5562">
      <w:pPr>
        <w:pStyle w:val="NormalAutoChapter"/>
        <w:tabs>
          <w:tab w:val="num" w:pos="2705"/>
        </w:tabs>
      </w:pPr>
      <w:r>
        <w:t xml:space="preserve">Also, the definition does not apply to all online acts. For instance, </w:t>
      </w:r>
      <w:r w:rsidRPr="000E6324">
        <w:rPr>
          <w:lang w:val="en-GB"/>
        </w:rPr>
        <w:t>social media posts directed at smaller, private audiences may not be public acts. The Tribunal has commented that posting a link to a website that contains vilifying material on a private Facebook page will not, in and of itself, be a public act.</w:t>
      </w:r>
      <w:r>
        <w:rPr>
          <w:rStyle w:val="FootnoteReference"/>
          <w:lang w:val="en-GB"/>
        </w:rPr>
        <w:footnoteReference w:id="891"/>
      </w:r>
    </w:p>
    <w:p w14:paraId="305CF475" w14:textId="77777777" w:rsidR="00FE5562" w:rsidRDefault="00FE5562" w:rsidP="00FE5562">
      <w:pPr>
        <w:pStyle w:val="Heading2"/>
      </w:pPr>
      <w:bookmarkStart w:id="390" w:name="_Toc196746775"/>
      <w:bookmarkStart w:id="391" w:name="_Toc196826929"/>
      <w:r>
        <w:lastRenderedPageBreak/>
        <w:t>Options for clarifying the definition</w:t>
      </w:r>
      <w:bookmarkEnd w:id="390"/>
      <w:bookmarkEnd w:id="391"/>
      <w:r>
        <w:t xml:space="preserve"> </w:t>
      </w:r>
    </w:p>
    <w:p w14:paraId="791AF0E9" w14:textId="77777777" w:rsidR="00FE5562" w:rsidRDefault="00FE5562" w:rsidP="00FE5562">
      <w:pPr>
        <w:pStyle w:val="NormalAutoChapter"/>
        <w:tabs>
          <w:tab w:val="num" w:pos="2705"/>
        </w:tabs>
      </w:pPr>
      <w:r>
        <w:t>Views differ about whether the ADA’s definition of “public act” is appropriate and effective. Some think it is too narrow, unclear, inconsistent and inadequate in its application to online acts.</w:t>
      </w:r>
      <w:r>
        <w:rPr>
          <w:rStyle w:val="FootnoteReference"/>
        </w:rPr>
        <w:footnoteReference w:id="892"/>
      </w:r>
      <w:r>
        <w:t xml:space="preserve"> Others think the definition is too broad and should be narrowed to preserve freedom of speech and religion.</w:t>
      </w:r>
      <w:r>
        <w:rPr>
          <w:rStyle w:val="FootnoteReference"/>
        </w:rPr>
        <w:footnoteReference w:id="893"/>
      </w:r>
      <w:r>
        <w:t xml:space="preserve"> </w:t>
      </w:r>
    </w:p>
    <w:p w14:paraId="199914A1" w14:textId="77777777" w:rsidR="00FE5562" w:rsidRDefault="00FE5562" w:rsidP="00FE5562">
      <w:pPr>
        <w:pStyle w:val="NormalAutoChapter"/>
        <w:tabs>
          <w:tab w:val="num" w:pos="2705"/>
        </w:tabs>
      </w:pPr>
      <w:r>
        <w:t xml:space="preserve">In our recent review of s 93Z of the </w:t>
      </w:r>
      <w:r w:rsidRPr="005D0DA6">
        <w:rPr>
          <w:i/>
          <w:iCs/>
        </w:rPr>
        <w:t>Crimes Act</w:t>
      </w:r>
      <w:r>
        <w:t xml:space="preserve">, we examined whether the definition of public act in this criminal vilification offence should be amended. We considered a range of potential reform options suggested in submissions and drawn from our research of the law in other states, territories and federally. </w:t>
      </w:r>
    </w:p>
    <w:p w14:paraId="20B9333D" w14:textId="4416166A" w:rsidR="00FE5562" w:rsidRDefault="00FE5562" w:rsidP="00FE5562">
      <w:pPr>
        <w:pStyle w:val="NormalAutoChapter"/>
        <w:tabs>
          <w:tab w:val="num" w:pos="2705"/>
        </w:tabs>
      </w:pPr>
      <w:r>
        <w:t>We concluded it was unnecessary to amend the definition. We considered it appropriately broad and flexible, with scope for argument on a case-by-case basis. The definition is well-established in NSW, and we expressed concern that any attempt to amend it may lead to unnecessary complications.</w:t>
      </w:r>
      <w:r>
        <w:rPr>
          <w:rStyle w:val="FootnoteReference"/>
        </w:rPr>
        <w:footnoteReference w:id="894"/>
      </w:r>
      <w:r>
        <w:t xml:space="preserve">  </w:t>
      </w:r>
    </w:p>
    <w:p w14:paraId="7BEF8153" w14:textId="10FBEC60" w:rsidR="00FE5562" w:rsidRDefault="00FE5562" w:rsidP="00FE5562">
      <w:pPr>
        <w:pStyle w:val="NormalAutoChapter"/>
        <w:tabs>
          <w:tab w:val="num" w:pos="2705"/>
        </w:tabs>
      </w:pPr>
      <w:r>
        <w:t xml:space="preserve">The definition of public act in s 93Z was based on the civil definition in the ADA. Given this close relationship, it is likely that these considerations also apply to the ADA. </w:t>
      </w:r>
      <w:r w:rsidRPr="00D03098">
        <w:t xml:space="preserve">However, </w:t>
      </w:r>
      <w:r>
        <w:t>i</w:t>
      </w:r>
      <w:r w:rsidRPr="00D03098">
        <w:t xml:space="preserve">t may be that minor amendments could </w:t>
      </w:r>
      <w:r>
        <w:t>clarify th</w:t>
      </w:r>
      <w:r w:rsidRPr="00D03098">
        <w:t xml:space="preserve">e </w:t>
      </w:r>
      <w:r w:rsidR="00900A80">
        <w:t xml:space="preserve">civil </w:t>
      </w:r>
      <w:r w:rsidRPr="00D03098">
        <w:t>definition.</w:t>
      </w:r>
      <w:r>
        <w:t xml:space="preserve"> </w:t>
      </w:r>
    </w:p>
    <w:p w14:paraId="2E414903" w14:textId="18878725" w:rsidR="00FE5562" w:rsidRPr="006E0513" w:rsidRDefault="00FE5562" w:rsidP="00FE5562">
      <w:pPr>
        <w:pStyle w:val="NormalAutoChapter"/>
        <w:tabs>
          <w:tab w:val="num" w:pos="2705"/>
        </w:tabs>
        <w:rPr>
          <w:color w:val="auto"/>
        </w:rPr>
      </w:pPr>
      <w:r w:rsidRPr="006E0513">
        <w:rPr>
          <w:color w:val="auto"/>
        </w:rPr>
        <w:t>One option could be to further harmonise the ADA’s definition of public act with the definition in s 93Z.</w:t>
      </w:r>
      <w:r w:rsidRPr="006644FC">
        <w:rPr>
          <w:rStyle w:val="FootnoteReference"/>
          <w:color w:val="auto"/>
        </w:rPr>
        <w:footnoteReference w:id="895"/>
      </w:r>
      <w:r w:rsidRPr="006E0513">
        <w:rPr>
          <w:color w:val="auto"/>
        </w:rPr>
        <w:t xml:space="preserve"> Although the definitions are similar, there are some differences. Unlike the ADA, s 93Z expressly clarifies that a public act can include: </w:t>
      </w:r>
    </w:p>
    <w:p w14:paraId="199AB54F" w14:textId="77777777" w:rsidR="00FE5562" w:rsidRDefault="00FE5562" w:rsidP="00FE5562">
      <w:pPr>
        <w:pStyle w:val="Normalbullet"/>
      </w:pPr>
      <w:r w:rsidRPr="00CE0083">
        <w:t xml:space="preserve">communicating through social media and other electronic means </w:t>
      </w:r>
    </w:p>
    <w:p w14:paraId="5F2A5A89" w14:textId="77777777" w:rsidR="00FE5562" w:rsidRPr="00CE0083" w:rsidRDefault="00FE5562" w:rsidP="00FE5562">
      <w:pPr>
        <w:pStyle w:val="Normalbullet"/>
      </w:pPr>
      <w:r>
        <w:t xml:space="preserve">graffiti, and  </w:t>
      </w:r>
    </w:p>
    <w:p w14:paraId="76E01481" w14:textId="77777777" w:rsidR="00FE5562" w:rsidRPr="00CE0083" w:rsidRDefault="00FE5562" w:rsidP="00FE5562">
      <w:pPr>
        <w:pStyle w:val="Normalbullet"/>
      </w:pPr>
      <w:r w:rsidRPr="00CE0083">
        <w:t>acts that occur on private land</w:t>
      </w:r>
      <w:r>
        <w:t>.</w:t>
      </w:r>
      <w:r w:rsidRPr="00CE0083">
        <w:rPr>
          <w:rStyle w:val="FootnoteReference"/>
        </w:rPr>
        <w:footnoteReference w:id="896"/>
      </w:r>
    </w:p>
    <w:p w14:paraId="0D7F97CC" w14:textId="77777777" w:rsidR="00FE5562" w:rsidRPr="00D03098" w:rsidRDefault="00FE5562" w:rsidP="00FE5562">
      <w:pPr>
        <w:pStyle w:val="NormalAutoChapter"/>
        <w:tabs>
          <w:tab w:val="num" w:pos="2705"/>
        </w:tabs>
        <w:rPr>
          <w:lang w:eastAsia="en-US"/>
        </w:rPr>
      </w:pPr>
      <w:r>
        <w:rPr>
          <w:lang w:eastAsia="en-US"/>
        </w:rPr>
        <w:t>The reference to graffiti was added to s 93Z in March 2025</w:t>
      </w:r>
      <w:r w:rsidRPr="00D03098">
        <w:rPr>
          <w:lang w:eastAsia="en-US"/>
        </w:rPr>
        <w:t>.</w:t>
      </w:r>
      <w:r w:rsidRPr="00D03098">
        <w:rPr>
          <w:rStyle w:val="FootnoteReference"/>
          <w:lang w:eastAsia="en-US"/>
        </w:rPr>
        <w:footnoteReference w:id="897"/>
      </w:r>
      <w:r>
        <w:rPr>
          <w:lang w:eastAsia="en-US"/>
        </w:rPr>
        <w:t xml:space="preserve"> </w:t>
      </w:r>
    </w:p>
    <w:p w14:paraId="72EF1531" w14:textId="2578BF6F" w:rsidR="00FE5562" w:rsidRPr="001A4653" w:rsidRDefault="00FE5562" w:rsidP="00FE5562">
      <w:pPr>
        <w:pStyle w:val="NormalAutoChapter"/>
        <w:tabs>
          <w:tab w:val="num" w:pos="2705"/>
        </w:tabs>
        <w:rPr>
          <w:lang w:eastAsia="en-US"/>
        </w:rPr>
      </w:pPr>
      <w:r>
        <w:rPr>
          <w:color w:val="auto"/>
          <w:lang w:eastAsia="en-US"/>
        </w:rPr>
        <w:t xml:space="preserve">Making similar amendments to the ADA could lead to further alignment between the civil and criminal vilification regimes in NSW. It would address the </w:t>
      </w:r>
      <w:r w:rsidR="007A0744">
        <w:rPr>
          <w:color w:val="auto"/>
          <w:lang w:eastAsia="en-US"/>
        </w:rPr>
        <w:t xml:space="preserve">situation that </w:t>
      </w:r>
      <w:r w:rsidR="007A0744">
        <w:rPr>
          <w:color w:val="auto"/>
          <w:lang w:eastAsia="en-US"/>
        </w:rPr>
        <w:lastRenderedPageBreak/>
        <w:t xml:space="preserve">the </w:t>
      </w:r>
      <w:r>
        <w:rPr>
          <w:color w:val="auto"/>
          <w:lang w:eastAsia="en-US"/>
        </w:rPr>
        <w:t xml:space="preserve">definition in the criminal legislation </w:t>
      </w:r>
      <w:r w:rsidR="007A0744">
        <w:rPr>
          <w:color w:val="auto"/>
          <w:lang w:eastAsia="en-US"/>
        </w:rPr>
        <w:t xml:space="preserve">is </w:t>
      </w:r>
      <w:r>
        <w:rPr>
          <w:color w:val="auto"/>
          <w:lang w:eastAsia="en-US"/>
        </w:rPr>
        <w:t xml:space="preserve">expressed in wider terms than in the civil legislation. </w:t>
      </w:r>
    </w:p>
    <w:p w14:paraId="590CFFD2" w14:textId="77777777" w:rsidR="00FE5562" w:rsidRPr="00126F5D" w:rsidRDefault="00FE5562" w:rsidP="00FE5562">
      <w:pPr>
        <w:pStyle w:val="NormalAutoChapter"/>
        <w:tabs>
          <w:tab w:val="num" w:pos="2705"/>
        </w:tabs>
        <w:rPr>
          <w:lang w:eastAsia="en-US"/>
        </w:rPr>
      </w:pPr>
      <w:r>
        <w:rPr>
          <w:color w:val="auto"/>
          <w:lang w:eastAsia="en-US"/>
        </w:rPr>
        <w:t>However, to the extent it would reflect existing interpretations of the ADA, it may not practically change the law. For instance, certain conduct involving graffiti has been held to be a “form of communication to the public” for the purpose of a homosexual vilification claim under the ADA.</w:t>
      </w:r>
      <w:r>
        <w:rPr>
          <w:rStyle w:val="FootnoteReference"/>
          <w:color w:val="auto"/>
          <w:lang w:eastAsia="en-US"/>
        </w:rPr>
        <w:footnoteReference w:id="898"/>
      </w:r>
    </w:p>
    <w:p w14:paraId="62BF016A" w14:textId="173CA643" w:rsidR="00FE5562" w:rsidRPr="00D94A66" w:rsidRDefault="00FE5562" w:rsidP="00FE5562">
      <w:pPr>
        <w:pStyle w:val="NormalAutoChapter"/>
        <w:tabs>
          <w:tab w:val="num" w:pos="2705"/>
        </w:tabs>
        <w:rPr>
          <w:lang w:eastAsia="en-US"/>
        </w:rPr>
      </w:pPr>
      <w:r>
        <w:rPr>
          <w:color w:val="auto"/>
          <w:lang w:eastAsia="en-US"/>
        </w:rPr>
        <w:t xml:space="preserve">The definitions in </w:t>
      </w:r>
      <w:r w:rsidR="00410915">
        <w:rPr>
          <w:color w:val="auto"/>
          <w:lang w:eastAsia="en-US"/>
        </w:rPr>
        <w:t xml:space="preserve">the </w:t>
      </w:r>
      <w:r>
        <w:rPr>
          <w:color w:val="auto"/>
          <w:lang w:eastAsia="en-US"/>
        </w:rPr>
        <w:t>ADA and s 93Z also differ in their approach to the “distribution or dissemination of any matter to the public”. To be considered a public act, the ADA requires this be done “</w:t>
      </w:r>
      <w:r w:rsidRPr="00D94A66">
        <w:rPr>
          <w:color w:val="auto"/>
        </w:rPr>
        <w:t>with knowledge that the matter promotes or expresses</w:t>
      </w:r>
      <w:r>
        <w:rPr>
          <w:color w:val="auto"/>
        </w:rPr>
        <w:t>”</w:t>
      </w:r>
      <w:r w:rsidRPr="00D94A66">
        <w:rPr>
          <w:color w:val="auto"/>
        </w:rPr>
        <w:t xml:space="preserve"> vilification.</w:t>
      </w:r>
      <w:r w:rsidRPr="005D0DA6">
        <w:rPr>
          <w:rStyle w:val="FootnoteReference"/>
          <w:color w:val="auto"/>
        </w:rPr>
        <w:footnoteReference w:id="899"/>
      </w:r>
      <w:r>
        <w:rPr>
          <w:i/>
          <w:iCs/>
          <w:color w:val="auto"/>
        </w:rPr>
        <w:t xml:space="preserve"> </w:t>
      </w:r>
      <w:r>
        <w:rPr>
          <w:color w:val="auto"/>
        </w:rPr>
        <w:t>Section 93Z does not require that the person distributing or disseminating the material had knowledge that it promotes or expresses vilification.</w:t>
      </w:r>
      <w:r>
        <w:rPr>
          <w:rStyle w:val="FootnoteReference"/>
          <w:color w:val="auto"/>
        </w:rPr>
        <w:footnoteReference w:id="900"/>
      </w:r>
    </w:p>
    <w:p w14:paraId="54A62F73" w14:textId="0FC33487" w:rsidR="00FE5562" w:rsidRDefault="00FE5562" w:rsidP="00FE5562">
      <w:pPr>
        <w:pStyle w:val="NormalAutoChapter"/>
        <w:tabs>
          <w:tab w:val="num" w:pos="2705"/>
        </w:tabs>
      </w:pPr>
      <w:r>
        <w:rPr>
          <w:lang w:eastAsia="en-US"/>
        </w:rPr>
        <w:t xml:space="preserve">In 1999, the NSWLRC reported that the ADA’s knowledge requirement </w:t>
      </w:r>
      <w:r w:rsidRPr="004C5786">
        <w:t>“prevents those innocently distributing material, without being aware of its contents,</w:t>
      </w:r>
      <w:r>
        <w:t xml:space="preserve"> </w:t>
      </w:r>
      <w:r w:rsidRPr="004C5786">
        <w:rPr>
          <w:lang w:eastAsia="en-US"/>
        </w:rPr>
        <w:t>from being liable”</w:t>
      </w:r>
      <w:r>
        <w:rPr>
          <w:lang w:eastAsia="en-US"/>
        </w:rPr>
        <w:t>.</w:t>
      </w:r>
      <w:r>
        <w:rPr>
          <w:rStyle w:val="FootnoteReference"/>
          <w:lang w:eastAsia="en-US"/>
        </w:rPr>
        <w:footnoteReference w:id="901"/>
      </w:r>
      <w:r>
        <w:rPr>
          <w:lang w:eastAsia="en-US"/>
        </w:rPr>
        <w:t xml:space="preserve"> It is not clear why this requirement was not included in s 93Z, although it may relate to the mental elements of knowledge and recklessness that apply to this offence. Regardless, this indicates that the differences between the civil and criminal contexts may need consideration if alignment between the two definitions is </w:t>
      </w:r>
      <w:r w:rsidR="007A0744">
        <w:rPr>
          <w:lang w:eastAsia="en-US"/>
        </w:rPr>
        <w:t>contemplated</w:t>
      </w:r>
      <w:r>
        <w:rPr>
          <w:lang w:eastAsia="en-US"/>
        </w:rPr>
        <w:t xml:space="preserve">. </w:t>
      </w:r>
    </w:p>
    <w:p w14:paraId="067736DB" w14:textId="77777777" w:rsidR="00FE5562" w:rsidRDefault="00FE5562" w:rsidP="00FE5562">
      <w:pPr>
        <w:pStyle w:val="NormalAutoChapter"/>
        <w:tabs>
          <w:tab w:val="num" w:pos="2705"/>
        </w:tabs>
      </w:pPr>
      <w:r>
        <w:t>Other developments in Victoria and Queensland could also be considered. The Victorian amendments include a definition of “public conduct” based on the s 93Z definition of “public act”.</w:t>
      </w:r>
      <w:r w:rsidRPr="00D03098">
        <w:rPr>
          <w:color w:val="auto"/>
        </w:rPr>
        <w:t xml:space="preserve"> </w:t>
      </w:r>
      <w:r>
        <w:rPr>
          <w:color w:val="auto"/>
        </w:rPr>
        <w:t xml:space="preserve">For avoidance of doubt, the Victorian definition will also provide: </w:t>
      </w:r>
    </w:p>
    <w:p w14:paraId="26802E80" w14:textId="77777777" w:rsidR="00FE5562" w:rsidRDefault="00FE5562" w:rsidP="00FE5562">
      <w:pPr>
        <w:pStyle w:val="Normalbullet"/>
      </w:pPr>
      <w:r>
        <w:t xml:space="preserve">conduct may be public even if it occurs on private property or land, or at a place that is not open to the </w:t>
      </w:r>
      <w:proofErr w:type="gramStart"/>
      <w:r>
        <w:t>general public</w:t>
      </w:r>
      <w:proofErr w:type="gramEnd"/>
      <w:r>
        <w:t xml:space="preserve">, and </w:t>
      </w:r>
    </w:p>
    <w:p w14:paraId="1E84AE28" w14:textId="77777777" w:rsidR="00FE5562" w:rsidRPr="00247F4C" w:rsidRDefault="00FE5562" w:rsidP="00FE5562">
      <w:pPr>
        <w:pStyle w:val="Normalbullet"/>
      </w:pPr>
      <w:r>
        <w:t>a display on a person’s body by means of tattooing or other body modification is not considered “public conduct”.</w:t>
      </w:r>
      <w:r>
        <w:rPr>
          <w:rStyle w:val="FootnoteReference"/>
        </w:rPr>
        <w:footnoteReference w:id="902"/>
      </w:r>
    </w:p>
    <w:p w14:paraId="6319FD36" w14:textId="77777777" w:rsidR="00FE5562" w:rsidRPr="00AD61E4" w:rsidRDefault="00FE5562" w:rsidP="00FE5562">
      <w:pPr>
        <w:pStyle w:val="NormalAutoChapter"/>
        <w:tabs>
          <w:tab w:val="num" w:pos="2705"/>
        </w:tabs>
        <w:rPr>
          <w:color w:val="auto"/>
        </w:rPr>
      </w:pPr>
      <w:r w:rsidRPr="00AD61E4">
        <w:rPr>
          <w:color w:val="auto"/>
        </w:rPr>
        <w:t>The Queensland amendments would also clarify that conduct may still be a public act even if it happens somewhere the public do not ordinarily access.</w:t>
      </w:r>
      <w:r w:rsidRPr="00AD61E4">
        <w:rPr>
          <w:rStyle w:val="FootnoteReference"/>
          <w:color w:val="auto"/>
          <w:lang w:eastAsia="en-US"/>
        </w:rPr>
        <w:footnoteReference w:id="903"/>
      </w:r>
      <w:r w:rsidRPr="00AD61E4">
        <w:rPr>
          <w:color w:val="auto"/>
        </w:rPr>
        <w:t xml:space="preserve"> </w:t>
      </w:r>
    </w:p>
    <w:p w14:paraId="7713E1CC" w14:textId="77777777" w:rsidR="00FE5562" w:rsidRDefault="00FE5562" w:rsidP="00FE5562">
      <w:pPr>
        <w:pStyle w:val="Recommendationheading"/>
      </w:pPr>
      <w:r>
        <w:lastRenderedPageBreak/>
        <w:t>Question 8.3: The definition of “public act”</w:t>
      </w:r>
    </w:p>
    <w:p w14:paraId="50CA3F80" w14:textId="181E3A2F" w:rsidR="00FE5562" w:rsidRPr="00EF0584" w:rsidRDefault="00FE5562" w:rsidP="00FE5562">
      <w:pPr>
        <w:pStyle w:val="Recommendationnormal"/>
      </w:pPr>
      <w:r>
        <w:t>What</w:t>
      </w:r>
      <w:r w:rsidR="00F55080">
        <w:t xml:space="preserve"> changes, if any,</w:t>
      </w:r>
      <w:r>
        <w:t xml:space="preserve"> should be made to the definition of “</w:t>
      </w:r>
      <w:r w:rsidRPr="00EF0584">
        <w:t>public act</w:t>
      </w:r>
      <w:r>
        <w:t xml:space="preserve">” in the test for vilification in the </w:t>
      </w:r>
      <w:r w:rsidRPr="001E1795">
        <w:t>ADA</w:t>
      </w:r>
      <w:r>
        <w:t>?</w:t>
      </w:r>
      <w:r w:rsidRPr="00EF0584">
        <w:t xml:space="preserve"> </w:t>
      </w:r>
    </w:p>
    <w:p w14:paraId="79F2FD05" w14:textId="54198E18" w:rsidR="00FE5562" w:rsidRDefault="00FE5562" w:rsidP="00FE5562">
      <w:pPr>
        <w:pStyle w:val="Heading1"/>
      </w:pPr>
      <w:bookmarkStart w:id="393" w:name="_Toc196746776"/>
      <w:bookmarkStart w:id="394" w:name="_Toc196826930"/>
      <w:r>
        <w:t>Exceptions</w:t>
      </w:r>
      <w:bookmarkEnd w:id="393"/>
      <w:bookmarkEnd w:id="394"/>
    </w:p>
    <w:p w14:paraId="79E19BC1" w14:textId="3B390C32" w:rsidR="00FE5562" w:rsidRDefault="00FE5562" w:rsidP="00FE5562">
      <w:pPr>
        <w:pStyle w:val="NormalAutoChapter"/>
        <w:tabs>
          <w:tab w:val="num" w:pos="2705"/>
        </w:tabs>
      </w:pPr>
      <w:r>
        <w:t>There are a range of exceptions to the ADA’s protections against vilification. Some, such as the general exceptions for religious bodies, apply across the ADA</w:t>
      </w:r>
      <w:r w:rsidR="006C79A0">
        <w:t>,</w:t>
      </w:r>
      <w:r>
        <w:t xml:space="preserve"> including to the prohibitions on vilification. Others apply to both discrimination and vilification, such as the exceptions for</w:t>
      </w:r>
      <w:r w:rsidRPr="002738D9">
        <w:t xml:space="preserve"> </w:t>
      </w:r>
      <w:r>
        <w:t xml:space="preserve">faith-based organisations providing adoption services and the exception relating to transgender people in sport. We outline these broad exceptions in </w:t>
      </w:r>
      <w:r w:rsidRPr="00AD475C">
        <w:t>chapter</w:t>
      </w:r>
      <w:r>
        <w:t xml:space="preserve"> </w:t>
      </w:r>
      <w:r w:rsidRPr="009E579D">
        <w:t>7.</w:t>
      </w:r>
      <w:r>
        <w:t xml:space="preserve">  </w:t>
      </w:r>
    </w:p>
    <w:p w14:paraId="5F212D87" w14:textId="77777777" w:rsidR="00FE5562" w:rsidRDefault="00FE5562" w:rsidP="00FE5562">
      <w:pPr>
        <w:pStyle w:val="NormalAutoChapter"/>
        <w:tabs>
          <w:tab w:val="num" w:pos="2705"/>
        </w:tabs>
      </w:pPr>
      <w:r>
        <w:t>Other exceptions apply specifically to vilification. The prohibitions on vilification do not apply to:</w:t>
      </w:r>
    </w:p>
    <w:p w14:paraId="16DC7BF9" w14:textId="77777777" w:rsidR="00FE5562" w:rsidRDefault="00FE5562" w:rsidP="00FE5562">
      <w:pPr>
        <w:pStyle w:val="Normalbullet"/>
      </w:pPr>
      <w:r>
        <w:t xml:space="preserve">a fair report of a public act of vilification </w:t>
      </w:r>
    </w:p>
    <w:p w14:paraId="238CB076" w14:textId="77777777" w:rsidR="00FE5562" w:rsidRDefault="00FE5562" w:rsidP="00FE5562">
      <w:pPr>
        <w:pStyle w:val="Normalbullet"/>
      </w:pPr>
      <w:r>
        <w:t xml:space="preserve">the communication, distribution or dissemination of any matter that would be subject to a defence of absolute privilege in defamation proceedings, or </w:t>
      </w:r>
    </w:p>
    <w:p w14:paraId="675A70C3" w14:textId="77777777" w:rsidR="00FE5562" w:rsidRDefault="00FE5562" w:rsidP="00FE5562">
      <w:pPr>
        <w:pStyle w:val="Normalbullet"/>
      </w:pPr>
      <w:r>
        <w:t>a public act, done reasonably and in good faith, for certain purposes.</w:t>
      </w:r>
      <w:r>
        <w:rPr>
          <w:rStyle w:val="FootnoteReference"/>
        </w:rPr>
        <w:footnoteReference w:id="904"/>
      </w:r>
      <w:r>
        <w:t xml:space="preserve"> </w:t>
      </w:r>
    </w:p>
    <w:p w14:paraId="13A4D723" w14:textId="77777777" w:rsidR="00FE5562" w:rsidRDefault="00FE5562" w:rsidP="00FE5562">
      <w:pPr>
        <w:pStyle w:val="Heading2"/>
      </w:pPr>
      <w:bookmarkStart w:id="395" w:name="_Toc196746777"/>
      <w:bookmarkStart w:id="396" w:name="_Toc196826931"/>
      <w:r>
        <w:t>“Fair report” and “absolute privilege for defamation” exceptions</w:t>
      </w:r>
      <w:bookmarkEnd w:id="395"/>
      <w:bookmarkEnd w:id="396"/>
      <w:r>
        <w:t xml:space="preserve"> </w:t>
      </w:r>
    </w:p>
    <w:p w14:paraId="35DE1B94" w14:textId="77777777" w:rsidR="00FE5562" w:rsidRDefault="00FE5562" w:rsidP="00FE5562">
      <w:pPr>
        <w:pStyle w:val="NormalAutoChapter"/>
        <w:tabs>
          <w:tab w:val="num" w:pos="2705"/>
        </w:tabs>
      </w:pPr>
      <w:r>
        <w:t>The first category of exceptions applies to “a fair report” of an act of vilification. The purpose of this exception is to allow the media to report freely, provided the reporting is fair and factual.</w:t>
      </w:r>
      <w:r>
        <w:rPr>
          <w:rStyle w:val="FootnoteReference"/>
        </w:rPr>
        <w:footnoteReference w:id="905"/>
      </w:r>
    </w:p>
    <w:p w14:paraId="24D4C9A5" w14:textId="6FD366CF" w:rsidR="00FE5562" w:rsidRDefault="00FE5562" w:rsidP="00FE5562">
      <w:pPr>
        <w:pStyle w:val="NormalAutoChapter"/>
        <w:tabs>
          <w:tab w:val="num" w:pos="2705"/>
        </w:tabs>
      </w:pPr>
      <w:r>
        <w:t>In 1999, the NSWLRC recommended that the Anti-Discrimination Board (now known as Anti-Discrimination NSW</w:t>
      </w:r>
      <w:r w:rsidR="006C79A0">
        <w:t xml:space="preserve"> or “ADNSW”</w:t>
      </w:r>
      <w:r>
        <w:t>) should have the power to create guidelines on what is a fair report.</w:t>
      </w:r>
      <w:r>
        <w:rPr>
          <w:rStyle w:val="FootnoteReference"/>
        </w:rPr>
        <w:footnoteReference w:id="906"/>
      </w:r>
      <w:r>
        <w:t xml:space="preserve"> </w:t>
      </w:r>
      <w:r w:rsidRPr="00DE65E0">
        <w:t xml:space="preserve">This </w:t>
      </w:r>
      <w:r>
        <w:t>was not implemented</w:t>
      </w:r>
      <w:r w:rsidRPr="00DE65E0">
        <w:t xml:space="preserve"> and may be an option for consideration </w:t>
      </w:r>
      <w:r>
        <w:t xml:space="preserve">regarding </w:t>
      </w:r>
      <w:r w:rsidRPr="00DE65E0">
        <w:t xml:space="preserve">the powers and functions of ADNSW. We will detail these powers and functions in our </w:t>
      </w:r>
      <w:r>
        <w:t xml:space="preserve">second </w:t>
      </w:r>
      <w:r w:rsidRPr="009E579D">
        <w:t>consultation paper in</w:t>
      </w:r>
      <w:r>
        <w:t xml:space="preserve"> this review</w:t>
      </w:r>
      <w:r w:rsidRPr="00DE65E0">
        <w:t>.</w:t>
      </w:r>
    </w:p>
    <w:p w14:paraId="1248805B" w14:textId="77777777" w:rsidR="00FE5562" w:rsidRDefault="00FE5562" w:rsidP="00FE5562">
      <w:pPr>
        <w:pStyle w:val="NormalAutoChapter"/>
        <w:tabs>
          <w:tab w:val="num" w:pos="2705"/>
        </w:tabs>
      </w:pPr>
      <w:r>
        <w:t xml:space="preserve">The second category of exceptions concerns the defence of absolute privilege to defamation. It is a defence to a claim of defamation if the defendant can prove that the material in question was published on an occasion of “absolute privilege”. The defence only covers certain situations, and in some cases, certain people or bodies. </w:t>
      </w:r>
      <w:r>
        <w:lastRenderedPageBreak/>
        <w:t>For example, a person may have a defence of absolute privilege if the communication was made:</w:t>
      </w:r>
    </w:p>
    <w:p w14:paraId="0270EC7E" w14:textId="77777777" w:rsidR="00FE5562" w:rsidRDefault="00FE5562" w:rsidP="00FE5562">
      <w:pPr>
        <w:pStyle w:val="Normalbullet"/>
      </w:pPr>
      <w:r>
        <w:t>during the proceedings of a parliamentary body</w:t>
      </w:r>
    </w:p>
    <w:p w14:paraId="412D518D" w14:textId="77777777" w:rsidR="00FE5562" w:rsidRDefault="00FE5562" w:rsidP="00FE5562">
      <w:pPr>
        <w:pStyle w:val="Normalbullet"/>
      </w:pPr>
      <w:r>
        <w:t>during the proceedings of an Australian court or tribunal, or</w:t>
      </w:r>
    </w:p>
    <w:p w14:paraId="029E5569" w14:textId="77777777" w:rsidR="00FE5562" w:rsidRDefault="00FE5562" w:rsidP="00FE5562">
      <w:pPr>
        <w:pStyle w:val="Normalbullet"/>
      </w:pPr>
      <w:r>
        <w:t>to a police officer while the officer is acting in their official capacity.</w:t>
      </w:r>
      <w:r>
        <w:rPr>
          <w:rStyle w:val="FootnoteReference"/>
        </w:rPr>
        <w:footnoteReference w:id="907"/>
      </w:r>
    </w:p>
    <w:p w14:paraId="0F3F56B1" w14:textId="77777777" w:rsidR="00FE5562" w:rsidRDefault="00FE5562" w:rsidP="00FE5562">
      <w:pPr>
        <w:pStyle w:val="NormalAutoChapter"/>
        <w:tabs>
          <w:tab w:val="num" w:pos="2705"/>
        </w:tabs>
      </w:pPr>
      <w:r>
        <w:t>In 1999, the NSWLRC considered this exception should remain.</w:t>
      </w:r>
      <w:r>
        <w:rPr>
          <w:rStyle w:val="FootnoteReference"/>
        </w:rPr>
        <w:footnoteReference w:id="908"/>
      </w:r>
    </w:p>
    <w:p w14:paraId="0BED8AF7" w14:textId="77777777" w:rsidR="00FE5562" w:rsidRDefault="00FE5562" w:rsidP="00FE5562">
      <w:pPr>
        <w:pStyle w:val="Heading2"/>
      </w:pPr>
      <w:bookmarkStart w:id="397" w:name="_Toc196746778"/>
      <w:bookmarkStart w:id="398" w:name="_Toc196826932"/>
      <w:r>
        <w:t>The public interest exceptions</w:t>
      </w:r>
      <w:bookmarkEnd w:id="397"/>
      <w:bookmarkEnd w:id="398"/>
    </w:p>
    <w:p w14:paraId="32F8D4DD" w14:textId="77777777" w:rsidR="00FE5562" w:rsidRPr="00CC6638" w:rsidRDefault="00FE5562" w:rsidP="00FE5562">
      <w:pPr>
        <w:pStyle w:val="NormalAutoChapter"/>
        <w:rPr>
          <w:strike/>
          <w:color w:val="auto"/>
        </w:rPr>
      </w:pPr>
      <w:r>
        <w:t>The third category of exceptions aims to allow acts and discussions to occur when there is a public interest justification. They are designed to achieve a balance between the right to free speech, and the right to live free from vilification and the harms it causes.</w:t>
      </w:r>
      <w:r>
        <w:rPr>
          <w:rStyle w:val="FootnoteReference"/>
        </w:rPr>
        <w:footnoteReference w:id="909"/>
      </w:r>
      <w:r>
        <w:t xml:space="preserve"> </w:t>
      </w:r>
    </w:p>
    <w:p w14:paraId="0F0ADF6E" w14:textId="77777777" w:rsidR="00FE5562" w:rsidRDefault="00FE5562" w:rsidP="00FE5562">
      <w:pPr>
        <w:pStyle w:val="NormalAutoChapter"/>
        <w:tabs>
          <w:tab w:val="clear" w:pos="720"/>
          <w:tab w:val="num" w:pos="1146"/>
        </w:tabs>
      </w:pPr>
      <w:r>
        <w:t>Generally, each of the public interest exceptions in the ADA apply to</w:t>
      </w:r>
      <w:r w:rsidRPr="009938E6">
        <w:t xml:space="preserve"> public act</w:t>
      </w:r>
      <w:r>
        <w:t>s</w:t>
      </w:r>
      <w:r w:rsidRPr="009938E6">
        <w:t>, done reasonably and in good faith, for</w:t>
      </w:r>
      <w:r>
        <w:t>:</w:t>
      </w:r>
    </w:p>
    <w:p w14:paraId="2F2A3AD4" w14:textId="77777777" w:rsidR="00FE5562" w:rsidRDefault="00FE5562" w:rsidP="00FE5562">
      <w:pPr>
        <w:pStyle w:val="Normalbullet"/>
      </w:pPr>
      <w:r>
        <w:t>a</w:t>
      </w:r>
      <w:r w:rsidRPr="009938E6">
        <w:t>cademic</w:t>
      </w:r>
      <w:r>
        <w:t>, artistic, scientific or research purposes, or</w:t>
      </w:r>
    </w:p>
    <w:p w14:paraId="021FB5E1" w14:textId="77777777" w:rsidR="00FE5562" w:rsidRPr="00B02B9A" w:rsidRDefault="00FE5562" w:rsidP="00FE5562">
      <w:pPr>
        <w:pStyle w:val="Normalbullet"/>
      </w:pPr>
      <w:r w:rsidRPr="009938E6">
        <w:t>other purposes in the public interest including discussion or debate about</w:t>
      </w:r>
      <w:r>
        <w:t>,</w:t>
      </w:r>
      <w:r w:rsidRPr="009938E6">
        <w:t xml:space="preserve"> and expositions of</w:t>
      </w:r>
      <w:r>
        <w:t>,</w:t>
      </w:r>
      <w:r w:rsidRPr="009938E6">
        <w:t xml:space="preserve"> any act or matter</w:t>
      </w:r>
      <w:r>
        <w:t>.</w:t>
      </w:r>
      <w:r>
        <w:rPr>
          <w:rStyle w:val="FootnoteReference"/>
        </w:rPr>
        <w:footnoteReference w:id="910"/>
      </w:r>
    </w:p>
    <w:p w14:paraId="15912A92" w14:textId="77777777" w:rsidR="00FE5562" w:rsidRDefault="00FE5562" w:rsidP="00FE5562">
      <w:pPr>
        <w:pStyle w:val="NormalAutoChapter"/>
        <w:tabs>
          <w:tab w:val="clear" w:pos="720"/>
          <w:tab w:val="num" w:pos="1146"/>
        </w:tabs>
      </w:pPr>
      <w:r>
        <w:t xml:space="preserve">As we discuss below, the public interest exceptions for homosexual, transgender grounds, HIV/AIDS and religious vilification also refer to certain religious purposes. </w:t>
      </w:r>
    </w:p>
    <w:p w14:paraId="7D1ACE7F" w14:textId="77777777" w:rsidR="00FE5562" w:rsidRDefault="00FE5562" w:rsidP="00FE5562">
      <w:pPr>
        <w:pStyle w:val="Heading3"/>
      </w:pPr>
      <w:r>
        <w:t>Perspectives on the public interest exceptions</w:t>
      </w:r>
    </w:p>
    <w:p w14:paraId="0870DC78" w14:textId="77777777" w:rsidR="00FE5562" w:rsidRDefault="00FE5562" w:rsidP="00FE5562">
      <w:pPr>
        <w:pStyle w:val="NormalAutoChapter"/>
        <w:tabs>
          <w:tab w:val="num" w:pos="2705"/>
        </w:tabs>
      </w:pPr>
      <w:r>
        <w:t>In 1999, the NSWLRC noted the public interest exceptions were appropriate and an important safeguard of the right to freedom of expression.</w:t>
      </w:r>
      <w:r>
        <w:rPr>
          <w:rStyle w:val="FootnoteReference"/>
        </w:rPr>
        <w:footnoteReference w:id="911"/>
      </w:r>
    </w:p>
    <w:p w14:paraId="6CC6A4A8" w14:textId="77777777" w:rsidR="00FE5562" w:rsidRDefault="00FE5562" w:rsidP="00FE5562">
      <w:pPr>
        <w:pStyle w:val="NormalAutoChapter"/>
        <w:tabs>
          <w:tab w:val="num" w:pos="2705"/>
        </w:tabs>
      </w:pPr>
      <w:r>
        <w:t>However, some have argued that the exceptions go too far and do not protect the rights of marginalised groups.</w:t>
      </w:r>
      <w:r>
        <w:rPr>
          <w:rStyle w:val="FootnoteReference"/>
        </w:rPr>
        <w:footnoteReference w:id="912"/>
      </w:r>
      <w:r>
        <w:t xml:space="preserve"> A related view is that the exceptions give a special status to acts done for certain purposes. Some consider this unfair, particularly </w:t>
      </w:r>
      <w:r>
        <w:lastRenderedPageBreak/>
        <w:t>where people engaging in these purposes have significant privilege and acts done for these purposes could inflict harm.</w:t>
      </w:r>
      <w:r>
        <w:rPr>
          <w:rStyle w:val="FootnoteReference"/>
        </w:rPr>
        <w:footnoteReference w:id="913"/>
      </w:r>
      <w:r>
        <w:t xml:space="preserve"> </w:t>
      </w:r>
    </w:p>
    <w:p w14:paraId="1BA7C2A9" w14:textId="77777777" w:rsidR="00FE5562" w:rsidRDefault="00FE5562" w:rsidP="00FE5562">
      <w:pPr>
        <w:pStyle w:val="NormalAutoChapter"/>
        <w:tabs>
          <w:tab w:val="num" w:pos="2705"/>
        </w:tabs>
      </w:pPr>
      <w:r>
        <w:t xml:space="preserve">If it is desirable to narrow the exception, one option could be to qualify that the </w:t>
      </w:r>
      <w:r w:rsidRPr="00566BD8">
        <w:t>academic, artistic, scientific</w:t>
      </w:r>
      <w:r>
        <w:t xml:space="preserve">, religious </w:t>
      </w:r>
      <w:r w:rsidRPr="00566BD8">
        <w:t>or research purpose</w:t>
      </w:r>
      <w:r>
        <w:t xml:space="preserve"> should be “genuine”. Victoria, the NT and the </w:t>
      </w:r>
      <w:r w:rsidRPr="004D491E">
        <w:rPr>
          <w:i/>
          <w:iCs/>
        </w:rPr>
        <w:t xml:space="preserve">Racial Discrimination Act </w:t>
      </w:r>
      <w:r>
        <w:t>take this approach.</w:t>
      </w:r>
      <w:r>
        <w:rPr>
          <w:rStyle w:val="FootnoteReference"/>
        </w:rPr>
        <w:footnoteReference w:id="914"/>
      </w:r>
      <w:r>
        <w:t xml:space="preserve"> </w:t>
      </w:r>
    </w:p>
    <w:p w14:paraId="0DE38A2A" w14:textId="77777777" w:rsidR="00FE5562" w:rsidRDefault="00FE5562" w:rsidP="00FE5562">
      <w:pPr>
        <w:pStyle w:val="NormalAutoChapter"/>
        <w:tabs>
          <w:tab w:val="num" w:pos="2705"/>
        </w:tabs>
      </w:pPr>
      <w:r w:rsidRPr="00B75A5F">
        <w:t>A Victorian Parliamentary Committee recommended that the exception for acts done for any “purpose in the public interest” should also be confined to “genuine” purposes.</w:t>
      </w:r>
      <w:r w:rsidRPr="00B75A5F">
        <w:rPr>
          <w:rStyle w:val="FootnoteReference"/>
        </w:rPr>
        <w:footnoteReference w:id="915"/>
      </w:r>
      <w:r w:rsidRPr="00B75A5F">
        <w:t xml:space="preserve"> The Victorian amendments will introduce this.</w:t>
      </w:r>
      <w:r>
        <w:rPr>
          <w:rStyle w:val="FootnoteReference"/>
        </w:rPr>
        <w:footnoteReference w:id="916"/>
      </w:r>
    </w:p>
    <w:p w14:paraId="6D382CA5" w14:textId="77777777" w:rsidR="00FE5562" w:rsidRDefault="00FE5562" w:rsidP="00FE5562">
      <w:pPr>
        <w:pStyle w:val="NormalAutoChapter"/>
        <w:tabs>
          <w:tab w:val="num" w:pos="2705"/>
        </w:tabs>
      </w:pPr>
      <w:r>
        <w:t xml:space="preserve">On the other hand, adding the word “genuine” might not lead to significant changes in the law’s application. There may also be further uncertainty if the criteria to be used in assessing whether a purpose is “genuine” are unclear. </w:t>
      </w:r>
    </w:p>
    <w:p w14:paraId="1F15A969" w14:textId="77777777" w:rsidR="00FE5562" w:rsidRDefault="00FE5562" w:rsidP="00FE5562">
      <w:pPr>
        <w:pStyle w:val="NormalAutoChapter"/>
        <w:tabs>
          <w:tab w:val="num" w:pos="2705"/>
        </w:tabs>
      </w:pPr>
      <w:r>
        <w:t>The Victorian amendments also provide exceptions for conduct engaged in reasonably and in good faith in:</w:t>
      </w:r>
    </w:p>
    <w:p w14:paraId="1D10D12D" w14:textId="77777777" w:rsidR="00FE5562" w:rsidRDefault="00FE5562" w:rsidP="00FE5562">
      <w:pPr>
        <w:pStyle w:val="Normalbullet"/>
      </w:pPr>
      <w:r>
        <w:t xml:space="preserve">the performance, exhibition or distribution of an artistic work, or </w:t>
      </w:r>
    </w:p>
    <w:p w14:paraId="29356F62" w14:textId="77777777" w:rsidR="00FE5562" w:rsidRDefault="00FE5562" w:rsidP="00FE5562">
      <w:pPr>
        <w:pStyle w:val="Normalbullet"/>
      </w:pPr>
      <w:r>
        <w:t>making or publishing a fair and accurate report of any event or matter of public interest.</w:t>
      </w:r>
      <w:r>
        <w:rPr>
          <w:rStyle w:val="FootnoteReference"/>
        </w:rPr>
        <w:footnoteReference w:id="917"/>
      </w:r>
    </w:p>
    <w:p w14:paraId="01FED9BF" w14:textId="77777777" w:rsidR="00FE5562" w:rsidRPr="00F26940" w:rsidRDefault="00FE5562" w:rsidP="00FE5562">
      <w:pPr>
        <w:pStyle w:val="NormalAutoChapter"/>
        <w:tabs>
          <w:tab w:val="num" w:pos="2705"/>
        </w:tabs>
        <w:rPr>
          <w:color w:val="auto"/>
        </w:rPr>
      </w:pPr>
      <w:r>
        <w:rPr>
          <w:color w:val="0D0D0D" w:themeColor="text1" w:themeTint="F2"/>
        </w:rPr>
        <w:t xml:space="preserve">Another issue </w:t>
      </w:r>
      <w:r w:rsidRPr="00F26940">
        <w:rPr>
          <w:color w:val="0D0D0D" w:themeColor="text1" w:themeTint="F2"/>
        </w:rPr>
        <w:t>is whether the</w:t>
      </w:r>
      <w:r>
        <w:rPr>
          <w:color w:val="0D0D0D" w:themeColor="text1" w:themeTint="F2"/>
        </w:rPr>
        <w:t xml:space="preserve"> public interest exception should extend to </w:t>
      </w:r>
      <w:r w:rsidRPr="00F26940">
        <w:rPr>
          <w:color w:val="0D0D0D" w:themeColor="text1" w:themeTint="F2"/>
        </w:rPr>
        <w:t xml:space="preserve">“fair comment”. Exceptions in the NT and the </w:t>
      </w:r>
      <w:r w:rsidRPr="00F26940">
        <w:rPr>
          <w:i/>
          <w:iCs/>
          <w:color w:val="0D0D0D" w:themeColor="text1" w:themeTint="F2"/>
        </w:rPr>
        <w:t>Racial Discrimination Act</w:t>
      </w:r>
      <w:r w:rsidRPr="00F26940">
        <w:rPr>
          <w:color w:val="0D0D0D" w:themeColor="text1" w:themeTint="F2"/>
        </w:rPr>
        <w:t xml:space="preserve"> extend to “a fair comment on any event or matter of public interest if the comment is an expression of a genuine belief held by the person making the comment”.</w:t>
      </w:r>
      <w:r w:rsidRPr="00292656">
        <w:rPr>
          <w:rStyle w:val="FootnoteReference"/>
          <w:color w:val="auto"/>
        </w:rPr>
        <w:footnoteReference w:id="918"/>
      </w:r>
      <w:r w:rsidRPr="00F26940">
        <w:rPr>
          <w:color w:val="0D0D0D" w:themeColor="text1" w:themeTint="F2"/>
        </w:rPr>
        <w:t xml:space="preserve"> </w:t>
      </w:r>
      <w:r w:rsidRPr="00F26940">
        <w:rPr>
          <w:color w:val="auto"/>
        </w:rPr>
        <w:t>The NSWLRC did not support</w:t>
      </w:r>
      <w:r>
        <w:rPr>
          <w:color w:val="auto"/>
        </w:rPr>
        <w:t xml:space="preserve"> such</w:t>
      </w:r>
      <w:r w:rsidRPr="00F26940">
        <w:rPr>
          <w:color w:val="auto"/>
        </w:rPr>
        <w:t xml:space="preserve"> an exception</w:t>
      </w:r>
      <w:r>
        <w:rPr>
          <w:color w:val="auto"/>
        </w:rPr>
        <w:t xml:space="preserve"> in 1999. </w:t>
      </w:r>
      <w:r w:rsidRPr="00F26940">
        <w:rPr>
          <w:color w:val="auto"/>
        </w:rPr>
        <w:t>It noted concerns that this could exempt any public comments made by someone who believes them to be true, no matter how abusive or offensive they are.</w:t>
      </w:r>
      <w:r w:rsidRPr="00292656">
        <w:rPr>
          <w:rStyle w:val="FootnoteReference"/>
          <w:color w:val="auto"/>
        </w:rPr>
        <w:footnoteReference w:id="919"/>
      </w:r>
      <w:r w:rsidRPr="00F26940">
        <w:rPr>
          <w:color w:val="auto"/>
        </w:rPr>
        <w:t xml:space="preserve"> </w:t>
      </w:r>
    </w:p>
    <w:p w14:paraId="28F43161" w14:textId="77777777" w:rsidR="00FE5562" w:rsidRDefault="00FE5562" w:rsidP="00FE5562">
      <w:pPr>
        <w:pStyle w:val="Heading3"/>
      </w:pPr>
      <w:r>
        <w:lastRenderedPageBreak/>
        <w:t xml:space="preserve">Religious discussion or instruction purposes </w:t>
      </w:r>
    </w:p>
    <w:p w14:paraId="3B172A89" w14:textId="77777777" w:rsidR="00FE5562" w:rsidRPr="006138CD" w:rsidRDefault="00FE5562" w:rsidP="00FE5562">
      <w:pPr>
        <w:pStyle w:val="NormalAutoChapter"/>
        <w:tabs>
          <w:tab w:val="clear" w:pos="720"/>
          <w:tab w:val="num" w:pos="1146"/>
        </w:tabs>
      </w:pPr>
      <w:r>
        <w:t xml:space="preserve">The public interest exception to homosexual vilification extends to acts done for the purposes of “religious instruction”. The </w:t>
      </w:r>
      <w:r w:rsidRPr="00DF5731">
        <w:rPr>
          <w:color w:val="auto"/>
        </w:rPr>
        <w:t xml:space="preserve">exceptions for </w:t>
      </w:r>
      <w:r>
        <w:rPr>
          <w:color w:val="auto"/>
        </w:rPr>
        <w:t xml:space="preserve">vilification based on </w:t>
      </w:r>
      <w:r w:rsidRPr="00DF5731">
        <w:rPr>
          <w:color w:val="auto"/>
        </w:rPr>
        <w:t xml:space="preserve">transgender </w:t>
      </w:r>
      <w:r>
        <w:rPr>
          <w:color w:val="auto"/>
        </w:rPr>
        <w:t>grounds</w:t>
      </w:r>
      <w:r w:rsidRPr="00DF5731">
        <w:rPr>
          <w:color w:val="auto"/>
        </w:rPr>
        <w:t xml:space="preserve">, HIV/AIDS, </w:t>
      </w:r>
      <w:r>
        <w:rPr>
          <w:color w:val="auto"/>
        </w:rPr>
        <w:t>or</w:t>
      </w:r>
      <w:r w:rsidRPr="00DF5731">
        <w:rPr>
          <w:color w:val="auto"/>
        </w:rPr>
        <w:t xml:space="preserve"> religious belief, affiliation or activity apply more broadly to “religious discussion or instruction purposes”.</w:t>
      </w:r>
      <w:r>
        <w:rPr>
          <w:rStyle w:val="FootnoteReference"/>
          <w:color w:val="auto"/>
        </w:rPr>
        <w:footnoteReference w:id="920"/>
      </w:r>
      <w:r>
        <w:rPr>
          <w:color w:val="auto"/>
        </w:rPr>
        <w:t xml:space="preserve"> </w:t>
      </w:r>
    </w:p>
    <w:p w14:paraId="02C7A184" w14:textId="77777777" w:rsidR="00FE5562" w:rsidRPr="00FE5562" w:rsidRDefault="00FE5562" w:rsidP="00FE5562">
      <w:pPr>
        <w:pStyle w:val="NormalAutoChapter"/>
        <w:tabs>
          <w:tab w:val="clear" w:pos="720"/>
          <w:tab w:val="num" w:pos="1146"/>
        </w:tabs>
        <w:rPr>
          <w:color w:val="000000" w:themeColor="text1"/>
        </w:rPr>
      </w:pPr>
      <w:r w:rsidRPr="00FE5562">
        <w:rPr>
          <w:color w:val="000000" w:themeColor="text1"/>
        </w:rPr>
        <w:t>In contrast, the public interest exception to racial vilification in the ADA does not expressly include these purposes. However, the recently enacted NSW offence of publicly inciting racial hatred does not apply to an act that “consists only of directly quoting from or otherwise referencing a religious text for the purpose of religious teaching or discussion”.</w:t>
      </w:r>
      <w:r w:rsidRPr="00FE5562">
        <w:rPr>
          <w:rStyle w:val="FootnoteReference"/>
          <w:color w:val="000000" w:themeColor="text1"/>
        </w:rPr>
        <w:footnoteReference w:id="921"/>
      </w:r>
      <w:r w:rsidRPr="00FE5562">
        <w:rPr>
          <w:color w:val="000000" w:themeColor="text1"/>
        </w:rPr>
        <w:t xml:space="preserve"> </w:t>
      </w:r>
    </w:p>
    <w:p w14:paraId="3F8BECF7" w14:textId="77777777" w:rsidR="00FE5562" w:rsidRDefault="00FE5562" w:rsidP="00FE5562">
      <w:pPr>
        <w:pStyle w:val="NormalAutoChapter"/>
        <w:tabs>
          <w:tab w:val="num" w:pos="2705"/>
        </w:tabs>
      </w:pPr>
      <w:r>
        <w:t xml:space="preserve">The vilification protections in the ACT, the NT, and the </w:t>
      </w:r>
      <w:r w:rsidRPr="00434B6A">
        <w:rPr>
          <w:i/>
          <w:iCs/>
        </w:rPr>
        <w:t>Racial Discrimination Act</w:t>
      </w:r>
      <w:r>
        <w:t xml:space="preserve"> do not provide exceptions for acts done for religious purposes.</w:t>
      </w:r>
      <w:r>
        <w:rPr>
          <w:rStyle w:val="FootnoteReference"/>
        </w:rPr>
        <w:footnoteReference w:id="922"/>
      </w:r>
      <w:r>
        <w:t xml:space="preserve"> </w:t>
      </w:r>
    </w:p>
    <w:p w14:paraId="760E996B" w14:textId="77777777" w:rsidR="00FE5562" w:rsidRDefault="00FE5562" w:rsidP="00FE5562">
      <w:pPr>
        <w:pStyle w:val="NormalAutoChapter"/>
        <w:tabs>
          <w:tab w:val="num" w:pos="2705"/>
        </w:tabs>
      </w:pPr>
      <w:r>
        <w:t>However, the Victorian exception extends to acts done for genuine religious purposes. This is currently defined as including, but not limited to, conveying or teaching a religion or proselytising.</w:t>
      </w:r>
      <w:r>
        <w:rPr>
          <w:rStyle w:val="FootnoteReference"/>
        </w:rPr>
        <w:footnoteReference w:id="923"/>
      </w:r>
      <w:r>
        <w:t xml:space="preserve"> </w:t>
      </w:r>
    </w:p>
    <w:p w14:paraId="29209EF9" w14:textId="77777777" w:rsidR="00FE5562" w:rsidRPr="00B519B6" w:rsidRDefault="00FE5562" w:rsidP="00FE5562">
      <w:pPr>
        <w:pStyle w:val="NormalAutoChapter"/>
        <w:tabs>
          <w:tab w:val="num" w:pos="2705"/>
        </w:tabs>
      </w:pPr>
      <w:r w:rsidRPr="00B519B6">
        <w:rPr>
          <w:color w:val="auto"/>
        </w:rPr>
        <w:t>The Victorian amendments will, upon commencement, clarify that a religious purpose includes, but is not limited to, worship, observance, practice, teaching, preaching and proselytising in conformity with the doctrines, beliefs or principles of that religion.</w:t>
      </w:r>
      <w:r w:rsidRPr="00B519B6">
        <w:rPr>
          <w:rStyle w:val="FootnoteReference"/>
          <w:color w:val="auto"/>
        </w:rPr>
        <w:footnoteReference w:id="924"/>
      </w:r>
      <w:r w:rsidRPr="00B519B6">
        <w:rPr>
          <w:color w:val="auto"/>
        </w:rPr>
        <w:t xml:space="preserve">  </w:t>
      </w:r>
    </w:p>
    <w:p w14:paraId="637F8F18" w14:textId="77777777" w:rsidR="00FE5562" w:rsidRPr="00FE5562" w:rsidRDefault="00FE5562" w:rsidP="00FE5562">
      <w:pPr>
        <w:pStyle w:val="NormalAutoChapter"/>
        <w:tabs>
          <w:tab w:val="clear" w:pos="720"/>
          <w:tab w:val="num" w:pos="1146"/>
        </w:tabs>
        <w:rPr>
          <w:color w:val="000000" w:themeColor="text1"/>
        </w:rPr>
      </w:pPr>
      <w:r w:rsidRPr="00FE5562">
        <w:rPr>
          <w:color w:val="000000" w:themeColor="text1"/>
        </w:rPr>
        <w:t>An issue is whether a religious purposes exception to vilification is necessary or desirable in the ADA. One consideration is that there may be a degree of overlap between these aspects of the public interest exceptions and other exceptions in the ADA. As we discuss in chapter 7, a general exception applies throughout the ADA (including the vilification protections) to the acts or practices of a body established to propagate religion, that:</w:t>
      </w:r>
    </w:p>
    <w:p w14:paraId="2FA1875A" w14:textId="77777777" w:rsidR="00FE5562" w:rsidRPr="00FE5562" w:rsidRDefault="00FE5562" w:rsidP="00FE5562">
      <w:pPr>
        <w:pStyle w:val="Normalbullet"/>
        <w:rPr>
          <w:color w:val="000000" w:themeColor="text1"/>
        </w:rPr>
      </w:pPr>
      <w:r w:rsidRPr="00FE5562">
        <w:rPr>
          <w:color w:val="000000" w:themeColor="text1"/>
        </w:rPr>
        <w:t xml:space="preserve">conforms to the religion’s doctrine, or </w:t>
      </w:r>
    </w:p>
    <w:p w14:paraId="62D2564B" w14:textId="77777777" w:rsidR="00FE5562" w:rsidRPr="00FE5562" w:rsidRDefault="00FE5562" w:rsidP="00FE5562">
      <w:pPr>
        <w:pStyle w:val="Normalbullet"/>
        <w:rPr>
          <w:color w:val="000000" w:themeColor="text1"/>
        </w:rPr>
      </w:pPr>
      <w:r w:rsidRPr="00FE5562">
        <w:rPr>
          <w:color w:val="000000" w:themeColor="text1"/>
        </w:rPr>
        <w:t>is necessary to avoid injury to the religious susceptibilities of adherents of that religion.</w:t>
      </w:r>
      <w:r w:rsidRPr="00FE5562">
        <w:rPr>
          <w:rStyle w:val="FootnoteReference"/>
          <w:color w:val="000000" w:themeColor="text1"/>
        </w:rPr>
        <w:footnoteReference w:id="925"/>
      </w:r>
    </w:p>
    <w:p w14:paraId="3A4569D7" w14:textId="77777777" w:rsidR="00FE5562" w:rsidRPr="00FE5562" w:rsidRDefault="00FE5562" w:rsidP="00FE5562">
      <w:pPr>
        <w:pStyle w:val="NormalAutoChapter"/>
        <w:tabs>
          <w:tab w:val="num" w:pos="2705"/>
        </w:tabs>
        <w:rPr>
          <w:color w:val="000000" w:themeColor="text1"/>
        </w:rPr>
      </w:pPr>
      <w:r w:rsidRPr="00FE5562">
        <w:rPr>
          <w:color w:val="000000" w:themeColor="text1"/>
        </w:rPr>
        <w:lastRenderedPageBreak/>
        <w:t>Another exception excludes the policies and practices of faith-based adoption services from the prohibitions on vilification based on homosexuality and transgender grounds.</w:t>
      </w:r>
      <w:r w:rsidRPr="00FE5562">
        <w:rPr>
          <w:rStyle w:val="FootnoteReference"/>
          <w:color w:val="000000" w:themeColor="text1"/>
        </w:rPr>
        <w:footnoteReference w:id="926"/>
      </w:r>
    </w:p>
    <w:p w14:paraId="13FA3AD8" w14:textId="77777777" w:rsidR="00FE5562" w:rsidRDefault="00FE5562" w:rsidP="00FE5562">
      <w:pPr>
        <w:pStyle w:val="NormalAutoChapter"/>
        <w:tabs>
          <w:tab w:val="num" w:pos="2705"/>
        </w:tabs>
      </w:pPr>
      <w:r>
        <w:t>Others have considered it unnecessary to exempt acts done for religious purposes from vilification protections. The Law Reform Commission of Western Australia concluded that prohibitions on vilification do not unduly prevent individuals from expressing their religious views and opinions. Individuals can hold, and even strongly express, their religious views without this amounting to civil vilification.</w:t>
      </w:r>
      <w:r>
        <w:rPr>
          <w:rStyle w:val="FootnoteReference"/>
        </w:rPr>
        <w:footnoteReference w:id="927"/>
      </w:r>
      <w:r>
        <w:t xml:space="preserve"> </w:t>
      </w:r>
    </w:p>
    <w:p w14:paraId="01B02CDD" w14:textId="77777777" w:rsidR="00FE5562" w:rsidRPr="00E166AE" w:rsidRDefault="00FE5562" w:rsidP="00FE5562">
      <w:pPr>
        <w:pStyle w:val="Recommendationheading"/>
      </w:pPr>
      <w:r w:rsidRPr="00E166AE">
        <w:t>Question</w:t>
      </w:r>
      <w:r>
        <w:t xml:space="preserve"> 8.4</w:t>
      </w:r>
      <w:r w:rsidRPr="00E166AE">
        <w:t xml:space="preserve">: Exceptions </w:t>
      </w:r>
    </w:p>
    <w:p w14:paraId="5EB5DD32" w14:textId="77777777" w:rsidR="00FE5562" w:rsidRPr="002633EC" w:rsidRDefault="00FE5562" w:rsidP="00FE5562">
      <w:pPr>
        <w:pStyle w:val="Recommendationnormal"/>
      </w:pPr>
      <w:r>
        <w:t xml:space="preserve">What if any, changes should be made to the </w:t>
      </w:r>
      <w:r w:rsidRPr="002633EC">
        <w:t xml:space="preserve">exceptions to </w:t>
      </w:r>
      <w:r>
        <w:t xml:space="preserve">the </w:t>
      </w:r>
      <w:r w:rsidRPr="002633EC">
        <w:t>vilification</w:t>
      </w:r>
      <w:r>
        <w:t xml:space="preserve"> protections</w:t>
      </w:r>
      <w:r w:rsidRPr="002633EC">
        <w:t xml:space="preserve"> in the </w:t>
      </w:r>
      <w:r>
        <w:t xml:space="preserve">ADA? </w:t>
      </w:r>
    </w:p>
    <w:p w14:paraId="01F3A8E1" w14:textId="77777777" w:rsidR="00FE5562" w:rsidRPr="00DB5692" w:rsidRDefault="00FE5562" w:rsidP="00FE5562">
      <w:pPr>
        <w:pStyle w:val="Heading1"/>
      </w:pPr>
      <w:bookmarkStart w:id="400" w:name="_Toc196746779"/>
      <w:bookmarkStart w:id="401" w:name="_Toc196826933"/>
      <w:r>
        <w:t>R</w:t>
      </w:r>
      <w:r w:rsidRPr="00DB5692">
        <w:t>eligious vilification</w:t>
      </w:r>
      <w:r>
        <w:t xml:space="preserve"> protections</w:t>
      </w:r>
      <w:bookmarkEnd w:id="400"/>
      <w:bookmarkEnd w:id="401"/>
      <w:r>
        <w:t xml:space="preserve"> </w:t>
      </w:r>
    </w:p>
    <w:p w14:paraId="7BA25E75" w14:textId="77777777" w:rsidR="00FE5562" w:rsidRDefault="00FE5562" w:rsidP="00FE5562">
      <w:pPr>
        <w:pStyle w:val="NormalAutoChapter"/>
        <w:tabs>
          <w:tab w:val="num" w:pos="2705"/>
        </w:tabs>
        <w:rPr>
          <w:color w:val="auto"/>
        </w:rPr>
      </w:pPr>
      <w:r w:rsidRPr="00513B53">
        <w:rPr>
          <w:color w:val="auto"/>
        </w:rPr>
        <w:t>In preliminary submissions to this review</w:t>
      </w:r>
      <w:r>
        <w:rPr>
          <w:color w:val="auto"/>
        </w:rPr>
        <w:t xml:space="preserve"> of the ADA</w:t>
      </w:r>
      <w:r w:rsidRPr="00513B53">
        <w:rPr>
          <w:color w:val="auto"/>
        </w:rPr>
        <w:t>, and during our</w:t>
      </w:r>
      <w:r>
        <w:rPr>
          <w:color w:val="auto"/>
        </w:rPr>
        <w:t xml:space="preserve"> 2024</w:t>
      </w:r>
      <w:r w:rsidRPr="00513B53">
        <w:rPr>
          <w:color w:val="auto"/>
        </w:rPr>
        <w:t xml:space="preserve"> review of s 93Z</w:t>
      </w:r>
      <w:r>
        <w:rPr>
          <w:color w:val="auto"/>
        </w:rPr>
        <w:t xml:space="preserve"> of the </w:t>
      </w:r>
      <w:r w:rsidRPr="005D0DA6">
        <w:rPr>
          <w:i/>
          <w:iCs/>
          <w:color w:val="auto"/>
        </w:rPr>
        <w:t>Crimes Act</w:t>
      </w:r>
      <w:r w:rsidRPr="00513B53">
        <w:rPr>
          <w:color w:val="auto"/>
        </w:rPr>
        <w:t xml:space="preserve">, we heard concerns about the </w:t>
      </w:r>
      <w:r>
        <w:rPr>
          <w:color w:val="auto"/>
        </w:rPr>
        <w:t>ADA’s protection against</w:t>
      </w:r>
      <w:r w:rsidRPr="00513B53">
        <w:rPr>
          <w:color w:val="auto"/>
        </w:rPr>
        <w:t xml:space="preserve"> religious vilification.</w:t>
      </w:r>
      <w:r>
        <w:rPr>
          <w:color w:val="auto"/>
        </w:rPr>
        <w:t xml:space="preserve"> </w:t>
      </w:r>
    </w:p>
    <w:p w14:paraId="1F0E9A7B" w14:textId="77777777" w:rsidR="00FE5562" w:rsidRPr="00513B53" w:rsidRDefault="00FE5562" w:rsidP="00FE5562">
      <w:pPr>
        <w:pStyle w:val="NormalAutoChapter"/>
        <w:tabs>
          <w:tab w:val="num" w:pos="2705"/>
        </w:tabs>
        <w:rPr>
          <w:color w:val="auto"/>
        </w:rPr>
      </w:pPr>
      <w:r>
        <w:rPr>
          <w:color w:val="auto"/>
        </w:rPr>
        <w:t xml:space="preserve">It </w:t>
      </w:r>
      <w:r w:rsidRPr="00513B53">
        <w:rPr>
          <w:color w:val="auto"/>
        </w:rPr>
        <w:t>is unlawful, by</w:t>
      </w:r>
      <w:r>
        <w:rPr>
          <w:color w:val="auto"/>
        </w:rPr>
        <w:t xml:space="preserve"> </w:t>
      </w:r>
      <w:r w:rsidRPr="00513B53">
        <w:rPr>
          <w:color w:val="auto"/>
        </w:rPr>
        <w:t xml:space="preserve">public act, to incite hatred towards, serious contempt for or severe ridicule of a person, or group of people, </w:t>
      </w:r>
      <w:r>
        <w:rPr>
          <w:color w:val="auto"/>
        </w:rPr>
        <w:t>because the</w:t>
      </w:r>
      <w:r w:rsidRPr="00513B53">
        <w:rPr>
          <w:color w:val="auto"/>
        </w:rPr>
        <w:t>y:</w:t>
      </w:r>
    </w:p>
    <w:p w14:paraId="0E49215A" w14:textId="77777777" w:rsidR="00FE5562" w:rsidRDefault="00FE5562" w:rsidP="00FE5562">
      <w:pPr>
        <w:pStyle w:val="Normalbullet"/>
      </w:pPr>
      <w:r>
        <w:t>have or do not have a religious belief or affiliation, or</w:t>
      </w:r>
    </w:p>
    <w:p w14:paraId="269123CF" w14:textId="77777777" w:rsidR="00FE5562" w:rsidRDefault="00FE5562" w:rsidP="00FE5562">
      <w:pPr>
        <w:pStyle w:val="Normalbullet"/>
      </w:pPr>
      <w:r>
        <w:t>engage, or do not engage, in religious activity.</w:t>
      </w:r>
      <w:r>
        <w:rPr>
          <w:rStyle w:val="FootnoteReference"/>
        </w:rPr>
        <w:footnoteReference w:id="928"/>
      </w:r>
      <w:r>
        <w:t xml:space="preserve"> </w:t>
      </w:r>
    </w:p>
    <w:p w14:paraId="291772D3" w14:textId="77777777" w:rsidR="00FE5562" w:rsidRPr="00F65CD3" w:rsidRDefault="00FE5562" w:rsidP="00FE5562">
      <w:pPr>
        <w:pStyle w:val="NormalAutoChapter"/>
        <w:tabs>
          <w:tab w:val="num" w:pos="2705"/>
        </w:tabs>
        <w:rPr>
          <w:color w:val="auto"/>
        </w:rPr>
      </w:pPr>
      <w:r>
        <w:rPr>
          <w:color w:val="auto"/>
        </w:rPr>
        <w:t>This was added to the ADA in 2023.</w:t>
      </w:r>
      <w:r w:rsidRPr="00513B53">
        <w:rPr>
          <w:color w:val="auto"/>
        </w:rPr>
        <w:t xml:space="preserve"> </w:t>
      </w:r>
      <w:r w:rsidRPr="00F65CD3">
        <w:rPr>
          <w:color w:val="auto"/>
        </w:rPr>
        <w:t xml:space="preserve">Some regard this </w:t>
      </w:r>
      <w:r>
        <w:rPr>
          <w:color w:val="auto"/>
        </w:rPr>
        <w:t xml:space="preserve">reform as </w:t>
      </w:r>
      <w:r w:rsidRPr="00F65CD3">
        <w:rPr>
          <w:color w:val="auto"/>
        </w:rPr>
        <w:t>an important protection for people of faith in the context of growing intolerance.</w:t>
      </w:r>
      <w:r w:rsidRPr="00513B53">
        <w:rPr>
          <w:rStyle w:val="FootnoteReference"/>
          <w:color w:val="auto"/>
        </w:rPr>
        <w:footnoteReference w:id="929"/>
      </w:r>
      <w:r w:rsidRPr="00F65CD3">
        <w:rPr>
          <w:color w:val="auto"/>
        </w:rPr>
        <w:t xml:space="preserve"> Other</w:t>
      </w:r>
      <w:r>
        <w:rPr>
          <w:color w:val="auto"/>
        </w:rPr>
        <w:t>s</w:t>
      </w:r>
      <w:r w:rsidRPr="00F65CD3">
        <w:rPr>
          <w:color w:val="auto"/>
        </w:rPr>
        <w:t xml:space="preserve">, while </w:t>
      </w:r>
      <w:r>
        <w:rPr>
          <w:color w:val="auto"/>
        </w:rPr>
        <w:t xml:space="preserve">generally </w:t>
      </w:r>
      <w:r w:rsidRPr="00F65CD3">
        <w:rPr>
          <w:color w:val="auto"/>
        </w:rPr>
        <w:t xml:space="preserve">supporting protections against religious vilification, </w:t>
      </w:r>
      <w:r>
        <w:rPr>
          <w:color w:val="auto"/>
        </w:rPr>
        <w:t xml:space="preserve">argue that the legislation </w:t>
      </w:r>
      <w:r w:rsidRPr="00F65CD3">
        <w:rPr>
          <w:color w:val="auto"/>
        </w:rPr>
        <w:t>is unclear, too broad and does</w:t>
      </w:r>
      <w:r>
        <w:rPr>
          <w:color w:val="auto"/>
        </w:rPr>
        <w:t xml:space="preserve"> </w:t>
      </w:r>
      <w:r w:rsidRPr="00F65CD3">
        <w:rPr>
          <w:color w:val="auto"/>
        </w:rPr>
        <w:t>n</w:t>
      </w:r>
      <w:r>
        <w:rPr>
          <w:color w:val="auto"/>
        </w:rPr>
        <w:t>o</w:t>
      </w:r>
      <w:r w:rsidRPr="00F65CD3">
        <w:rPr>
          <w:color w:val="auto"/>
        </w:rPr>
        <w:t>t strike the right balance with freedom of expression.</w:t>
      </w:r>
    </w:p>
    <w:p w14:paraId="039CCC18" w14:textId="77777777" w:rsidR="00FE5562" w:rsidRDefault="00FE5562" w:rsidP="00FE5562">
      <w:pPr>
        <w:pStyle w:val="Heading2"/>
      </w:pPr>
      <w:bookmarkStart w:id="402" w:name="_Toc196746780"/>
      <w:bookmarkStart w:id="403" w:name="_Toc196826934"/>
      <w:r>
        <w:lastRenderedPageBreak/>
        <w:t>The definition of religious belief, affiliation and activity</w:t>
      </w:r>
      <w:bookmarkEnd w:id="402"/>
      <w:bookmarkEnd w:id="403"/>
      <w:r>
        <w:t xml:space="preserve"> </w:t>
      </w:r>
    </w:p>
    <w:p w14:paraId="314E541D" w14:textId="77777777" w:rsidR="00FE5562" w:rsidRPr="00913F24" w:rsidRDefault="00FE5562" w:rsidP="00FE5562">
      <w:pPr>
        <w:pStyle w:val="NormalAutoChapter"/>
        <w:tabs>
          <w:tab w:val="clear" w:pos="720"/>
          <w:tab w:val="num" w:pos="1146"/>
        </w:tabs>
        <w:rPr>
          <w:color w:val="auto"/>
        </w:rPr>
      </w:pPr>
      <w:r>
        <w:rPr>
          <w:color w:val="auto"/>
        </w:rPr>
        <w:t>In particular, some noted that the ADA does not define “</w:t>
      </w:r>
      <w:r w:rsidRPr="00BE43B4">
        <w:rPr>
          <w:color w:val="auto"/>
        </w:rPr>
        <w:t>religious belief</w:t>
      </w:r>
      <w:r>
        <w:rPr>
          <w:color w:val="auto"/>
        </w:rPr>
        <w:t xml:space="preserve">”, “religious </w:t>
      </w:r>
      <w:r w:rsidRPr="00BE43B4">
        <w:rPr>
          <w:color w:val="auto"/>
        </w:rPr>
        <w:t>affiliation</w:t>
      </w:r>
      <w:r>
        <w:rPr>
          <w:color w:val="auto"/>
        </w:rPr>
        <w:t>”</w:t>
      </w:r>
      <w:r w:rsidRPr="00BE43B4">
        <w:rPr>
          <w:color w:val="auto"/>
        </w:rPr>
        <w:t xml:space="preserve"> </w:t>
      </w:r>
      <w:r>
        <w:rPr>
          <w:color w:val="auto"/>
        </w:rPr>
        <w:t>and</w:t>
      </w:r>
      <w:r w:rsidRPr="00BE43B4">
        <w:rPr>
          <w:color w:val="auto"/>
        </w:rPr>
        <w:t xml:space="preserve"> </w:t>
      </w:r>
      <w:r>
        <w:rPr>
          <w:color w:val="auto"/>
        </w:rPr>
        <w:t>“</w:t>
      </w:r>
      <w:r w:rsidRPr="00BE43B4">
        <w:rPr>
          <w:color w:val="auto"/>
        </w:rPr>
        <w:t>religious activity</w:t>
      </w:r>
      <w:r>
        <w:rPr>
          <w:color w:val="auto"/>
        </w:rPr>
        <w:t>”</w:t>
      </w:r>
      <w:r w:rsidRPr="00BE43B4">
        <w:rPr>
          <w:color w:val="auto"/>
        </w:rPr>
        <w:t>.</w:t>
      </w:r>
      <w:r w:rsidRPr="00BE43B4">
        <w:rPr>
          <w:rStyle w:val="FootnoteReference"/>
          <w:color w:val="auto"/>
        </w:rPr>
        <w:footnoteReference w:id="930"/>
      </w:r>
      <w:r w:rsidRPr="00BE43B4">
        <w:rPr>
          <w:color w:val="auto"/>
        </w:rPr>
        <w:t xml:space="preserve"> </w:t>
      </w:r>
      <w:r>
        <w:rPr>
          <w:color w:val="auto"/>
        </w:rPr>
        <w:t>When the reform was introduced, concerns were expressed that the term “religious affiliation” is ambiguous, and could protect anyone claiming to be affiliated with a</w:t>
      </w:r>
      <w:r w:rsidRPr="006776DC">
        <w:rPr>
          <w:color w:val="auto"/>
        </w:rPr>
        <w:t xml:space="preserve"> religion or a religious group</w:t>
      </w:r>
      <w:r>
        <w:rPr>
          <w:color w:val="auto"/>
        </w:rPr>
        <w:t>.</w:t>
      </w:r>
      <w:r>
        <w:rPr>
          <w:rStyle w:val="FootnoteReference"/>
          <w:color w:val="auto"/>
        </w:rPr>
        <w:footnoteReference w:id="931"/>
      </w:r>
      <w:r>
        <w:rPr>
          <w:color w:val="auto"/>
        </w:rPr>
        <w:t xml:space="preserve"> Some argued </w:t>
      </w:r>
      <w:r w:rsidRPr="005D6A68">
        <w:rPr>
          <w:color w:val="auto"/>
        </w:rPr>
        <w:t>individual</w:t>
      </w:r>
      <w:r>
        <w:rPr>
          <w:color w:val="auto"/>
        </w:rPr>
        <w:t xml:space="preserve">s could bring a complaint if they are affiliated with </w:t>
      </w:r>
      <w:r w:rsidRPr="005D6A68">
        <w:rPr>
          <w:color w:val="auto"/>
        </w:rPr>
        <w:t xml:space="preserve">a religious organisation </w:t>
      </w:r>
      <w:r>
        <w:rPr>
          <w:color w:val="auto"/>
        </w:rPr>
        <w:t>that received public criticism</w:t>
      </w:r>
      <w:r w:rsidRPr="005D6A68">
        <w:rPr>
          <w:color w:val="auto"/>
        </w:rPr>
        <w:t>.</w:t>
      </w:r>
      <w:r w:rsidRPr="005D6A68">
        <w:rPr>
          <w:rStyle w:val="FootnoteReference"/>
          <w:color w:val="auto"/>
        </w:rPr>
        <w:footnoteReference w:id="932"/>
      </w:r>
    </w:p>
    <w:p w14:paraId="24FDBA7F" w14:textId="78750292" w:rsidR="00FE5562" w:rsidRDefault="00FE5562" w:rsidP="00FE5562">
      <w:pPr>
        <w:pStyle w:val="NormalAutoChapter"/>
        <w:tabs>
          <w:tab w:val="clear" w:pos="720"/>
          <w:tab w:val="num" w:pos="1146"/>
        </w:tabs>
        <w:rPr>
          <w:color w:val="auto"/>
        </w:rPr>
      </w:pPr>
      <w:r>
        <w:rPr>
          <w:color w:val="auto"/>
        </w:rPr>
        <w:t xml:space="preserve">Some have suggested the ADA should adopt </w:t>
      </w:r>
      <w:r w:rsidRPr="00BE43B4">
        <w:rPr>
          <w:color w:val="auto"/>
        </w:rPr>
        <w:t>the definition of religious belief and affiliation in s</w:t>
      </w:r>
      <w:r w:rsidR="007E3153">
        <w:rPr>
          <w:color w:val="auto"/>
        </w:rPr>
        <w:t> </w:t>
      </w:r>
      <w:r w:rsidRPr="00BE43B4">
        <w:rPr>
          <w:color w:val="auto"/>
        </w:rPr>
        <w:t>93</w:t>
      </w:r>
      <w:r>
        <w:rPr>
          <w:color w:val="auto"/>
        </w:rPr>
        <w:t xml:space="preserve">Z of the </w:t>
      </w:r>
      <w:r w:rsidRPr="00F92D2F">
        <w:rPr>
          <w:i/>
          <w:iCs/>
          <w:color w:val="auto"/>
        </w:rPr>
        <w:t>Crimes Act</w:t>
      </w:r>
      <w:r w:rsidRPr="00BE43B4">
        <w:rPr>
          <w:color w:val="auto"/>
        </w:rPr>
        <w:t>.</w:t>
      </w:r>
      <w:r w:rsidRPr="00BE43B4">
        <w:rPr>
          <w:rStyle w:val="FootnoteReference"/>
          <w:color w:val="auto"/>
        </w:rPr>
        <w:footnoteReference w:id="933"/>
      </w:r>
      <w:r w:rsidRPr="00BE43B4">
        <w:rPr>
          <w:color w:val="auto"/>
        </w:rPr>
        <w:t xml:space="preserve"> </w:t>
      </w:r>
      <w:r>
        <w:rPr>
          <w:color w:val="auto"/>
        </w:rPr>
        <w:t xml:space="preserve">It is an offence to threaten or incite violence towards a person, or group, because the person or one or more members of the group has a “specific religious belief or affiliation”. </w:t>
      </w:r>
    </w:p>
    <w:p w14:paraId="34E86B6F" w14:textId="77777777" w:rsidR="00FE5562" w:rsidRDefault="00FE5562" w:rsidP="00FE5562">
      <w:pPr>
        <w:pStyle w:val="NormalAutoChapter"/>
        <w:tabs>
          <w:tab w:val="clear" w:pos="720"/>
          <w:tab w:val="num" w:pos="1146"/>
        </w:tabs>
        <w:rPr>
          <w:color w:val="auto"/>
        </w:rPr>
      </w:pPr>
      <w:r>
        <w:rPr>
          <w:color w:val="auto"/>
        </w:rPr>
        <w:t xml:space="preserve">Unlike the ADA, s 93Z: </w:t>
      </w:r>
    </w:p>
    <w:p w14:paraId="536E5E3C" w14:textId="77777777" w:rsidR="00FE5562" w:rsidRDefault="00FE5562" w:rsidP="00FE5562">
      <w:pPr>
        <w:pStyle w:val="Normalbullet"/>
      </w:pPr>
      <w:r>
        <w:t xml:space="preserve">defines “religious belief or affiliation” as </w:t>
      </w:r>
      <w:r w:rsidRPr="00BE43B4">
        <w:t>“holding or not holding a religious belief or view”</w:t>
      </w:r>
      <w:r>
        <w:t>,</w:t>
      </w:r>
      <w:r>
        <w:rPr>
          <w:rStyle w:val="FootnoteReference"/>
        </w:rPr>
        <w:footnoteReference w:id="934"/>
      </w:r>
      <w:r>
        <w:t xml:space="preserve"> and</w:t>
      </w:r>
    </w:p>
    <w:p w14:paraId="4C2206A0" w14:textId="77777777" w:rsidR="00FE5562" w:rsidRDefault="00FE5562" w:rsidP="00FE5562">
      <w:pPr>
        <w:pStyle w:val="Normalbullet"/>
      </w:pPr>
      <w:r>
        <w:t>does not expressly cover public acts of incitement based on a person or group engaging, or not engaging in, religious activity.</w:t>
      </w:r>
    </w:p>
    <w:p w14:paraId="5065185E" w14:textId="77777777" w:rsidR="00FE5562" w:rsidRDefault="00FE5562" w:rsidP="00FE5562">
      <w:pPr>
        <w:pStyle w:val="NormalAutoChapter"/>
        <w:tabs>
          <w:tab w:val="num" w:pos="2705"/>
        </w:tabs>
      </w:pPr>
      <w:r>
        <w:rPr>
          <w:color w:val="auto"/>
        </w:rPr>
        <w:t xml:space="preserve">Others have raised concerns that the ADA does not only protect against vilification based on </w:t>
      </w:r>
      <w:r w:rsidRPr="00513B53">
        <w:t>“lawful” religious activities</w:t>
      </w:r>
      <w:r>
        <w:t>.</w:t>
      </w:r>
      <w:r w:rsidRPr="00513B53">
        <w:rPr>
          <w:rStyle w:val="FootnoteReference"/>
        </w:rPr>
        <w:footnoteReference w:id="935"/>
      </w:r>
      <w:r>
        <w:t xml:space="preserve"> However, as we outline in </w:t>
      </w:r>
      <w:r w:rsidRPr="009479CB">
        <w:t>chapter 5</w:t>
      </w:r>
      <w:r w:rsidRPr="00A76180">
        <w:t>, others</w:t>
      </w:r>
      <w:r>
        <w:t xml:space="preserve"> have argued that lawfulness is already part of the well-established judicial definition of “religion”.</w:t>
      </w:r>
      <w:r>
        <w:rPr>
          <w:rStyle w:val="FootnoteReference"/>
        </w:rPr>
        <w:footnoteReference w:id="936"/>
      </w:r>
      <w:r>
        <w:t xml:space="preserve"> Chapter 5 also considers other options for defining religious protections. </w:t>
      </w:r>
    </w:p>
    <w:p w14:paraId="5164ABBC" w14:textId="77777777" w:rsidR="00FE5562" w:rsidRDefault="00FE5562" w:rsidP="00FE5562">
      <w:pPr>
        <w:pStyle w:val="Heading2"/>
      </w:pPr>
      <w:bookmarkStart w:id="404" w:name="_Toc196746781"/>
      <w:bookmarkStart w:id="405" w:name="_Toc196826935"/>
      <w:r>
        <w:t>Other concerns about the religious vilification protections</w:t>
      </w:r>
      <w:bookmarkEnd w:id="404"/>
      <w:bookmarkEnd w:id="405"/>
    </w:p>
    <w:p w14:paraId="1E1D201E" w14:textId="77777777" w:rsidR="00FE5562" w:rsidRDefault="00FE5562" w:rsidP="00FE5562">
      <w:pPr>
        <w:pStyle w:val="NormalAutoChapter"/>
        <w:tabs>
          <w:tab w:val="num" w:pos="2705"/>
        </w:tabs>
      </w:pPr>
      <w:r>
        <w:t xml:space="preserve">Some preliminary submissions expressed concerns that the ADA could go beyond protecting individuals and groups against vilification based on their religious beliefs </w:t>
      </w:r>
      <w:r>
        <w:lastRenderedPageBreak/>
        <w:t>or views. There is a view that it could also be used to silence criticism of those beliefs and views themselves.</w:t>
      </w:r>
      <w:r>
        <w:rPr>
          <w:rStyle w:val="FootnoteReference"/>
        </w:rPr>
        <w:footnoteReference w:id="937"/>
      </w:r>
      <w:r>
        <w:t xml:space="preserve"> </w:t>
      </w:r>
    </w:p>
    <w:p w14:paraId="5E65EA0D" w14:textId="77777777" w:rsidR="00FE5562" w:rsidRDefault="00FE5562" w:rsidP="00FE5562">
      <w:pPr>
        <w:pStyle w:val="NormalAutoChapter"/>
        <w:tabs>
          <w:tab w:val="clear" w:pos="720"/>
          <w:tab w:val="num" w:pos="1146"/>
        </w:tabs>
      </w:pPr>
      <w:r>
        <w:t xml:space="preserve">When the reform was introduced into Parliament, the Attorney General said it was not intended to “protect </w:t>
      </w:r>
      <w:r w:rsidRPr="004010F4">
        <w:t>religion or religious beliefs themselves, and they are not intended to be used to silence criticism or debate</w:t>
      </w:r>
      <w:r>
        <w:t>”.</w:t>
      </w:r>
      <w:r>
        <w:rPr>
          <w:rStyle w:val="FootnoteReference"/>
        </w:rPr>
        <w:footnoteReference w:id="938"/>
      </w:r>
      <w:r>
        <w:t xml:space="preserve"> An option could be to clarify this in the ADA for the avoidance of doubt. </w:t>
      </w:r>
    </w:p>
    <w:p w14:paraId="06D0D5AF" w14:textId="77777777" w:rsidR="00FE5562" w:rsidRDefault="00FE5562" w:rsidP="00FE5562">
      <w:pPr>
        <w:pStyle w:val="NormalAutoChapter"/>
        <w:tabs>
          <w:tab w:val="clear" w:pos="720"/>
          <w:tab w:val="num" w:pos="1146"/>
        </w:tabs>
        <w:rPr>
          <w:color w:val="auto"/>
        </w:rPr>
      </w:pPr>
      <w:r>
        <w:rPr>
          <w:color w:val="auto"/>
        </w:rPr>
        <w:t xml:space="preserve">Some also argued the ADA does not only protect individuals and groups of people against religious vilification. It could also allow </w:t>
      </w:r>
      <w:r w:rsidRPr="00E4684F">
        <w:rPr>
          <w:color w:val="auto"/>
        </w:rPr>
        <w:t xml:space="preserve">religious organisations, </w:t>
      </w:r>
      <w:r>
        <w:rPr>
          <w:color w:val="auto"/>
        </w:rPr>
        <w:t>including</w:t>
      </w:r>
      <w:r w:rsidRPr="00E4684F">
        <w:rPr>
          <w:color w:val="auto"/>
        </w:rPr>
        <w:t xml:space="preserve"> </w:t>
      </w:r>
      <w:r>
        <w:rPr>
          <w:color w:val="auto"/>
        </w:rPr>
        <w:t>churches, to seek redress for being vilified as an organisation.</w:t>
      </w:r>
      <w:r w:rsidRPr="005D6A68">
        <w:rPr>
          <w:rStyle w:val="FootnoteReference"/>
          <w:color w:val="auto"/>
        </w:rPr>
        <w:footnoteReference w:id="939"/>
      </w:r>
      <w:r>
        <w:rPr>
          <w:color w:val="auto"/>
        </w:rPr>
        <w:t xml:space="preserve"> </w:t>
      </w:r>
      <w:r>
        <w:t>This is because the prohibition covers the vilification of a “person” or a “group of persons”.</w:t>
      </w:r>
      <w:r>
        <w:rPr>
          <w:rStyle w:val="FootnoteReference"/>
        </w:rPr>
        <w:footnoteReference w:id="940"/>
      </w:r>
      <w:r>
        <w:t xml:space="preserve"> In NSW, a “person”</w:t>
      </w:r>
      <w:r w:rsidRPr="00E4684F">
        <w:rPr>
          <w:color w:val="auto"/>
        </w:rPr>
        <w:t xml:space="preserve"> includ</w:t>
      </w:r>
      <w:r>
        <w:rPr>
          <w:color w:val="auto"/>
        </w:rPr>
        <w:t>es</w:t>
      </w:r>
      <w:r w:rsidRPr="00E4684F">
        <w:rPr>
          <w:color w:val="auto"/>
        </w:rPr>
        <w:t xml:space="preserve"> </w:t>
      </w:r>
      <w:r>
        <w:rPr>
          <w:color w:val="auto"/>
        </w:rPr>
        <w:t>“</w:t>
      </w:r>
      <w:r w:rsidRPr="00E4684F">
        <w:rPr>
          <w:color w:val="auto"/>
        </w:rPr>
        <w:t>an individual, a corporation and a body corporate or public</w:t>
      </w:r>
      <w:r>
        <w:rPr>
          <w:color w:val="auto"/>
        </w:rPr>
        <w:t>”.</w:t>
      </w:r>
      <w:r>
        <w:rPr>
          <w:rStyle w:val="FootnoteReference"/>
          <w:color w:val="auto"/>
        </w:rPr>
        <w:footnoteReference w:id="941"/>
      </w:r>
      <w:r w:rsidRPr="00220A7A">
        <w:rPr>
          <w:color w:val="auto"/>
        </w:rPr>
        <w:t xml:space="preserve"> </w:t>
      </w:r>
    </w:p>
    <w:p w14:paraId="14A24FB4" w14:textId="77777777" w:rsidR="00FE5562" w:rsidRDefault="00FE5562" w:rsidP="00FE5562">
      <w:pPr>
        <w:pStyle w:val="NormalAutoChapter"/>
        <w:tabs>
          <w:tab w:val="clear" w:pos="720"/>
          <w:tab w:val="num" w:pos="1146"/>
        </w:tabs>
        <w:rPr>
          <w:color w:val="auto"/>
        </w:rPr>
      </w:pPr>
      <w:r w:rsidRPr="00EE0486">
        <w:rPr>
          <w:color w:val="auto"/>
        </w:rPr>
        <w:t>The other vilification protections in the ADA</w:t>
      </w:r>
      <w:r>
        <w:rPr>
          <w:color w:val="auto"/>
        </w:rPr>
        <w:t xml:space="preserve"> also apply to persons and groups of persons. There is a view that this is less concerning in relation to vilification based on other protected attributes. This is because other organisations are arguably unable to be characterised as having race, sexuality, gender identity or HIV/AIDs status, but can be characterised as “religious”.</w:t>
      </w:r>
      <w:r>
        <w:rPr>
          <w:rStyle w:val="FootnoteReference"/>
        </w:rPr>
        <w:footnoteReference w:id="942"/>
      </w:r>
    </w:p>
    <w:p w14:paraId="31D8578D" w14:textId="77777777" w:rsidR="00FE5562" w:rsidRPr="00EE0486" w:rsidRDefault="00FE5562" w:rsidP="00FE5562">
      <w:pPr>
        <w:pStyle w:val="NormalAutoChapter"/>
        <w:tabs>
          <w:tab w:val="clear" w:pos="720"/>
          <w:tab w:val="num" w:pos="1146"/>
        </w:tabs>
        <w:rPr>
          <w:color w:val="auto"/>
        </w:rPr>
      </w:pPr>
      <w:r w:rsidRPr="00EE0486">
        <w:rPr>
          <w:color w:val="auto"/>
        </w:rPr>
        <w:t xml:space="preserve">Some argued </w:t>
      </w:r>
      <w:r>
        <w:rPr>
          <w:color w:val="auto"/>
        </w:rPr>
        <w:t xml:space="preserve">that vilification complaints made by religious organisations against individuals </w:t>
      </w:r>
      <w:r w:rsidRPr="00EE0486">
        <w:rPr>
          <w:color w:val="auto"/>
        </w:rPr>
        <w:t>could silence public debate</w:t>
      </w:r>
      <w:r>
        <w:rPr>
          <w:color w:val="auto"/>
        </w:rPr>
        <w:t xml:space="preserve"> and</w:t>
      </w:r>
      <w:r w:rsidRPr="00EE0486">
        <w:rPr>
          <w:color w:val="auto"/>
        </w:rPr>
        <w:t xml:space="preserve"> undermine democratic engagement and institutional accountability.</w:t>
      </w:r>
      <w:r>
        <w:rPr>
          <w:rStyle w:val="FootnoteReference"/>
          <w:color w:val="auto"/>
        </w:rPr>
        <w:footnoteReference w:id="943"/>
      </w:r>
      <w:r>
        <w:rPr>
          <w:color w:val="auto"/>
        </w:rPr>
        <w:t xml:space="preserve"> One suggestion involved clarifying </w:t>
      </w:r>
      <w:r w:rsidRPr="00EE0486">
        <w:rPr>
          <w:color w:val="auto"/>
        </w:rPr>
        <w:t xml:space="preserve">that the </w:t>
      </w:r>
      <w:r>
        <w:rPr>
          <w:color w:val="auto"/>
        </w:rPr>
        <w:t xml:space="preserve">ADA’s </w:t>
      </w:r>
      <w:r w:rsidRPr="00EE0486">
        <w:rPr>
          <w:color w:val="auto"/>
        </w:rPr>
        <w:t xml:space="preserve">protection </w:t>
      </w:r>
      <w:r>
        <w:rPr>
          <w:color w:val="auto"/>
        </w:rPr>
        <w:t xml:space="preserve">against religious vilification </w:t>
      </w:r>
      <w:r w:rsidRPr="00EE0486">
        <w:rPr>
          <w:color w:val="auto"/>
        </w:rPr>
        <w:t>only applies to “natural persons”.</w:t>
      </w:r>
      <w:r w:rsidRPr="005D6A68">
        <w:rPr>
          <w:rStyle w:val="FootnoteReference"/>
          <w:color w:val="auto"/>
        </w:rPr>
        <w:footnoteReference w:id="944"/>
      </w:r>
    </w:p>
    <w:p w14:paraId="53A387AD" w14:textId="77777777" w:rsidR="00FE5562" w:rsidRDefault="00FE5562" w:rsidP="00FE5562">
      <w:pPr>
        <w:pStyle w:val="Recommendationheading"/>
      </w:pPr>
      <w:r>
        <w:t xml:space="preserve">Question 8.5: Religious vilification  </w:t>
      </w:r>
    </w:p>
    <w:p w14:paraId="4398CE51" w14:textId="59DCDBCA" w:rsidR="00FE5562" w:rsidRPr="007B4350" w:rsidRDefault="00FE5562" w:rsidP="00FE5562">
      <w:pPr>
        <w:pStyle w:val="Recommendationnormal"/>
        <w:rPr>
          <w:color w:val="000000" w:themeColor="text1"/>
        </w:rPr>
      </w:pPr>
      <w:r>
        <w:t>What</w:t>
      </w:r>
      <w:r w:rsidR="00F55080">
        <w:t xml:space="preserve"> changes, if any,</w:t>
      </w:r>
      <w:r>
        <w:t xml:space="preserve"> should be made to the protection against religious vilification in t</w:t>
      </w:r>
      <w:r w:rsidRPr="00442DE0">
        <w:rPr>
          <w:color w:val="0D0D0D" w:themeColor="text1" w:themeTint="F2"/>
        </w:rPr>
        <w:t>he</w:t>
      </w:r>
      <w:r>
        <w:rPr>
          <w:color w:val="0D0D0D" w:themeColor="text1" w:themeTint="F2"/>
        </w:rPr>
        <w:t xml:space="preserve"> ADA</w:t>
      </w:r>
      <w:r w:rsidRPr="007B4350">
        <w:rPr>
          <w:color w:val="000000" w:themeColor="text1"/>
        </w:rPr>
        <w:t xml:space="preserve">?  </w:t>
      </w:r>
    </w:p>
    <w:p w14:paraId="1269D6F8" w14:textId="77777777" w:rsidR="00FE5562" w:rsidRDefault="00FE5562" w:rsidP="00F41119">
      <w:pPr>
        <w:sectPr w:rsidR="00FE5562" w:rsidSect="00744F61">
          <w:headerReference w:type="even" r:id="rId37"/>
          <w:footnotePr>
            <w:numRestart w:val="eachSect"/>
          </w:footnotePr>
          <w:pgSz w:w="11906" w:h="16838" w:code="9"/>
          <w:pgMar w:top="1701" w:right="1304" w:bottom="1021" w:left="1304" w:header="567" w:footer="567" w:gutter="0"/>
          <w:cols w:space="708"/>
          <w:docGrid w:linePitch="360"/>
        </w:sectPr>
      </w:pPr>
    </w:p>
    <w:p w14:paraId="295A6FFD" w14:textId="77777777" w:rsidR="00BC7971" w:rsidRDefault="00BC7971" w:rsidP="00BC7971">
      <w:pPr>
        <w:pStyle w:val="ChapterHeading"/>
      </w:pPr>
      <w:bookmarkStart w:id="406" w:name="_Toc196826936"/>
      <w:bookmarkStart w:id="407" w:name="_Hlk181806249"/>
      <w:r>
        <w:lastRenderedPageBreak/>
        <w:t>Harassment</w:t>
      </w:r>
      <w:bookmarkEnd w:id="406"/>
    </w:p>
    <w:p w14:paraId="0D8705BE" w14:textId="77777777" w:rsidR="00BC7971" w:rsidRDefault="00BC7971" w:rsidP="00BC7971">
      <w:pPr>
        <w:pStyle w:val="InBriefHeading"/>
        <w:spacing w:after="0"/>
        <w:contextualSpacing w:val="0"/>
      </w:pPr>
      <w:r>
        <w:t>In brief</w:t>
      </w:r>
    </w:p>
    <w:p w14:paraId="0FF412C8" w14:textId="77777777" w:rsidR="00BC7971" w:rsidRDefault="00BC7971" w:rsidP="00BC7971">
      <w:pPr>
        <w:pStyle w:val="InBriefText"/>
        <w:spacing w:before="0"/>
      </w:pPr>
      <w:r>
        <w:t xml:space="preserve">The </w:t>
      </w:r>
      <w:r w:rsidRPr="00775E3E">
        <w:rPr>
          <w:i/>
          <w:iCs/>
        </w:rPr>
        <w:t>Anti-Discrimination Act 1977</w:t>
      </w:r>
      <w:r>
        <w:t xml:space="preserve"> (NSW) (ADA) prohibits sexual harassment. We ask if changes are required to the tests for sexual harassment and to the areas of public life in which sexual harassment is unlawful. We also ask whether and, if so, how the ADA should prohibit harassment based on an individual’s attributes.</w:t>
      </w:r>
    </w:p>
    <w:p w14:paraId="21814472" w14:textId="2491B2F8" w:rsidR="00BC7971" w:rsidRPr="00B55200" w:rsidRDefault="00BC7971" w:rsidP="00BC7971">
      <w:pPr>
        <w:pStyle w:val="TOC2"/>
        <w:rPr>
          <w:rFonts w:eastAsiaTheme="minorEastAsia" w:cstheme="minorBidi"/>
          <w:b w:val="0"/>
          <w:color w:val="auto"/>
          <w:kern w:val="2"/>
          <w:sz w:val="24"/>
          <w:u w:val="none"/>
          <w:lang w:eastAsia="en-AU"/>
          <w14:ligatures w14:val="standardContextual"/>
        </w:rPr>
      </w:pPr>
      <w:r>
        <w:fldChar w:fldCharType="begin"/>
      </w:r>
      <w:r>
        <w:instrText xml:space="preserve"> TOC \h \z \t "Heading 1,2,Heading 2,3,Heading - Major,1,Heading default,1,Title page 1,1" </w:instrText>
      </w:r>
      <w:r>
        <w:fldChar w:fldCharType="separate"/>
      </w:r>
      <w:hyperlink w:anchor="_Toc196742026" w:history="1">
        <w:r w:rsidRPr="00B55200">
          <w:rPr>
            <w:rStyle w:val="Hyperlink"/>
            <w:rFonts w:ascii="Public Sans" w:hAnsi="Public Sans"/>
          </w:rPr>
          <w:t>The test for sexual harassment under the ADA</w:t>
        </w:r>
        <w:r w:rsidRPr="00B55200">
          <w:rPr>
            <w:webHidden/>
          </w:rPr>
          <w:tab/>
        </w:r>
        <w:r w:rsidRPr="00B55200">
          <w:rPr>
            <w:webHidden/>
          </w:rPr>
          <w:fldChar w:fldCharType="begin"/>
        </w:r>
        <w:r w:rsidRPr="00B55200">
          <w:rPr>
            <w:webHidden/>
          </w:rPr>
          <w:instrText xml:space="preserve"> PAGEREF _Toc196742026 \h </w:instrText>
        </w:r>
        <w:r w:rsidRPr="00B55200">
          <w:rPr>
            <w:webHidden/>
          </w:rPr>
        </w:r>
        <w:r w:rsidRPr="00B55200">
          <w:rPr>
            <w:webHidden/>
          </w:rPr>
          <w:fldChar w:fldCharType="separate"/>
        </w:r>
        <w:r w:rsidR="00F44BFC">
          <w:rPr>
            <w:webHidden/>
          </w:rPr>
          <w:t>196</w:t>
        </w:r>
        <w:r w:rsidRPr="00B55200">
          <w:rPr>
            <w:webHidden/>
          </w:rPr>
          <w:fldChar w:fldCharType="end"/>
        </w:r>
      </w:hyperlink>
    </w:p>
    <w:p w14:paraId="772B8F52" w14:textId="7B1B7855" w:rsidR="00BC7971" w:rsidRPr="00B55200" w:rsidRDefault="00BC7971" w:rsidP="00BC7971">
      <w:pPr>
        <w:pStyle w:val="TOC3"/>
        <w:rPr>
          <w:rFonts w:eastAsiaTheme="minorEastAsia" w:cstheme="minorBidi"/>
          <w:color w:val="auto"/>
          <w:kern w:val="2"/>
          <w:sz w:val="24"/>
          <w:u w:val="none"/>
          <w:lang w:eastAsia="en-AU"/>
          <w14:ligatures w14:val="standardContextual"/>
        </w:rPr>
      </w:pPr>
      <w:hyperlink w:anchor="_Toc196742027" w:history="1">
        <w:r w:rsidRPr="00B55200">
          <w:rPr>
            <w:rStyle w:val="Hyperlink"/>
            <w:rFonts w:ascii="Public Sans" w:hAnsi="Public Sans"/>
          </w:rPr>
          <w:t>The ADA’s four-step test for sexual harassment</w:t>
        </w:r>
        <w:r w:rsidRPr="00B55200">
          <w:rPr>
            <w:webHidden/>
          </w:rPr>
          <w:tab/>
        </w:r>
        <w:r w:rsidRPr="00B55200">
          <w:rPr>
            <w:webHidden/>
          </w:rPr>
          <w:fldChar w:fldCharType="begin"/>
        </w:r>
        <w:r w:rsidRPr="00B55200">
          <w:rPr>
            <w:webHidden/>
          </w:rPr>
          <w:instrText xml:space="preserve"> PAGEREF _Toc196742027 \h </w:instrText>
        </w:r>
        <w:r w:rsidRPr="00B55200">
          <w:rPr>
            <w:webHidden/>
          </w:rPr>
        </w:r>
        <w:r w:rsidRPr="00B55200">
          <w:rPr>
            <w:webHidden/>
          </w:rPr>
          <w:fldChar w:fldCharType="separate"/>
        </w:r>
        <w:r w:rsidR="00F44BFC">
          <w:rPr>
            <w:webHidden/>
          </w:rPr>
          <w:t>197</w:t>
        </w:r>
        <w:r w:rsidRPr="00B55200">
          <w:rPr>
            <w:webHidden/>
          </w:rPr>
          <w:fldChar w:fldCharType="end"/>
        </w:r>
      </w:hyperlink>
    </w:p>
    <w:p w14:paraId="5D2628AF" w14:textId="3D4D7C34" w:rsidR="00BC7971" w:rsidRPr="00B55200" w:rsidRDefault="00BC7971" w:rsidP="00BC7971">
      <w:pPr>
        <w:pStyle w:val="TOC3"/>
        <w:rPr>
          <w:rFonts w:eastAsiaTheme="minorEastAsia" w:cstheme="minorBidi"/>
          <w:color w:val="auto"/>
          <w:kern w:val="2"/>
          <w:sz w:val="24"/>
          <w:u w:val="none"/>
          <w:lang w:eastAsia="en-AU"/>
          <w14:ligatures w14:val="standardContextual"/>
        </w:rPr>
      </w:pPr>
      <w:hyperlink w:anchor="_Toc196742028" w:history="1">
        <w:r w:rsidRPr="00B55200">
          <w:rPr>
            <w:rStyle w:val="Hyperlink"/>
            <w:rFonts w:ascii="Public Sans" w:hAnsi="Public Sans"/>
          </w:rPr>
          <w:t xml:space="preserve">Differences to the </w:t>
        </w:r>
        <w:r w:rsidRPr="00B55200">
          <w:rPr>
            <w:rStyle w:val="Hyperlink"/>
            <w:rFonts w:ascii="Public Sans" w:hAnsi="Public Sans"/>
            <w:i/>
          </w:rPr>
          <w:t>Sex Discrimination Act</w:t>
        </w:r>
        <w:r w:rsidRPr="00B55200">
          <w:rPr>
            <w:webHidden/>
          </w:rPr>
          <w:tab/>
        </w:r>
        <w:r w:rsidRPr="00B55200">
          <w:rPr>
            <w:webHidden/>
          </w:rPr>
          <w:fldChar w:fldCharType="begin"/>
        </w:r>
        <w:r w:rsidRPr="00B55200">
          <w:rPr>
            <w:webHidden/>
          </w:rPr>
          <w:instrText xml:space="preserve"> PAGEREF _Toc196742028 \h </w:instrText>
        </w:r>
        <w:r w:rsidRPr="00B55200">
          <w:rPr>
            <w:webHidden/>
          </w:rPr>
        </w:r>
        <w:r w:rsidRPr="00B55200">
          <w:rPr>
            <w:webHidden/>
          </w:rPr>
          <w:fldChar w:fldCharType="separate"/>
        </w:r>
        <w:r w:rsidR="00F44BFC">
          <w:rPr>
            <w:webHidden/>
          </w:rPr>
          <w:t>198</w:t>
        </w:r>
        <w:r w:rsidRPr="00B55200">
          <w:rPr>
            <w:webHidden/>
          </w:rPr>
          <w:fldChar w:fldCharType="end"/>
        </w:r>
      </w:hyperlink>
    </w:p>
    <w:p w14:paraId="1BF3B0FF" w14:textId="59520AE9" w:rsidR="00BC7971" w:rsidRPr="00B55200" w:rsidRDefault="00BC7971" w:rsidP="00BC7971">
      <w:pPr>
        <w:pStyle w:val="TOC2"/>
        <w:rPr>
          <w:rFonts w:eastAsiaTheme="minorEastAsia" w:cstheme="minorBidi"/>
          <w:b w:val="0"/>
          <w:color w:val="auto"/>
          <w:kern w:val="2"/>
          <w:sz w:val="24"/>
          <w:u w:val="none"/>
          <w:lang w:eastAsia="en-AU"/>
          <w14:ligatures w14:val="standardContextual"/>
        </w:rPr>
      </w:pPr>
      <w:hyperlink w:anchor="_Toc196742029" w:history="1">
        <w:r w:rsidRPr="00B55200">
          <w:rPr>
            <w:rStyle w:val="Hyperlink"/>
            <w:rFonts w:ascii="Public Sans" w:hAnsi="Public Sans"/>
          </w:rPr>
          <w:t>Other sex-based conduct</w:t>
        </w:r>
        <w:r w:rsidRPr="00B55200">
          <w:rPr>
            <w:webHidden/>
          </w:rPr>
          <w:tab/>
        </w:r>
        <w:r w:rsidRPr="00B55200">
          <w:rPr>
            <w:webHidden/>
          </w:rPr>
          <w:fldChar w:fldCharType="begin"/>
        </w:r>
        <w:r w:rsidRPr="00B55200">
          <w:rPr>
            <w:webHidden/>
          </w:rPr>
          <w:instrText xml:space="preserve"> PAGEREF _Toc196742029 \h </w:instrText>
        </w:r>
        <w:r w:rsidRPr="00B55200">
          <w:rPr>
            <w:webHidden/>
          </w:rPr>
        </w:r>
        <w:r w:rsidRPr="00B55200">
          <w:rPr>
            <w:webHidden/>
          </w:rPr>
          <w:fldChar w:fldCharType="separate"/>
        </w:r>
        <w:r w:rsidR="00F44BFC">
          <w:rPr>
            <w:webHidden/>
          </w:rPr>
          <w:t>200</w:t>
        </w:r>
        <w:r w:rsidRPr="00B55200">
          <w:rPr>
            <w:webHidden/>
          </w:rPr>
          <w:fldChar w:fldCharType="end"/>
        </w:r>
      </w:hyperlink>
    </w:p>
    <w:p w14:paraId="6ED9DDEE" w14:textId="3D2C3FE6" w:rsidR="00BC7971" w:rsidRPr="00B55200" w:rsidRDefault="00BC7971" w:rsidP="00BC7971">
      <w:pPr>
        <w:pStyle w:val="TOC3"/>
        <w:rPr>
          <w:rFonts w:eastAsiaTheme="minorEastAsia" w:cstheme="minorBidi"/>
          <w:color w:val="auto"/>
          <w:kern w:val="2"/>
          <w:sz w:val="24"/>
          <w:u w:val="none"/>
          <w:lang w:eastAsia="en-AU"/>
          <w14:ligatures w14:val="standardContextual"/>
        </w:rPr>
      </w:pPr>
      <w:hyperlink w:anchor="_Toc196742030" w:history="1">
        <w:r w:rsidRPr="00B55200">
          <w:rPr>
            <w:rStyle w:val="Hyperlink"/>
            <w:rFonts w:ascii="Public Sans" w:hAnsi="Public Sans"/>
          </w:rPr>
          <w:t>Tests for other sex-based conduct</w:t>
        </w:r>
        <w:r w:rsidRPr="00B55200">
          <w:rPr>
            <w:webHidden/>
          </w:rPr>
          <w:tab/>
        </w:r>
        <w:r w:rsidRPr="00B55200">
          <w:rPr>
            <w:webHidden/>
          </w:rPr>
          <w:fldChar w:fldCharType="begin"/>
        </w:r>
        <w:r w:rsidRPr="00B55200">
          <w:rPr>
            <w:webHidden/>
          </w:rPr>
          <w:instrText xml:space="preserve"> PAGEREF _Toc196742030 \h </w:instrText>
        </w:r>
        <w:r w:rsidRPr="00B55200">
          <w:rPr>
            <w:webHidden/>
          </w:rPr>
        </w:r>
        <w:r w:rsidRPr="00B55200">
          <w:rPr>
            <w:webHidden/>
          </w:rPr>
          <w:fldChar w:fldCharType="separate"/>
        </w:r>
        <w:r w:rsidR="00F44BFC">
          <w:rPr>
            <w:webHidden/>
          </w:rPr>
          <w:t>200</w:t>
        </w:r>
        <w:r w:rsidRPr="00B55200">
          <w:rPr>
            <w:webHidden/>
          </w:rPr>
          <w:fldChar w:fldCharType="end"/>
        </w:r>
      </w:hyperlink>
    </w:p>
    <w:p w14:paraId="3723F59D" w14:textId="32CF8CAB" w:rsidR="00BC7971" w:rsidRPr="00B55200" w:rsidRDefault="00BC7971" w:rsidP="00BC7971">
      <w:pPr>
        <w:pStyle w:val="TOC3"/>
        <w:rPr>
          <w:rFonts w:eastAsiaTheme="minorEastAsia" w:cstheme="minorBidi"/>
          <w:color w:val="auto"/>
          <w:kern w:val="2"/>
          <w:sz w:val="24"/>
          <w:u w:val="none"/>
          <w:lang w:eastAsia="en-AU"/>
          <w14:ligatures w14:val="standardContextual"/>
        </w:rPr>
      </w:pPr>
      <w:hyperlink w:anchor="_Toc196742031" w:history="1">
        <w:r w:rsidRPr="00B55200">
          <w:rPr>
            <w:rStyle w:val="Hyperlink"/>
            <w:rFonts w:ascii="Public Sans" w:hAnsi="Public Sans"/>
          </w:rPr>
          <w:t>Benefits of prohibiting sex-based conduct</w:t>
        </w:r>
        <w:r w:rsidRPr="00B55200">
          <w:rPr>
            <w:webHidden/>
          </w:rPr>
          <w:tab/>
        </w:r>
        <w:r w:rsidRPr="00B55200">
          <w:rPr>
            <w:webHidden/>
          </w:rPr>
          <w:fldChar w:fldCharType="begin"/>
        </w:r>
        <w:r w:rsidRPr="00B55200">
          <w:rPr>
            <w:webHidden/>
          </w:rPr>
          <w:instrText xml:space="preserve"> PAGEREF _Toc196742031 \h </w:instrText>
        </w:r>
        <w:r w:rsidRPr="00B55200">
          <w:rPr>
            <w:webHidden/>
          </w:rPr>
        </w:r>
        <w:r w:rsidRPr="00B55200">
          <w:rPr>
            <w:webHidden/>
          </w:rPr>
          <w:fldChar w:fldCharType="separate"/>
        </w:r>
        <w:r w:rsidR="00F44BFC">
          <w:rPr>
            <w:webHidden/>
          </w:rPr>
          <w:t>201</w:t>
        </w:r>
        <w:r w:rsidRPr="00B55200">
          <w:rPr>
            <w:webHidden/>
          </w:rPr>
          <w:fldChar w:fldCharType="end"/>
        </w:r>
      </w:hyperlink>
    </w:p>
    <w:p w14:paraId="79924F24" w14:textId="409AF9BD" w:rsidR="00BC7971" w:rsidRPr="00B55200" w:rsidRDefault="00BC7971" w:rsidP="00BC7971">
      <w:pPr>
        <w:pStyle w:val="TOC3"/>
        <w:rPr>
          <w:rFonts w:eastAsiaTheme="minorEastAsia" w:cstheme="minorBidi"/>
          <w:color w:val="auto"/>
          <w:kern w:val="2"/>
          <w:sz w:val="24"/>
          <w:u w:val="none"/>
          <w:lang w:eastAsia="en-AU"/>
          <w14:ligatures w14:val="standardContextual"/>
        </w:rPr>
      </w:pPr>
      <w:hyperlink w:anchor="_Toc196742032" w:history="1">
        <w:r w:rsidRPr="00B55200">
          <w:rPr>
            <w:rStyle w:val="Hyperlink"/>
            <w:rFonts w:ascii="Public Sans" w:hAnsi="Public Sans"/>
          </w:rPr>
          <w:t>Concerns about prohibiting sex-based conduct</w:t>
        </w:r>
        <w:r w:rsidRPr="00B55200">
          <w:rPr>
            <w:webHidden/>
          </w:rPr>
          <w:tab/>
        </w:r>
        <w:r w:rsidRPr="00B55200">
          <w:rPr>
            <w:webHidden/>
          </w:rPr>
          <w:fldChar w:fldCharType="begin"/>
        </w:r>
        <w:r w:rsidRPr="00B55200">
          <w:rPr>
            <w:webHidden/>
          </w:rPr>
          <w:instrText xml:space="preserve"> PAGEREF _Toc196742032 \h </w:instrText>
        </w:r>
        <w:r w:rsidRPr="00B55200">
          <w:rPr>
            <w:webHidden/>
          </w:rPr>
        </w:r>
        <w:r w:rsidRPr="00B55200">
          <w:rPr>
            <w:webHidden/>
          </w:rPr>
          <w:fldChar w:fldCharType="separate"/>
        </w:r>
        <w:r w:rsidR="00F44BFC">
          <w:rPr>
            <w:webHidden/>
          </w:rPr>
          <w:t>201</w:t>
        </w:r>
        <w:r w:rsidRPr="00B55200">
          <w:rPr>
            <w:webHidden/>
          </w:rPr>
          <w:fldChar w:fldCharType="end"/>
        </w:r>
      </w:hyperlink>
    </w:p>
    <w:p w14:paraId="7CF30060" w14:textId="00619A34" w:rsidR="00BC7971" w:rsidRPr="00B55200" w:rsidRDefault="00BC7971" w:rsidP="00BC7971">
      <w:pPr>
        <w:pStyle w:val="TOC2"/>
        <w:rPr>
          <w:rFonts w:eastAsiaTheme="minorEastAsia" w:cstheme="minorBidi"/>
          <w:b w:val="0"/>
          <w:color w:val="auto"/>
          <w:kern w:val="2"/>
          <w:sz w:val="24"/>
          <w:u w:val="none"/>
          <w:lang w:eastAsia="en-AU"/>
          <w14:ligatures w14:val="standardContextual"/>
        </w:rPr>
      </w:pPr>
      <w:hyperlink w:anchor="_Toc196742033" w:history="1">
        <w:r w:rsidRPr="00B55200">
          <w:rPr>
            <w:rStyle w:val="Hyperlink"/>
            <w:rFonts w:ascii="Public Sans" w:hAnsi="Public Sans"/>
          </w:rPr>
          <w:t>Areas in which sexual harassment is unlawful</w:t>
        </w:r>
        <w:r w:rsidRPr="00B55200">
          <w:rPr>
            <w:webHidden/>
          </w:rPr>
          <w:tab/>
        </w:r>
        <w:r w:rsidRPr="00B55200">
          <w:rPr>
            <w:webHidden/>
          </w:rPr>
          <w:fldChar w:fldCharType="begin"/>
        </w:r>
        <w:r w:rsidRPr="00B55200">
          <w:rPr>
            <w:webHidden/>
          </w:rPr>
          <w:instrText xml:space="preserve"> PAGEREF _Toc196742033 \h </w:instrText>
        </w:r>
        <w:r w:rsidRPr="00B55200">
          <w:rPr>
            <w:webHidden/>
          </w:rPr>
        </w:r>
        <w:r w:rsidRPr="00B55200">
          <w:rPr>
            <w:webHidden/>
          </w:rPr>
          <w:fldChar w:fldCharType="separate"/>
        </w:r>
        <w:r w:rsidR="00F44BFC">
          <w:rPr>
            <w:webHidden/>
          </w:rPr>
          <w:t>203</w:t>
        </w:r>
        <w:r w:rsidRPr="00B55200">
          <w:rPr>
            <w:webHidden/>
          </w:rPr>
          <w:fldChar w:fldCharType="end"/>
        </w:r>
      </w:hyperlink>
    </w:p>
    <w:p w14:paraId="11625D16" w14:textId="3ACE97C4" w:rsidR="00BC7971" w:rsidRPr="00B55200" w:rsidRDefault="00BC7971" w:rsidP="00BC7971">
      <w:pPr>
        <w:pStyle w:val="TOC3"/>
        <w:rPr>
          <w:rFonts w:eastAsiaTheme="minorEastAsia" w:cstheme="minorBidi"/>
          <w:color w:val="auto"/>
          <w:kern w:val="2"/>
          <w:sz w:val="24"/>
          <w:u w:val="none"/>
          <w:lang w:eastAsia="en-AU"/>
          <w14:ligatures w14:val="standardContextual"/>
        </w:rPr>
      </w:pPr>
      <w:hyperlink w:anchor="_Toc196742034" w:history="1">
        <w:r w:rsidRPr="00B55200">
          <w:rPr>
            <w:rStyle w:val="Hyperlink"/>
            <w:rFonts w:ascii="Public Sans" w:hAnsi="Public Sans"/>
          </w:rPr>
          <w:t>Overview of the ADA’s approach</w:t>
        </w:r>
        <w:r w:rsidRPr="00B55200">
          <w:rPr>
            <w:webHidden/>
          </w:rPr>
          <w:tab/>
        </w:r>
        <w:r w:rsidRPr="00B55200">
          <w:rPr>
            <w:webHidden/>
          </w:rPr>
          <w:fldChar w:fldCharType="begin"/>
        </w:r>
        <w:r w:rsidRPr="00B55200">
          <w:rPr>
            <w:webHidden/>
          </w:rPr>
          <w:instrText xml:space="preserve"> PAGEREF _Toc196742034 \h </w:instrText>
        </w:r>
        <w:r w:rsidRPr="00B55200">
          <w:rPr>
            <w:webHidden/>
          </w:rPr>
        </w:r>
        <w:r w:rsidRPr="00B55200">
          <w:rPr>
            <w:webHidden/>
          </w:rPr>
          <w:fldChar w:fldCharType="separate"/>
        </w:r>
        <w:r w:rsidR="00F44BFC">
          <w:rPr>
            <w:webHidden/>
          </w:rPr>
          <w:t>204</w:t>
        </w:r>
        <w:r w:rsidRPr="00B55200">
          <w:rPr>
            <w:webHidden/>
          </w:rPr>
          <w:fldChar w:fldCharType="end"/>
        </w:r>
      </w:hyperlink>
    </w:p>
    <w:p w14:paraId="0599D25D" w14:textId="17F26286" w:rsidR="00BC7971" w:rsidRPr="00B55200" w:rsidRDefault="00BC7971" w:rsidP="00BC7971">
      <w:pPr>
        <w:pStyle w:val="TOC3"/>
        <w:rPr>
          <w:rFonts w:eastAsiaTheme="minorEastAsia" w:cstheme="minorBidi"/>
          <w:color w:val="auto"/>
          <w:kern w:val="2"/>
          <w:sz w:val="24"/>
          <w:u w:val="none"/>
          <w:lang w:eastAsia="en-AU"/>
          <w14:ligatures w14:val="standardContextual"/>
        </w:rPr>
      </w:pPr>
      <w:hyperlink w:anchor="_Toc196742035" w:history="1">
        <w:r w:rsidRPr="00B55200">
          <w:rPr>
            <w:rStyle w:val="Hyperlink"/>
            <w:rFonts w:ascii="Public Sans" w:hAnsi="Public Sans"/>
          </w:rPr>
          <w:t xml:space="preserve">Comparisons with the </w:t>
        </w:r>
        <w:r w:rsidRPr="00B55200">
          <w:rPr>
            <w:rStyle w:val="Hyperlink"/>
            <w:rFonts w:ascii="Public Sans" w:hAnsi="Public Sans"/>
            <w:i/>
          </w:rPr>
          <w:t>Sex Discrimination Act</w:t>
        </w:r>
        <w:r w:rsidRPr="00B55200">
          <w:rPr>
            <w:webHidden/>
          </w:rPr>
          <w:tab/>
        </w:r>
        <w:r w:rsidRPr="00B55200">
          <w:rPr>
            <w:webHidden/>
          </w:rPr>
          <w:fldChar w:fldCharType="begin"/>
        </w:r>
        <w:r w:rsidRPr="00B55200">
          <w:rPr>
            <w:webHidden/>
          </w:rPr>
          <w:instrText xml:space="preserve"> PAGEREF _Toc196742035 \h </w:instrText>
        </w:r>
        <w:r w:rsidRPr="00B55200">
          <w:rPr>
            <w:webHidden/>
          </w:rPr>
        </w:r>
        <w:r w:rsidRPr="00B55200">
          <w:rPr>
            <w:webHidden/>
          </w:rPr>
          <w:fldChar w:fldCharType="separate"/>
        </w:r>
        <w:r w:rsidR="00F44BFC">
          <w:rPr>
            <w:webHidden/>
          </w:rPr>
          <w:t>204</w:t>
        </w:r>
        <w:r w:rsidRPr="00B55200">
          <w:rPr>
            <w:webHidden/>
          </w:rPr>
          <w:fldChar w:fldCharType="end"/>
        </w:r>
      </w:hyperlink>
    </w:p>
    <w:p w14:paraId="7927E431" w14:textId="353F9D12" w:rsidR="00BC7971" w:rsidRPr="00B55200" w:rsidRDefault="00BC7971" w:rsidP="00BC7971">
      <w:pPr>
        <w:pStyle w:val="TOC3"/>
        <w:rPr>
          <w:rFonts w:eastAsiaTheme="minorEastAsia" w:cstheme="minorBidi"/>
          <w:color w:val="auto"/>
          <w:kern w:val="2"/>
          <w:sz w:val="24"/>
          <w:u w:val="none"/>
          <w:lang w:eastAsia="en-AU"/>
          <w14:ligatures w14:val="standardContextual"/>
        </w:rPr>
      </w:pPr>
      <w:hyperlink w:anchor="_Toc196742036" w:history="1">
        <w:r w:rsidRPr="00B55200">
          <w:rPr>
            <w:rStyle w:val="Hyperlink"/>
            <w:rFonts w:ascii="Public Sans" w:hAnsi="Public Sans"/>
          </w:rPr>
          <w:t>Workplace-related laws also regulate sexual harassment</w:t>
        </w:r>
        <w:r w:rsidRPr="00B55200">
          <w:rPr>
            <w:webHidden/>
          </w:rPr>
          <w:tab/>
        </w:r>
        <w:r w:rsidRPr="00B55200">
          <w:rPr>
            <w:webHidden/>
          </w:rPr>
          <w:fldChar w:fldCharType="begin"/>
        </w:r>
        <w:r w:rsidRPr="00B55200">
          <w:rPr>
            <w:webHidden/>
          </w:rPr>
          <w:instrText xml:space="preserve"> PAGEREF _Toc196742036 \h </w:instrText>
        </w:r>
        <w:r w:rsidRPr="00B55200">
          <w:rPr>
            <w:webHidden/>
          </w:rPr>
        </w:r>
        <w:r w:rsidRPr="00B55200">
          <w:rPr>
            <w:webHidden/>
          </w:rPr>
          <w:fldChar w:fldCharType="separate"/>
        </w:r>
        <w:r w:rsidR="00F44BFC">
          <w:rPr>
            <w:webHidden/>
          </w:rPr>
          <w:t>207</w:t>
        </w:r>
        <w:r w:rsidRPr="00B55200">
          <w:rPr>
            <w:webHidden/>
          </w:rPr>
          <w:fldChar w:fldCharType="end"/>
        </w:r>
      </w:hyperlink>
    </w:p>
    <w:p w14:paraId="0A6A24AA" w14:textId="2481BD26" w:rsidR="00BC7971" w:rsidRPr="00B55200" w:rsidRDefault="00BC7971" w:rsidP="00BC7971">
      <w:pPr>
        <w:pStyle w:val="TOC3"/>
        <w:rPr>
          <w:rFonts w:eastAsiaTheme="minorEastAsia" w:cstheme="minorBidi"/>
          <w:color w:val="auto"/>
          <w:kern w:val="2"/>
          <w:sz w:val="24"/>
          <w:u w:val="none"/>
          <w:lang w:eastAsia="en-AU"/>
          <w14:ligatures w14:val="standardContextual"/>
        </w:rPr>
      </w:pPr>
      <w:hyperlink w:anchor="_Toc196742037" w:history="1">
        <w:r w:rsidRPr="00B55200">
          <w:rPr>
            <w:rStyle w:val="Hyperlink"/>
            <w:rFonts w:ascii="Public Sans" w:hAnsi="Public Sans"/>
          </w:rPr>
          <w:t>Prohibiting sexual harassment in other areas of life</w:t>
        </w:r>
        <w:r w:rsidRPr="00B55200">
          <w:rPr>
            <w:webHidden/>
          </w:rPr>
          <w:tab/>
        </w:r>
        <w:r w:rsidRPr="00B55200">
          <w:rPr>
            <w:webHidden/>
          </w:rPr>
          <w:fldChar w:fldCharType="begin"/>
        </w:r>
        <w:r w:rsidRPr="00B55200">
          <w:rPr>
            <w:webHidden/>
          </w:rPr>
          <w:instrText xml:space="preserve"> PAGEREF _Toc196742037 \h </w:instrText>
        </w:r>
        <w:r w:rsidRPr="00B55200">
          <w:rPr>
            <w:webHidden/>
          </w:rPr>
        </w:r>
        <w:r w:rsidRPr="00B55200">
          <w:rPr>
            <w:webHidden/>
          </w:rPr>
          <w:fldChar w:fldCharType="separate"/>
        </w:r>
        <w:r w:rsidR="00F44BFC">
          <w:rPr>
            <w:webHidden/>
          </w:rPr>
          <w:t>208</w:t>
        </w:r>
        <w:r w:rsidRPr="00B55200">
          <w:rPr>
            <w:webHidden/>
          </w:rPr>
          <w:fldChar w:fldCharType="end"/>
        </w:r>
      </w:hyperlink>
    </w:p>
    <w:p w14:paraId="250D40C9" w14:textId="24976A63" w:rsidR="00BC7971" w:rsidRPr="00B55200" w:rsidRDefault="00BC7971" w:rsidP="00BC7971">
      <w:pPr>
        <w:pStyle w:val="TOC3"/>
        <w:rPr>
          <w:rFonts w:eastAsiaTheme="minorEastAsia" w:cstheme="minorBidi"/>
          <w:color w:val="auto"/>
          <w:kern w:val="2"/>
          <w:sz w:val="24"/>
          <w:u w:val="none"/>
          <w:lang w:eastAsia="en-AU"/>
          <w14:ligatures w14:val="standardContextual"/>
        </w:rPr>
      </w:pPr>
      <w:hyperlink w:anchor="_Toc196742038" w:history="1">
        <w:r w:rsidRPr="00B55200">
          <w:rPr>
            <w:rStyle w:val="Hyperlink"/>
            <w:rFonts w:ascii="Public Sans" w:hAnsi="Public Sans"/>
          </w:rPr>
          <w:t>The private accommodation exception</w:t>
        </w:r>
        <w:r w:rsidRPr="00B55200">
          <w:rPr>
            <w:webHidden/>
          </w:rPr>
          <w:tab/>
        </w:r>
        <w:r w:rsidRPr="00B55200">
          <w:rPr>
            <w:webHidden/>
          </w:rPr>
          <w:fldChar w:fldCharType="begin"/>
        </w:r>
        <w:r w:rsidRPr="00B55200">
          <w:rPr>
            <w:webHidden/>
          </w:rPr>
          <w:instrText xml:space="preserve"> PAGEREF _Toc196742038 \h </w:instrText>
        </w:r>
        <w:r w:rsidRPr="00B55200">
          <w:rPr>
            <w:webHidden/>
          </w:rPr>
        </w:r>
        <w:r w:rsidRPr="00B55200">
          <w:rPr>
            <w:webHidden/>
          </w:rPr>
          <w:fldChar w:fldCharType="separate"/>
        </w:r>
        <w:r w:rsidR="00F44BFC">
          <w:rPr>
            <w:webHidden/>
          </w:rPr>
          <w:t>210</w:t>
        </w:r>
        <w:r w:rsidRPr="00B55200">
          <w:rPr>
            <w:webHidden/>
          </w:rPr>
          <w:fldChar w:fldCharType="end"/>
        </w:r>
      </w:hyperlink>
    </w:p>
    <w:p w14:paraId="087B2D40" w14:textId="25E350DA" w:rsidR="00BC7971" w:rsidRPr="00B55200" w:rsidRDefault="00BC7971" w:rsidP="00BC7971">
      <w:pPr>
        <w:pStyle w:val="TOC2"/>
        <w:rPr>
          <w:rFonts w:eastAsiaTheme="minorEastAsia" w:cstheme="minorBidi"/>
          <w:b w:val="0"/>
          <w:color w:val="auto"/>
          <w:kern w:val="2"/>
          <w:sz w:val="24"/>
          <w:u w:val="none"/>
          <w:lang w:eastAsia="en-AU"/>
          <w14:ligatures w14:val="standardContextual"/>
        </w:rPr>
      </w:pPr>
      <w:hyperlink w:anchor="_Toc196742039" w:history="1">
        <w:r w:rsidRPr="00B55200">
          <w:rPr>
            <w:rStyle w:val="Hyperlink"/>
            <w:rFonts w:ascii="Public Sans" w:hAnsi="Public Sans"/>
          </w:rPr>
          <w:t>Harassment based on protected attributes</w:t>
        </w:r>
        <w:r w:rsidRPr="00B55200">
          <w:rPr>
            <w:webHidden/>
          </w:rPr>
          <w:tab/>
        </w:r>
        <w:r w:rsidRPr="00B55200">
          <w:rPr>
            <w:webHidden/>
          </w:rPr>
          <w:fldChar w:fldCharType="begin"/>
        </w:r>
        <w:r w:rsidRPr="00B55200">
          <w:rPr>
            <w:webHidden/>
          </w:rPr>
          <w:instrText xml:space="preserve"> PAGEREF _Toc196742039 \h </w:instrText>
        </w:r>
        <w:r w:rsidRPr="00B55200">
          <w:rPr>
            <w:webHidden/>
          </w:rPr>
        </w:r>
        <w:r w:rsidRPr="00B55200">
          <w:rPr>
            <w:webHidden/>
          </w:rPr>
          <w:fldChar w:fldCharType="separate"/>
        </w:r>
        <w:r w:rsidR="00F44BFC">
          <w:rPr>
            <w:webHidden/>
          </w:rPr>
          <w:t>211</w:t>
        </w:r>
        <w:r w:rsidRPr="00B55200">
          <w:rPr>
            <w:webHidden/>
          </w:rPr>
          <w:fldChar w:fldCharType="end"/>
        </w:r>
      </w:hyperlink>
    </w:p>
    <w:p w14:paraId="788395A3" w14:textId="7BC5C41F" w:rsidR="00BC7971" w:rsidRPr="00B55200" w:rsidRDefault="00BC7971" w:rsidP="00BC7971">
      <w:pPr>
        <w:pStyle w:val="TOC3"/>
        <w:rPr>
          <w:rFonts w:eastAsiaTheme="minorEastAsia" w:cstheme="minorBidi"/>
          <w:color w:val="auto"/>
          <w:kern w:val="2"/>
          <w:sz w:val="24"/>
          <w:u w:val="none"/>
          <w:lang w:eastAsia="en-AU"/>
          <w14:ligatures w14:val="standardContextual"/>
        </w:rPr>
      </w:pPr>
      <w:hyperlink w:anchor="_Toc196742040" w:history="1">
        <w:r w:rsidRPr="00B55200">
          <w:rPr>
            <w:rStyle w:val="Hyperlink"/>
            <w:rFonts w:ascii="Public Sans" w:hAnsi="Public Sans"/>
          </w:rPr>
          <w:t>Arguments for and against new prohibitions</w:t>
        </w:r>
        <w:r w:rsidRPr="00B55200">
          <w:rPr>
            <w:webHidden/>
          </w:rPr>
          <w:tab/>
        </w:r>
        <w:r w:rsidRPr="00B55200">
          <w:rPr>
            <w:webHidden/>
          </w:rPr>
          <w:fldChar w:fldCharType="begin"/>
        </w:r>
        <w:r w:rsidRPr="00B55200">
          <w:rPr>
            <w:webHidden/>
          </w:rPr>
          <w:instrText xml:space="preserve"> PAGEREF _Toc196742040 \h </w:instrText>
        </w:r>
        <w:r w:rsidRPr="00B55200">
          <w:rPr>
            <w:webHidden/>
          </w:rPr>
        </w:r>
        <w:r w:rsidRPr="00B55200">
          <w:rPr>
            <w:webHidden/>
          </w:rPr>
          <w:fldChar w:fldCharType="separate"/>
        </w:r>
        <w:r w:rsidR="00F44BFC">
          <w:rPr>
            <w:webHidden/>
          </w:rPr>
          <w:t>211</w:t>
        </w:r>
        <w:r w:rsidRPr="00B55200">
          <w:rPr>
            <w:webHidden/>
          </w:rPr>
          <w:fldChar w:fldCharType="end"/>
        </w:r>
      </w:hyperlink>
    </w:p>
    <w:p w14:paraId="6B10808E" w14:textId="7B709701" w:rsidR="00BC7971" w:rsidRPr="00B55200" w:rsidRDefault="00BC7971" w:rsidP="00BC7971">
      <w:pPr>
        <w:pStyle w:val="TOC3"/>
        <w:rPr>
          <w:rFonts w:eastAsiaTheme="minorEastAsia" w:cstheme="minorBidi"/>
          <w:color w:val="auto"/>
          <w:kern w:val="2"/>
          <w:sz w:val="24"/>
          <w:u w:val="none"/>
          <w:lang w:eastAsia="en-AU"/>
          <w14:ligatures w14:val="standardContextual"/>
        </w:rPr>
      </w:pPr>
      <w:hyperlink w:anchor="_Toc196742041" w:history="1">
        <w:r w:rsidRPr="00B55200">
          <w:rPr>
            <w:rStyle w:val="Hyperlink"/>
            <w:rFonts w:ascii="Public Sans" w:hAnsi="Public Sans"/>
          </w:rPr>
          <w:t>Conduct that could be considered attribute-based harassment</w:t>
        </w:r>
        <w:r w:rsidRPr="00B55200">
          <w:rPr>
            <w:webHidden/>
          </w:rPr>
          <w:tab/>
        </w:r>
        <w:r w:rsidRPr="00B55200">
          <w:rPr>
            <w:webHidden/>
          </w:rPr>
          <w:fldChar w:fldCharType="begin"/>
        </w:r>
        <w:r w:rsidRPr="00B55200">
          <w:rPr>
            <w:webHidden/>
          </w:rPr>
          <w:instrText xml:space="preserve"> PAGEREF _Toc196742041 \h </w:instrText>
        </w:r>
        <w:r w:rsidRPr="00B55200">
          <w:rPr>
            <w:webHidden/>
          </w:rPr>
        </w:r>
        <w:r w:rsidRPr="00B55200">
          <w:rPr>
            <w:webHidden/>
          </w:rPr>
          <w:fldChar w:fldCharType="separate"/>
        </w:r>
        <w:r w:rsidR="00F44BFC">
          <w:rPr>
            <w:webHidden/>
          </w:rPr>
          <w:t>212</w:t>
        </w:r>
        <w:r w:rsidRPr="00B55200">
          <w:rPr>
            <w:webHidden/>
          </w:rPr>
          <w:fldChar w:fldCharType="end"/>
        </w:r>
      </w:hyperlink>
    </w:p>
    <w:p w14:paraId="7320A89E" w14:textId="17605E90" w:rsidR="00BC7971" w:rsidRPr="00B55200" w:rsidRDefault="00BC7971" w:rsidP="00BC7971">
      <w:pPr>
        <w:pStyle w:val="TOC3"/>
        <w:rPr>
          <w:rFonts w:eastAsiaTheme="minorEastAsia" w:cstheme="minorBidi"/>
          <w:color w:val="auto"/>
          <w:kern w:val="2"/>
          <w:sz w:val="24"/>
          <w:u w:val="none"/>
          <w:lang w:eastAsia="en-AU"/>
          <w14:ligatures w14:val="standardContextual"/>
        </w:rPr>
      </w:pPr>
      <w:hyperlink w:anchor="_Toc196742042" w:history="1">
        <w:r w:rsidRPr="00B55200">
          <w:rPr>
            <w:rStyle w:val="Hyperlink"/>
            <w:rFonts w:ascii="Public Sans" w:hAnsi="Public Sans"/>
          </w:rPr>
          <w:t>Harassment on the ground of other attributes and areas of life</w:t>
        </w:r>
        <w:r w:rsidRPr="00B55200">
          <w:rPr>
            <w:webHidden/>
          </w:rPr>
          <w:tab/>
        </w:r>
        <w:r w:rsidRPr="00B55200">
          <w:rPr>
            <w:webHidden/>
          </w:rPr>
          <w:fldChar w:fldCharType="begin"/>
        </w:r>
        <w:r w:rsidRPr="00B55200">
          <w:rPr>
            <w:webHidden/>
          </w:rPr>
          <w:instrText xml:space="preserve"> PAGEREF _Toc196742042 \h </w:instrText>
        </w:r>
        <w:r w:rsidRPr="00B55200">
          <w:rPr>
            <w:webHidden/>
          </w:rPr>
        </w:r>
        <w:r w:rsidRPr="00B55200">
          <w:rPr>
            <w:webHidden/>
          </w:rPr>
          <w:fldChar w:fldCharType="separate"/>
        </w:r>
        <w:r w:rsidR="00F44BFC">
          <w:rPr>
            <w:webHidden/>
          </w:rPr>
          <w:t>213</w:t>
        </w:r>
        <w:r w:rsidRPr="00B55200">
          <w:rPr>
            <w:webHidden/>
          </w:rPr>
          <w:fldChar w:fldCharType="end"/>
        </w:r>
      </w:hyperlink>
    </w:p>
    <w:p w14:paraId="46F197EE" w14:textId="77777777" w:rsidR="00BC7971" w:rsidRDefault="00BC7971" w:rsidP="00BC7971">
      <w:pPr>
        <w:pStyle w:val="TOC4"/>
      </w:pPr>
      <w:r>
        <w:fldChar w:fldCharType="end"/>
      </w:r>
    </w:p>
    <w:p w14:paraId="3D5E59E8" w14:textId="77777777" w:rsidR="00BC7971" w:rsidRDefault="00BC7971" w:rsidP="00BC7971">
      <w:pPr>
        <w:pStyle w:val="NormalAutoChapter"/>
        <w:tabs>
          <w:tab w:val="num" w:pos="3413"/>
        </w:tabs>
        <w:rPr>
          <w:noProof/>
        </w:rPr>
      </w:pPr>
      <w:r>
        <w:t xml:space="preserve">The </w:t>
      </w:r>
      <w:r w:rsidRPr="004A52C1">
        <w:rPr>
          <w:i/>
          <w:iCs/>
        </w:rPr>
        <w:t>Anti-Discrimination Act 1977</w:t>
      </w:r>
      <w:r>
        <w:t xml:space="preserve"> (NSW) (ADA) prohibits sexual harassment. Sexual harassment is unwelcome sexual conduct that would make a person feel offended, humiliated, or intimidated.</w:t>
      </w:r>
      <w:r>
        <w:rPr>
          <w:rStyle w:val="FootnoteReference"/>
        </w:rPr>
        <w:footnoteReference w:id="945"/>
      </w:r>
      <w:r w:rsidDel="00CF4315">
        <w:rPr>
          <w:rStyle w:val="FootnoteReference"/>
        </w:rPr>
        <w:t xml:space="preserve"> </w:t>
      </w:r>
      <w:r>
        <w:t xml:space="preserve"> </w:t>
      </w:r>
      <w:r>
        <w:rPr>
          <w:noProof/>
        </w:rPr>
        <w:t xml:space="preserve">This chapter focuses on the definition of sexual harassment, the areas of life where sexual harassment is prohibited and whether harassment on other grounds should be covered by the ADA. </w:t>
      </w:r>
    </w:p>
    <w:p w14:paraId="67ABE7F4" w14:textId="77777777" w:rsidR="00BC7971" w:rsidRDefault="00BC7971" w:rsidP="00BC7971">
      <w:pPr>
        <w:pStyle w:val="NormalAutoChapter"/>
        <w:tabs>
          <w:tab w:val="num" w:pos="3413"/>
        </w:tabs>
        <w:rPr>
          <w:noProof/>
        </w:rPr>
      </w:pPr>
      <w:r>
        <w:rPr>
          <w:noProof/>
        </w:rPr>
        <w:lastRenderedPageBreak/>
        <w:t xml:space="preserve">A significant issue is whether the ADA should be updated to reflect recent developments in sexual harassment law. The sexual harassment sections in the ADA have not been amended since they were introduced in 1997. </w:t>
      </w:r>
    </w:p>
    <w:p w14:paraId="48EE7134" w14:textId="77777777" w:rsidR="00BC7971" w:rsidRDefault="00BC7971" w:rsidP="00BC7971">
      <w:pPr>
        <w:pStyle w:val="NormalAutoChapter"/>
        <w:tabs>
          <w:tab w:val="num" w:pos="3413"/>
        </w:tabs>
        <w:rPr>
          <w:noProof/>
        </w:rPr>
      </w:pPr>
      <w:r>
        <w:rPr>
          <w:noProof/>
        </w:rPr>
        <w:t xml:space="preserve">However, major changes have occurred at the federal level. The Australian Human Rights Commission (AHRC)’s national inquiry into sexual harassment in workplaces has led to this change. In its 2020 </w:t>
      </w:r>
      <w:r w:rsidRPr="005A0D11">
        <w:rPr>
          <w:i/>
          <w:iCs/>
          <w:noProof/>
        </w:rPr>
        <w:t>Respect@Work</w:t>
      </w:r>
      <w:r>
        <w:rPr>
          <w:noProof/>
        </w:rPr>
        <w:t xml:space="preserve"> report, the AHRC found that the federal sexual harassment laws (which were broadly consistent with the </w:t>
      </w:r>
      <w:r w:rsidRPr="009E1422">
        <w:rPr>
          <w:iCs/>
          <w:noProof/>
        </w:rPr>
        <w:t>ADA</w:t>
      </w:r>
      <w:r>
        <w:rPr>
          <w:noProof/>
        </w:rPr>
        <w:t>) were not fit for purpose in addressing workplace sexual harassment. It recommended changes to place greater emphasis on victims, gender and intersectionality.</w:t>
      </w:r>
      <w:r>
        <w:rPr>
          <w:rStyle w:val="FootnoteReference"/>
          <w:noProof/>
        </w:rPr>
        <w:footnoteReference w:id="946"/>
      </w:r>
      <w:r>
        <w:rPr>
          <w:noProof/>
        </w:rPr>
        <w:t xml:space="preserve"> The </w:t>
      </w:r>
      <w:r w:rsidRPr="009E1422">
        <w:rPr>
          <w:i/>
          <w:iCs/>
          <w:noProof/>
        </w:rPr>
        <w:t>Sex Discrimination Act 1984</w:t>
      </w:r>
      <w:r>
        <w:rPr>
          <w:noProof/>
        </w:rPr>
        <w:t xml:space="preserve"> (Cth) (</w:t>
      </w:r>
      <w:r w:rsidRPr="009E1422">
        <w:rPr>
          <w:i/>
          <w:iCs/>
          <w:noProof/>
        </w:rPr>
        <w:t>Sex Discrimination Act</w:t>
      </w:r>
      <w:r>
        <w:rPr>
          <w:noProof/>
        </w:rPr>
        <w:t xml:space="preserve">) was amended to implement the AHRC’s recommendations. </w:t>
      </w:r>
    </w:p>
    <w:p w14:paraId="7E79B180" w14:textId="77777777" w:rsidR="00BC7971" w:rsidRDefault="00BC7971" w:rsidP="00BC7971">
      <w:pPr>
        <w:pStyle w:val="NormalAutoChapter"/>
        <w:tabs>
          <w:tab w:val="num" w:pos="3413"/>
        </w:tabs>
        <w:rPr>
          <w:noProof/>
        </w:rPr>
      </w:pPr>
      <w:r>
        <w:rPr>
          <w:noProof/>
        </w:rPr>
        <w:t xml:space="preserve">Another issue is how the ADA relates to other laws that prohibit sexual harassment. The </w:t>
      </w:r>
      <w:r>
        <w:rPr>
          <w:i/>
          <w:iCs/>
          <w:noProof/>
        </w:rPr>
        <w:t>Sex Discrimination Act</w:t>
      </w:r>
      <w:r>
        <w:rPr>
          <w:noProof/>
        </w:rPr>
        <w:t xml:space="preserve">, federal employment laws, and NSW work health and safety laws also prohibit sexual harassment, either directly or indirectly. </w:t>
      </w:r>
      <w:r>
        <w:t>T</w:t>
      </w:r>
      <w:r w:rsidDel="00276ABF">
        <w:t>h</w:t>
      </w:r>
      <w:r>
        <w:t xml:space="preserve">is means NSW complainants can face different options about which law to use and where to make a complaint. </w:t>
      </w:r>
    </w:p>
    <w:p w14:paraId="1D9B84FF" w14:textId="77777777" w:rsidR="00BC7971" w:rsidRDefault="00BC7971" w:rsidP="00BC7971">
      <w:pPr>
        <w:pStyle w:val="NormalAutoChapter"/>
        <w:tabs>
          <w:tab w:val="num" w:pos="3413"/>
        </w:tabs>
        <w:rPr>
          <w:noProof/>
        </w:rPr>
      </w:pPr>
      <w:r>
        <w:rPr>
          <w:noProof/>
        </w:rPr>
        <w:t>They might also have options about how to frame their complaint. Sexual harassment can also amount to sex discrimination, bullying or subjecting someone to a hostile work environment.</w:t>
      </w:r>
      <w:r>
        <w:rPr>
          <w:rStyle w:val="FootnoteReference"/>
          <w:noProof/>
        </w:rPr>
        <w:footnoteReference w:id="947"/>
      </w:r>
      <w:r>
        <w:rPr>
          <w:noProof/>
        </w:rPr>
        <w:t xml:space="preserve"> Serious instances of sexual harassment can also amount to criminal conduct, including sexual assault.</w:t>
      </w:r>
      <w:r>
        <w:rPr>
          <w:rStyle w:val="FootnoteReference"/>
          <w:noProof/>
        </w:rPr>
        <w:footnoteReference w:id="948"/>
      </w:r>
      <w:r>
        <w:rPr>
          <w:noProof/>
        </w:rPr>
        <w:t xml:space="preserve"> </w:t>
      </w:r>
    </w:p>
    <w:p w14:paraId="7249EA19" w14:textId="77777777" w:rsidR="00BC7971" w:rsidRDefault="00BC7971" w:rsidP="00BC7971">
      <w:pPr>
        <w:pStyle w:val="NormalAutoChapter"/>
        <w:tabs>
          <w:tab w:val="num" w:pos="3413"/>
        </w:tabs>
        <w:rPr>
          <w:noProof/>
        </w:rPr>
      </w:pPr>
      <w:r>
        <w:rPr>
          <w:noProof/>
        </w:rPr>
        <w:t>This chapter considers some of these legal frameworks and asks if there are any gaps in the ADA or indeed any overlaps with existing protections. We also ask if there is benefit in reforming the ADA</w:t>
      </w:r>
      <w:r w:rsidRPr="00053D27">
        <w:rPr>
          <w:noProof/>
        </w:rPr>
        <w:t xml:space="preserve"> </w:t>
      </w:r>
      <w:r>
        <w:rPr>
          <w:noProof/>
        </w:rPr>
        <w:t>to be more consistent with these frameworks.</w:t>
      </w:r>
    </w:p>
    <w:p w14:paraId="18A6BB85" w14:textId="77777777" w:rsidR="00BC7971" w:rsidRDefault="00BC7971" w:rsidP="00BC7971">
      <w:pPr>
        <w:pStyle w:val="NormalAutoChapter"/>
        <w:tabs>
          <w:tab w:val="num" w:pos="3413"/>
        </w:tabs>
        <w:rPr>
          <w:noProof/>
        </w:rPr>
      </w:pPr>
      <w:r>
        <w:rPr>
          <w:noProof/>
        </w:rPr>
        <w:t xml:space="preserve">We consider in </w:t>
      </w:r>
      <w:r w:rsidRPr="00AC13E8">
        <w:rPr>
          <w:noProof/>
        </w:rPr>
        <w:t>chapter 11</w:t>
      </w:r>
      <w:r>
        <w:rPr>
          <w:noProof/>
        </w:rPr>
        <w:t xml:space="preserve"> whether there should be a positive obligation to prevent and eliminate harassment. </w:t>
      </w:r>
      <w:r w:rsidRPr="00CE7069">
        <w:rPr>
          <w:noProof/>
        </w:rPr>
        <w:t xml:space="preserve">In </w:t>
      </w:r>
      <w:r w:rsidRPr="00AC13E8">
        <w:rPr>
          <w:noProof/>
        </w:rPr>
        <w:t>the second consultation paper, we will</w:t>
      </w:r>
      <w:r>
        <w:rPr>
          <w:noProof/>
        </w:rPr>
        <w:t xml:space="preserve"> consider remedies, enforcement and complaints handling. </w:t>
      </w:r>
    </w:p>
    <w:p w14:paraId="4F74894C" w14:textId="77777777" w:rsidR="00BC7971" w:rsidRDefault="00BC7971" w:rsidP="00BC7971">
      <w:pPr>
        <w:pStyle w:val="Heading1"/>
      </w:pPr>
      <w:bookmarkStart w:id="408" w:name="_Toc196742026"/>
      <w:bookmarkStart w:id="409" w:name="_Toc196826937"/>
      <w:r>
        <w:t>The test for sexual harassment under the ADA</w:t>
      </w:r>
      <w:bookmarkEnd w:id="408"/>
      <w:bookmarkEnd w:id="409"/>
    </w:p>
    <w:p w14:paraId="44C41A5A" w14:textId="77777777" w:rsidR="00BC7971" w:rsidRDefault="00BC7971" w:rsidP="00BC7971">
      <w:pPr>
        <w:pStyle w:val="NormalAutoChapter"/>
        <w:tabs>
          <w:tab w:val="num" w:pos="3413"/>
        </w:tabs>
      </w:pPr>
      <w:r>
        <w:t>There are four elements to sexual harassment under the ADA</w:t>
      </w:r>
      <w:r w:rsidRPr="007E17E8">
        <w:t>.</w:t>
      </w:r>
      <w:r>
        <w:t xml:space="preserve"> The test in the </w:t>
      </w:r>
      <w:r w:rsidRPr="002B6CC7">
        <w:rPr>
          <w:i/>
          <w:iCs/>
        </w:rPr>
        <w:t>Sex Discrimination Act</w:t>
      </w:r>
      <w:r>
        <w:t xml:space="preserve"> is similar, but with some important differences that we explain below. </w:t>
      </w:r>
    </w:p>
    <w:p w14:paraId="3233BE32" w14:textId="77777777" w:rsidR="00BC7971" w:rsidRDefault="00BC7971" w:rsidP="00BC7971">
      <w:pPr>
        <w:pStyle w:val="Heading2"/>
      </w:pPr>
      <w:bookmarkStart w:id="410" w:name="_Toc196742027"/>
      <w:bookmarkStart w:id="411" w:name="_Toc196826938"/>
      <w:r>
        <w:lastRenderedPageBreak/>
        <w:t>The ADA’s four-step test for sexual harassment</w:t>
      </w:r>
      <w:bookmarkEnd w:id="410"/>
      <w:bookmarkEnd w:id="411"/>
      <w:r>
        <w:t xml:space="preserve"> </w:t>
      </w:r>
    </w:p>
    <w:p w14:paraId="0614534B" w14:textId="77777777" w:rsidR="00BC7971" w:rsidRDefault="00BC7971" w:rsidP="00BC7971">
      <w:pPr>
        <w:pStyle w:val="NormalAutoChapter"/>
        <w:tabs>
          <w:tab w:val="num" w:pos="3413"/>
        </w:tabs>
      </w:pPr>
      <w:r>
        <w:t>Sexual harassment can include a broad range of behaviours, from sexually suggestive comments or questions to unwanted physical contact.</w:t>
      </w:r>
      <w:r>
        <w:rPr>
          <w:rStyle w:val="FootnoteReference"/>
        </w:rPr>
        <w:footnoteReference w:id="949"/>
      </w:r>
      <w:r>
        <w:t xml:space="preserve"> A single or isolated act of sexual conduct may be enough to be unlawful.</w:t>
      </w:r>
      <w:r>
        <w:rPr>
          <w:rStyle w:val="FootnoteReference"/>
        </w:rPr>
        <w:footnoteReference w:id="950"/>
      </w:r>
      <w:r>
        <w:t xml:space="preserve"> </w:t>
      </w:r>
    </w:p>
    <w:p w14:paraId="54CC1087" w14:textId="77777777" w:rsidR="00BC7971" w:rsidRDefault="00BC7971" w:rsidP="00BC7971">
      <w:pPr>
        <w:pStyle w:val="NormalAutoChapter"/>
      </w:pPr>
      <w:r>
        <w:t>The first step in the test is identifying what a person did and the sexual nature of the conduct. Sexual conduct includes sexual advances and requests for sexual favours.</w:t>
      </w:r>
      <w:r>
        <w:rPr>
          <w:rStyle w:val="FootnoteReference"/>
        </w:rPr>
        <w:footnoteReference w:id="951"/>
      </w:r>
      <w:r>
        <w:t xml:space="preserve"> However, the conduct does not have to be sexually explicit. For example, it can include sexual “[</w:t>
      </w:r>
      <w:proofErr w:type="spellStart"/>
      <w:r>
        <w:t>i</w:t>
      </w:r>
      <w:proofErr w:type="spellEnd"/>
      <w:r>
        <w:t>]</w:t>
      </w:r>
      <w:proofErr w:type="spellStart"/>
      <w:r>
        <w:t>nnuendo</w:t>
      </w:r>
      <w:proofErr w:type="spellEnd"/>
      <w:r>
        <w:t>, insinuation, implication, overtone, undertone, horseplay, a hint, a wink or a nod”.</w:t>
      </w:r>
      <w:r>
        <w:rPr>
          <w:rStyle w:val="FootnoteReference"/>
        </w:rPr>
        <w:footnoteReference w:id="952"/>
      </w:r>
      <w:r>
        <w:t xml:space="preserve"> </w:t>
      </w:r>
    </w:p>
    <w:p w14:paraId="33A2F24C" w14:textId="77777777" w:rsidR="00BC7971" w:rsidRDefault="00BC7971" w:rsidP="00BC7971">
      <w:pPr>
        <w:pStyle w:val="NormalAutoChapter"/>
      </w:pPr>
      <w:r>
        <w:t>The intention of the person engaging in the sexual conduct is irrelevant. This includes the person’s view about their conduct and how it was received by the complainant.</w:t>
      </w:r>
      <w:r>
        <w:rPr>
          <w:rStyle w:val="FootnoteReference"/>
        </w:rPr>
        <w:footnoteReference w:id="953"/>
      </w:r>
      <w:r w:rsidRPr="008F2987">
        <w:t xml:space="preserve"> </w:t>
      </w:r>
      <w:r>
        <w:t>Instead, whether the conduct is “sexual in nature” depends on the facts of the situation. This is what is known as an “objective” element.</w:t>
      </w:r>
      <w:r>
        <w:rPr>
          <w:rStyle w:val="FootnoteReference"/>
        </w:rPr>
        <w:footnoteReference w:id="954"/>
      </w:r>
      <w:r>
        <w:t xml:space="preserve"> </w:t>
      </w:r>
    </w:p>
    <w:p w14:paraId="0D360CA1" w14:textId="77777777" w:rsidR="00BC7971" w:rsidRDefault="00BC7971" w:rsidP="00BC7971">
      <w:pPr>
        <w:pStyle w:val="NormalAutoChapter"/>
      </w:pPr>
      <w:r>
        <w:t>The second step is that the conduct must be directed to or done in relation to the complainant. This means there must be some connection between the conduct and the complainant. Simply being a bystander or observing sexual conduct may not be enough to be considered sexual harassment.</w:t>
      </w:r>
      <w:r>
        <w:rPr>
          <w:rStyle w:val="FootnoteReference"/>
        </w:rPr>
        <w:footnoteReference w:id="955"/>
      </w:r>
    </w:p>
    <w:p w14:paraId="6D8F26BF" w14:textId="77777777" w:rsidR="00BC7971" w:rsidRDefault="00BC7971" w:rsidP="00BC7971">
      <w:pPr>
        <w:pStyle w:val="NormalAutoChapter"/>
      </w:pPr>
      <w:r>
        <w:t>The next step is that the sexual conduct must be unwelcome to the complainant. Whether the conduct is “unwelcome” is determined from the complainant’s perspective at the time of the conduct.</w:t>
      </w:r>
      <w:r>
        <w:rPr>
          <w:rStyle w:val="FootnoteReference"/>
        </w:rPr>
        <w:footnoteReference w:id="956"/>
      </w:r>
      <w:r>
        <w:t xml:space="preserve"> In other words, it is a “subjective” element.</w:t>
      </w:r>
      <w:r>
        <w:rPr>
          <w:rStyle w:val="FootnoteReference"/>
        </w:rPr>
        <w:footnoteReference w:id="957"/>
      </w:r>
      <w:r>
        <w:t xml:space="preserve"> Sometimes, it may be “obvious” just from the nature of the conduct that it was </w:t>
      </w:r>
      <w:r>
        <w:lastRenderedPageBreak/>
        <w:t>unwelcome.</w:t>
      </w:r>
      <w:r>
        <w:rPr>
          <w:rStyle w:val="FootnoteReference"/>
        </w:rPr>
        <w:footnoteReference w:id="958"/>
      </w:r>
      <w:r>
        <w:t xml:space="preserve"> There is no requirement that the complainant expressly objected to the conduct or said that the conduct was unwelcome.</w:t>
      </w:r>
      <w:r>
        <w:rPr>
          <w:rStyle w:val="FootnoteReference"/>
        </w:rPr>
        <w:footnoteReference w:id="959"/>
      </w:r>
    </w:p>
    <w:p w14:paraId="27CE5850" w14:textId="77777777" w:rsidR="00BC7971" w:rsidRDefault="00BC7971" w:rsidP="00BC7971">
      <w:pPr>
        <w:pStyle w:val="NormalAutoChapter"/>
        <w:tabs>
          <w:tab w:val="num" w:pos="3413"/>
        </w:tabs>
      </w:pPr>
      <w:r>
        <w:t xml:space="preserve">The final step is that a reasonable person, with knowledge of all the circumstances, would anticipate that the complainant would be offended, humiliated or intimidated by the unwelcome sexual conduct. </w:t>
      </w:r>
    </w:p>
    <w:p w14:paraId="321EB055" w14:textId="77777777" w:rsidR="00BC7971" w:rsidRDefault="00BC7971" w:rsidP="00BC7971">
      <w:pPr>
        <w:pStyle w:val="NormalAutoChapter"/>
        <w:tabs>
          <w:tab w:val="num" w:pos="3413"/>
        </w:tabs>
      </w:pPr>
      <w:r>
        <w:t>This is known as the “reasonable person” test or standard. It is objective, meaning it is not assessed from the perspective of the complainant, but rather from the perspective of a hypothetical reasonable person with knowledge of the situation.</w:t>
      </w:r>
      <w:r>
        <w:rPr>
          <w:rStyle w:val="FootnoteReference"/>
        </w:rPr>
        <w:footnoteReference w:id="960"/>
      </w:r>
    </w:p>
    <w:p w14:paraId="5E5F7A5A" w14:textId="77777777" w:rsidR="00BC7971" w:rsidRDefault="00BC7971" w:rsidP="00BC7971">
      <w:pPr>
        <w:pStyle w:val="Heading2"/>
      </w:pPr>
      <w:bookmarkStart w:id="412" w:name="_Toc196742028"/>
      <w:bookmarkStart w:id="413" w:name="_Toc196826939"/>
      <w:r>
        <w:rPr>
          <w:noProof/>
        </w:rPr>
        <w:t xml:space="preserve">Differences to the </w:t>
      </w:r>
      <w:r>
        <w:rPr>
          <w:i/>
          <w:iCs w:val="0"/>
          <w:noProof/>
        </w:rPr>
        <w:t>Sex Discrimination Act</w:t>
      </w:r>
      <w:bookmarkEnd w:id="412"/>
      <w:bookmarkEnd w:id="413"/>
      <w:r>
        <w:rPr>
          <w:noProof/>
        </w:rPr>
        <w:t xml:space="preserve"> </w:t>
      </w:r>
    </w:p>
    <w:p w14:paraId="0FE5C7DC" w14:textId="77777777" w:rsidR="00BC7971" w:rsidRDefault="00BC7971" w:rsidP="00BC7971">
      <w:pPr>
        <w:pStyle w:val="NormalAutoChapter"/>
        <w:tabs>
          <w:tab w:val="num" w:pos="3413"/>
        </w:tabs>
      </w:pPr>
      <w:r>
        <w:rPr>
          <w:lang w:eastAsia="en-US"/>
        </w:rPr>
        <w:t xml:space="preserve">Under both the ADA and the </w:t>
      </w:r>
      <w:r>
        <w:rPr>
          <w:i/>
          <w:iCs/>
          <w:noProof/>
        </w:rPr>
        <w:t>Sex Discrimination Act</w:t>
      </w:r>
      <w:r>
        <w:rPr>
          <w:lang w:eastAsia="en-US"/>
        </w:rPr>
        <w:t xml:space="preserve">, sexual harassment includes engaging in unwelcome conduct of a sexual nature in relation to another person. An objective “reasonable person” standard applies in both laws to determine whether the unwelcome sexual conduct could be considered as offending, humiliating or intimidating to the complainant. </w:t>
      </w:r>
    </w:p>
    <w:p w14:paraId="7D30EB61" w14:textId="77777777" w:rsidR="00BC7971" w:rsidRDefault="00BC7971" w:rsidP="00BC7971">
      <w:pPr>
        <w:pStyle w:val="NormalAutoChapter"/>
        <w:tabs>
          <w:tab w:val="num" w:pos="3413"/>
        </w:tabs>
      </w:pPr>
      <w:r>
        <w:rPr>
          <w:lang w:eastAsia="en-US"/>
        </w:rPr>
        <w:t xml:space="preserve">However, there are important differences between these two laws. An issue is whether the ADA should be amended to align with the </w:t>
      </w:r>
      <w:r w:rsidRPr="0013523D">
        <w:rPr>
          <w:i/>
          <w:iCs/>
          <w:lang w:eastAsia="en-US"/>
        </w:rPr>
        <w:t>Sex Discrimination Act</w:t>
      </w:r>
      <w:r>
        <w:rPr>
          <w:lang w:eastAsia="en-US"/>
        </w:rPr>
        <w:t>.</w:t>
      </w:r>
    </w:p>
    <w:p w14:paraId="58C2EBBC" w14:textId="77777777" w:rsidR="00BC7971" w:rsidRPr="00415A2A" w:rsidRDefault="00BC7971" w:rsidP="00BC7971">
      <w:pPr>
        <w:pStyle w:val="Heading3"/>
      </w:pPr>
      <w:r w:rsidRPr="00415A2A">
        <w:t>The threshold of the “reasonable person” standard</w:t>
      </w:r>
    </w:p>
    <w:p w14:paraId="48DA831B" w14:textId="77777777" w:rsidR="00BC7971" w:rsidRPr="00415A2A" w:rsidRDefault="00BC7971" w:rsidP="00BC7971">
      <w:pPr>
        <w:pStyle w:val="NormalAutoChapter"/>
        <w:tabs>
          <w:tab w:val="num" w:pos="3413"/>
        </w:tabs>
      </w:pPr>
      <w:r w:rsidRPr="00415A2A">
        <w:rPr>
          <w:lang w:eastAsia="en-US"/>
        </w:rPr>
        <w:t xml:space="preserve">One difference is that the threshold of the “reasonable person” standard is lower under the </w:t>
      </w:r>
      <w:r w:rsidRPr="00415A2A">
        <w:rPr>
          <w:i/>
          <w:iCs/>
          <w:noProof/>
        </w:rPr>
        <w:t>Sex Discrimination Act</w:t>
      </w:r>
      <w:r w:rsidRPr="00415A2A">
        <w:rPr>
          <w:lang w:eastAsia="en-US"/>
        </w:rPr>
        <w:t xml:space="preserve">. It requires </w:t>
      </w:r>
      <w:r w:rsidRPr="00415A2A">
        <w:t>a reasonable person to anticipate</w:t>
      </w:r>
      <w:r w:rsidRPr="00415A2A">
        <w:rPr>
          <w:lang w:eastAsia="en-US"/>
        </w:rPr>
        <w:t xml:space="preserve"> “the possibility” that the person harassed would be offended, humiliated or intimidated.</w:t>
      </w:r>
      <w:r w:rsidRPr="00415A2A">
        <w:rPr>
          <w:rStyle w:val="FootnoteReference"/>
          <w:lang w:eastAsia="en-US"/>
        </w:rPr>
        <w:footnoteReference w:id="961"/>
      </w:r>
      <w:r w:rsidRPr="00415A2A">
        <w:t xml:space="preserve"> By contrast, the </w:t>
      </w:r>
      <w:r w:rsidRPr="00415A2A">
        <w:rPr>
          <w:iCs/>
          <w:lang w:eastAsia="en-US"/>
        </w:rPr>
        <w:t>ADA</w:t>
      </w:r>
      <w:r w:rsidRPr="00415A2A">
        <w:t xml:space="preserve"> requires a reasonable person to anticipate that the person harassed would be offended, humiliated or intimidated.</w:t>
      </w:r>
      <w:r w:rsidRPr="00415A2A">
        <w:rPr>
          <w:rStyle w:val="FootnoteReference"/>
        </w:rPr>
        <w:footnoteReference w:id="962"/>
      </w:r>
    </w:p>
    <w:p w14:paraId="01E48DA9" w14:textId="77777777" w:rsidR="00BC7971" w:rsidRPr="00415A2A" w:rsidRDefault="00BC7971" w:rsidP="00BC7971">
      <w:pPr>
        <w:pStyle w:val="NormalAutoChapter"/>
        <w:tabs>
          <w:tab w:val="num" w:pos="3413"/>
        </w:tabs>
      </w:pPr>
      <w:r w:rsidRPr="00415A2A">
        <w:rPr>
          <w:lang w:eastAsia="en-US"/>
        </w:rPr>
        <w:t xml:space="preserve">The </w:t>
      </w:r>
      <w:r w:rsidRPr="00415A2A">
        <w:rPr>
          <w:i/>
          <w:iCs/>
          <w:noProof/>
        </w:rPr>
        <w:t>Sex Discrimination Act</w:t>
      </w:r>
      <w:r w:rsidRPr="00415A2A">
        <w:rPr>
          <w:lang w:eastAsia="en-US"/>
        </w:rPr>
        <w:t xml:space="preserve"> was previously the same as the ADA standard. However, it was lowered in response to concerns that the previous standard:</w:t>
      </w:r>
    </w:p>
    <w:p w14:paraId="381B409F" w14:textId="77777777" w:rsidR="00BC7971" w:rsidRPr="00415A2A" w:rsidRDefault="00BC7971" w:rsidP="00BC7971">
      <w:pPr>
        <w:pStyle w:val="Normalbullet"/>
      </w:pPr>
      <w:r w:rsidRPr="00415A2A">
        <w:t>was too narrow,</w:t>
      </w:r>
      <w:r w:rsidRPr="00415A2A">
        <w:rPr>
          <w:rStyle w:val="FootnoteReference"/>
        </w:rPr>
        <w:footnoteReference w:id="963"/>
      </w:r>
      <w:r w:rsidRPr="00415A2A">
        <w:t xml:space="preserve"> and </w:t>
      </w:r>
    </w:p>
    <w:p w14:paraId="088ADE65" w14:textId="77777777" w:rsidR="00BC7971" w:rsidRPr="00415A2A" w:rsidRDefault="00BC7971" w:rsidP="00BC7971">
      <w:pPr>
        <w:pStyle w:val="Normalbullet"/>
      </w:pPr>
      <w:r w:rsidRPr="00415A2A">
        <w:t>could allow a person to “run</w:t>
      </w:r>
      <w:r>
        <w:t xml:space="preserve"> </w:t>
      </w:r>
      <w:r w:rsidRPr="00415A2A">
        <w:t>the risk” of causing offence, humiliation or intimidation.</w:t>
      </w:r>
      <w:r w:rsidRPr="00415A2A">
        <w:rPr>
          <w:rStyle w:val="FootnoteReference"/>
        </w:rPr>
        <w:footnoteReference w:id="964"/>
      </w:r>
    </w:p>
    <w:p w14:paraId="52828FDF" w14:textId="77777777" w:rsidR="00BC7971" w:rsidRDefault="00BC7971" w:rsidP="00BC7971">
      <w:pPr>
        <w:pStyle w:val="Heading3"/>
        <w:rPr>
          <w:lang w:eastAsia="en-AU"/>
        </w:rPr>
      </w:pPr>
      <w:r>
        <w:lastRenderedPageBreak/>
        <w:t>Matters to be considered</w:t>
      </w:r>
    </w:p>
    <w:p w14:paraId="75D64D47" w14:textId="77777777" w:rsidR="00BC7971" w:rsidRDefault="00BC7971" w:rsidP="00BC7971">
      <w:pPr>
        <w:pStyle w:val="NormalAutoChapter"/>
        <w:tabs>
          <w:tab w:val="num" w:pos="3413"/>
        </w:tabs>
      </w:pPr>
      <w:r>
        <w:rPr>
          <w:lang w:eastAsia="en-US"/>
        </w:rPr>
        <w:t xml:space="preserve">Another difference is that the </w:t>
      </w:r>
      <w:r>
        <w:rPr>
          <w:i/>
          <w:iCs/>
          <w:noProof/>
        </w:rPr>
        <w:t>Sex Discrimination Act</w:t>
      </w:r>
      <w:r>
        <w:rPr>
          <w:lang w:eastAsia="en-US"/>
        </w:rPr>
        <w:t xml:space="preserve"> </w:t>
      </w:r>
      <w:r>
        <w:t>lists matters to be considered in determining whether a reasonable person would anticipate the possibility of offence, insult or humiliation. These are:</w:t>
      </w:r>
    </w:p>
    <w:p w14:paraId="395F92E1" w14:textId="77777777" w:rsidR="00BC7971" w:rsidRDefault="00BC7971" w:rsidP="00BC7971">
      <w:pPr>
        <w:pStyle w:val="Normalbullet"/>
      </w:pPr>
      <w:r>
        <w:t>the sex, age, sexual orientation, gender identity, intersex status, marital or relationship status, religious belief, disability, race, colour or national or ethnic origin of the person harassed</w:t>
      </w:r>
    </w:p>
    <w:p w14:paraId="2292A5C5" w14:textId="77777777" w:rsidR="00BC7971" w:rsidRDefault="00BC7971" w:rsidP="00BC7971">
      <w:pPr>
        <w:pStyle w:val="Normalbullet"/>
      </w:pPr>
      <w:r>
        <w:t>the relationship between the person harassed and the harasser, and</w:t>
      </w:r>
    </w:p>
    <w:p w14:paraId="6EEE3CD9" w14:textId="77777777" w:rsidR="00BC7971" w:rsidRDefault="00BC7971" w:rsidP="00BC7971">
      <w:pPr>
        <w:pStyle w:val="Normalbullet"/>
      </w:pPr>
      <w:r>
        <w:t>any other relevant circumstance.</w:t>
      </w:r>
      <w:r>
        <w:rPr>
          <w:rStyle w:val="FootnoteReference"/>
        </w:rPr>
        <w:footnoteReference w:id="965"/>
      </w:r>
    </w:p>
    <w:p w14:paraId="44A13935" w14:textId="77777777" w:rsidR="00BC7971" w:rsidRDefault="00BC7971" w:rsidP="00BC7971">
      <w:pPr>
        <w:pStyle w:val="NormalAutoChapter"/>
        <w:tabs>
          <w:tab w:val="num" w:pos="3413"/>
        </w:tabs>
      </w:pPr>
      <w:r>
        <w:t xml:space="preserve">By contrast, the </w:t>
      </w:r>
      <w:r w:rsidRPr="00C322F1">
        <w:rPr>
          <w:iCs/>
        </w:rPr>
        <w:t>ADA</w:t>
      </w:r>
      <w:r>
        <w:t xml:space="preserve"> says that the reasonable person would have regard to “all the circumstances”.</w:t>
      </w:r>
      <w:r>
        <w:rPr>
          <w:rStyle w:val="FootnoteReference"/>
        </w:rPr>
        <w:footnoteReference w:id="966"/>
      </w:r>
      <w:r>
        <w:t xml:space="preserve"> It does not specify what those circumstances could include.</w:t>
      </w:r>
    </w:p>
    <w:p w14:paraId="781C8124" w14:textId="77777777" w:rsidR="00BC7971" w:rsidRDefault="00BC7971" w:rsidP="00BC7971">
      <w:pPr>
        <w:pStyle w:val="NormalAutoChapter"/>
        <w:tabs>
          <w:tab w:val="num" w:pos="3413"/>
        </w:tabs>
      </w:pPr>
      <w:r>
        <w:t xml:space="preserve">There could be benefits in listing some circumstances for consideration, as the </w:t>
      </w:r>
      <w:r>
        <w:rPr>
          <w:i/>
          <w:iCs/>
          <w:noProof/>
        </w:rPr>
        <w:t>Sex Discrimination Act</w:t>
      </w:r>
      <w:r>
        <w:t xml:space="preserve"> does. For example, it would expressly allow for consideration of the complainant’s individual circumstances, including their protected attributes. Some may consider this important, as inequalities that arise from an individual’s characteristics can influence their risk of sexual harassment, and how they experience and respond to it.</w:t>
      </w:r>
      <w:r>
        <w:rPr>
          <w:rStyle w:val="FootnoteReference"/>
        </w:rPr>
        <w:footnoteReference w:id="967"/>
      </w:r>
      <w:r>
        <w:t xml:space="preserve"> </w:t>
      </w:r>
    </w:p>
    <w:p w14:paraId="78932894" w14:textId="77777777" w:rsidR="00BC7971" w:rsidRDefault="00BC7971" w:rsidP="00BC7971">
      <w:pPr>
        <w:pStyle w:val="NormalAutoChapter"/>
        <w:tabs>
          <w:tab w:val="num" w:pos="3413"/>
        </w:tabs>
      </w:pPr>
      <w:r>
        <w:t xml:space="preserve">However, some have argued the </w:t>
      </w:r>
      <w:r>
        <w:rPr>
          <w:i/>
          <w:iCs/>
          <w:noProof/>
        </w:rPr>
        <w:t>Sex Discrimination Act</w:t>
      </w:r>
      <w:r>
        <w:t xml:space="preserve"> list is ineffective. There is a view that complainants’ attributes continue to be ignored in sexual harassment matters.</w:t>
      </w:r>
      <w:r>
        <w:rPr>
          <w:rStyle w:val="FootnoteReference"/>
        </w:rPr>
        <w:footnoteReference w:id="968"/>
      </w:r>
      <w:r>
        <w:t xml:space="preserve"> </w:t>
      </w:r>
    </w:p>
    <w:p w14:paraId="4088A230" w14:textId="77777777" w:rsidR="00BC7971" w:rsidRDefault="00BC7971" w:rsidP="00BC7971">
      <w:pPr>
        <w:pStyle w:val="Heading3"/>
      </w:pPr>
      <w:r>
        <w:t>Definition of “conduct of a sexual nature”</w:t>
      </w:r>
    </w:p>
    <w:p w14:paraId="54C2DEFB" w14:textId="77777777" w:rsidR="00BC7971" w:rsidRDefault="00BC7971" w:rsidP="00BC7971">
      <w:pPr>
        <w:pStyle w:val="NormalAutoChapter"/>
        <w:tabs>
          <w:tab w:val="num" w:pos="3413"/>
        </w:tabs>
      </w:pPr>
      <w:r>
        <w:t xml:space="preserve">The final difference between the definitions of sexual harassment in the </w:t>
      </w:r>
      <w:r w:rsidRPr="00C322F1">
        <w:rPr>
          <w:iCs/>
        </w:rPr>
        <w:t>ADA</w:t>
      </w:r>
      <w:r>
        <w:t xml:space="preserve"> and </w:t>
      </w:r>
      <w:r>
        <w:rPr>
          <w:i/>
          <w:iCs/>
          <w:noProof/>
        </w:rPr>
        <w:t>Sex Discrimination Act</w:t>
      </w:r>
      <w:r>
        <w:t xml:space="preserve"> relates to the term “conduct of a sexual nature”. In the </w:t>
      </w:r>
      <w:r>
        <w:rPr>
          <w:i/>
          <w:iCs/>
          <w:noProof/>
        </w:rPr>
        <w:t>Sex Discrimination Act</w:t>
      </w:r>
      <w:r>
        <w:rPr>
          <w:noProof/>
        </w:rPr>
        <w:t>,</w:t>
      </w:r>
      <w:r>
        <w:t xml:space="preserve"> this includes making an oral or written statement of a sexual nature to a person or in the presence of a person.</w:t>
      </w:r>
      <w:r>
        <w:rPr>
          <w:rStyle w:val="FootnoteReference"/>
        </w:rPr>
        <w:footnoteReference w:id="969"/>
      </w:r>
      <w:r>
        <w:t xml:space="preserve"> </w:t>
      </w:r>
    </w:p>
    <w:p w14:paraId="52F13154" w14:textId="77777777" w:rsidR="00BC7971" w:rsidRDefault="00BC7971" w:rsidP="00BC7971">
      <w:pPr>
        <w:pStyle w:val="NormalAutoChapter"/>
        <w:tabs>
          <w:tab w:val="num" w:pos="3413"/>
        </w:tabs>
      </w:pPr>
      <w:r>
        <w:t xml:space="preserve">The </w:t>
      </w:r>
      <w:r w:rsidRPr="00C322F1">
        <w:rPr>
          <w:iCs/>
        </w:rPr>
        <w:t>ADA</w:t>
      </w:r>
      <w:r>
        <w:t xml:space="preserve"> does not define this term. One view is that defining it could make it clear that conduct can include statements. However, it may not be necessary to define it. </w:t>
      </w:r>
      <w:r>
        <w:lastRenderedPageBreak/>
        <w:t xml:space="preserve">The NSW Court of Appeal has found that it is a broad </w:t>
      </w:r>
      <w:proofErr w:type="gramStart"/>
      <w:r>
        <w:t>term</w:t>
      </w:r>
      <w:proofErr w:type="gramEnd"/>
      <w:r>
        <w:t xml:space="preserve"> and it should not be interpreted in a limited way.</w:t>
      </w:r>
      <w:r>
        <w:rPr>
          <w:rStyle w:val="FootnoteReference"/>
          <w:lang w:eastAsia="en-US"/>
        </w:rPr>
        <w:footnoteReference w:id="970"/>
      </w:r>
      <w:r>
        <w:t xml:space="preserve"> Defining the term could even have the effect of narrowing the current interpretation.</w:t>
      </w:r>
    </w:p>
    <w:p w14:paraId="09FE3DCF" w14:textId="77777777" w:rsidR="00BC7971" w:rsidRDefault="00BC7971" w:rsidP="00BC7971">
      <w:pPr>
        <w:pStyle w:val="Recommendationheading"/>
      </w:pPr>
      <w:bookmarkStart w:id="414" w:name="_Hlk196305322"/>
      <w:r>
        <w:t xml:space="preserve">Question 9.1: The definition of sexual harassment </w:t>
      </w:r>
    </w:p>
    <w:p w14:paraId="7995DCF4" w14:textId="0CB52CAF" w:rsidR="00BC7971" w:rsidRDefault="00100A0B" w:rsidP="00100A0B">
      <w:pPr>
        <w:pStyle w:val="Recommendationhanging1"/>
      </w:pPr>
      <w:r>
        <w:t>(1)</w:t>
      </w:r>
      <w:r>
        <w:tab/>
      </w:r>
      <w:r w:rsidR="00BC7971">
        <w:t xml:space="preserve">Should the reasonable person test be expanded to include the “possibility” of offence, intimidation or humiliation? Why or why not? </w:t>
      </w:r>
    </w:p>
    <w:p w14:paraId="054A63AC" w14:textId="1A93B9C7" w:rsidR="00BC7971" w:rsidRDefault="00100A0B" w:rsidP="00100A0B">
      <w:pPr>
        <w:pStyle w:val="Recommendationhanging1"/>
      </w:pPr>
      <w:r>
        <w:t>(2)</w:t>
      </w:r>
      <w:r>
        <w:tab/>
      </w:r>
      <w:r w:rsidR="00BC7971">
        <w:t xml:space="preserve">Should the </w:t>
      </w:r>
      <w:r w:rsidR="00BC7971" w:rsidRPr="00C322F1">
        <w:rPr>
          <w:iCs/>
        </w:rPr>
        <w:t>ADA</w:t>
      </w:r>
      <w:r w:rsidR="00BC7971">
        <w:t xml:space="preserve"> expressly require consideration of an individual’s attributes, or the relationship between the parties, in determining whether a person would be offended, humiliated or intimidated by the conduct? Why or why not?</w:t>
      </w:r>
    </w:p>
    <w:p w14:paraId="11DE67AC" w14:textId="230F1CE7" w:rsidR="00BC7971" w:rsidRDefault="00100A0B" w:rsidP="00100A0B">
      <w:pPr>
        <w:pStyle w:val="Recommendationhanging1"/>
      </w:pPr>
      <w:r>
        <w:t>(3)</w:t>
      </w:r>
      <w:r>
        <w:tab/>
      </w:r>
      <w:r w:rsidR="00BC7971">
        <w:t xml:space="preserve">Does the </w:t>
      </w:r>
      <w:r w:rsidR="00BC7971" w:rsidRPr="00C322F1">
        <w:rPr>
          <w:iCs/>
        </w:rPr>
        <w:t>ADA</w:t>
      </w:r>
      <w:r w:rsidR="00BC7971">
        <w:t xml:space="preserve"> need to define “conduct of a sexual nature”? Why or why not?</w:t>
      </w:r>
    </w:p>
    <w:p w14:paraId="1C3BEF14" w14:textId="77777777" w:rsidR="00BC7971" w:rsidRDefault="00BC7971" w:rsidP="00BC7971">
      <w:pPr>
        <w:pStyle w:val="Heading1"/>
      </w:pPr>
      <w:bookmarkStart w:id="415" w:name="_Toc196742029"/>
      <w:bookmarkStart w:id="416" w:name="_Toc196826940"/>
      <w:bookmarkEnd w:id="414"/>
      <w:r>
        <w:t>Other sex-based conduct</w:t>
      </w:r>
      <w:bookmarkEnd w:id="415"/>
      <w:bookmarkEnd w:id="416"/>
    </w:p>
    <w:p w14:paraId="424F9195" w14:textId="77777777" w:rsidR="00BC7971" w:rsidRDefault="00BC7971" w:rsidP="00BC7971">
      <w:pPr>
        <w:pStyle w:val="NormalAutoChapter"/>
        <w:tabs>
          <w:tab w:val="num" w:pos="3413"/>
        </w:tabs>
      </w:pPr>
      <w:r>
        <w:t xml:space="preserve">Unlike the </w:t>
      </w:r>
      <w:r w:rsidRPr="00C322F1">
        <w:rPr>
          <w:iCs/>
        </w:rPr>
        <w:t>ADA</w:t>
      </w:r>
      <w:r>
        <w:t xml:space="preserve">, the </w:t>
      </w:r>
      <w:r>
        <w:rPr>
          <w:i/>
          <w:iCs/>
          <w:noProof/>
        </w:rPr>
        <w:t>Sex Discrimination Act</w:t>
      </w:r>
      <w:r>
        <w:t xml:space="preserve"> also prohibits:</w:t>
      </w:r>
    </w:p>
    <w:p w14:paraId="0190C744" w14:textId="77777777" w:rsidR="00BC7971" w:rsidRDefault="00BC7971" w:rsidP="00BC7971">
      <w:pPr>
        <w:pStyle w:val="Normalbullet"/>
      </w:pPr>
      <w:r>
        <w:t>harassment “on the ground of sex”,</w:t>
      </w:r>
      <w:r>
        <w:rPr>
          <w:rStyle w:val="FootnoteReference"/>
        </w:rPr>
        <w:footnoteReference w:id="971"/>
      </w:r>
      <w:r>
        <w:t xml:space="preserve"> and </w:t>
      </w:r>
    </w:p>
    <w:p w14:paraId="2A392FC8" w14:textId="77777777" w:rsidR="00BC7971" w:rsidRDefault="00BC7971" w:rsidP="00BC7971">
      <w:pPr>
        <w:pStyle w:val="Normalbullet"/>
      </w:pPr>
      <w:r>
        <w:t>subjecting someone to a workplace that is “hostile on the basis of sex”.</w:t>
      </w:r>
      <w:r>
        <w:rPr>
          <w:rStyle w:val="FootnoteReference"/>
        </w:rPr>
        <w:footnoteReference w:id="972"/>
      </w:r>
      <w:r>
        <w:t xml:space="preserve"> </w:t>
      </w:r>
    </w:p>
    <w:p w14:paraId="6EEAC859" w14:textId="77777777" w:rsidR="00BC7971" w:rsidRDefault="00BC7971" w:rsidP="00BC7971">
      <w:pPr>
        <w:pStyle w:val="NormalAutoChapter"/>
        <w:tabs>
          <w:tab w:val="num" w:pos="3413"/>
        </w:tabs>
      </w:pPr>
      <w:r>
        <w:t xml:space="preserve">We refer to these as “sex-based conduct”. These forms of conduct are different from sexual harassment in that they do not need to be sexual in nature.  </w:t>
      </w:r>
    </w:p>
    <w:p w14:paraId="4014E89E" w14:textId="77777777" w:rsidR="00BC7971" w:rsidRDefault="00BC7971" w:rsidP="00BC7971">
      <w:pPr>
        <w:pStyle w:val="Heading2"/>
      </w:pPr>
      <w:bookmarkStart w:id="417" w:name="_Toc196742030"/>
      <w:bookmarkStart w:id="418" w:name="_Toc196826941"/>
      <w:r>
        <w:t>Tests for other sex-based conduct</w:t>
      </w:r>
      <w:bookmarkEnd w:id="417"/>
      <w:bookmarkEnd w:id="418"/>
    </w:p>
    <w:p w14:paraId="7D2CD561" w14:textId="77777777" w:rsidR="00BC7971" w:rsidRDefault="00BC7971" w:rsidP="00BC7971">
      <w:pPr>
        <w:pStyle w:val="NormalAutoChapter"/>
        <w:tabs>
          <w:tab w:val="num" w:pos="3413"/>
        </w:tabs>
      </w:pPr>
      <w:r>
        <w:t xml:space="preserve">Under the </w:t>
      </w:r>
      <w:r>
        <w:rPr>
          <w:i/>
          <w:iCs/>
          <w:noProof/>
        </w:rPr>
        <w:t>Sex Discrimination Act</w:t>
      </w:r>
      <w:r>
        <w:t>, “harassment on the ground of sex” occurs when a person engages in unwelcome, demeaning conduct in relation to the complainant because of the complainant’s sex.</w:t>
      </w:r>
      <w:r>
        <w:rPr>
          <w:rStyle w:val="FootnoteReference"/>
        </w:rPr>
        <w:footnoteReference w:id="973"/>
      </w:r>
      <w:r>
        <w:t xml:space="preserve"> A reasonable person must anticipate the possibility that the conduct would offend, humiliate or intimidate the complainant.</w:t>
      </w:r>
      <w:r>
        <w:rPr>
          <w:rStyle w:val="FootnoteReference"/>
        </w:rPr>
        <w:footnoteReference w:id="974"/>
      </w:r>
      <w:r>
        <w:t xml:space="preserve"> </w:t>
      </w:r>
    </w:p>
    <w:p w14:paraId="3C02DE3A" w14:textId="77777777" w:rsidR="00BC7971" w:rsidRDefault="00BC7971" w:rsidP="00BC7971">
      <w:pPr>
        <w:pStyle w:val="NormalAutoChapter"/>
        <w:tabs>
          <w:tab w:val="num" w:pos="3413"/>
        </w:tabs>
      </w:pPr>
      <w:r>
        <w:rPr>
          <w:lang w:eastAsia="en-US"/>
        </w:rPr>
        <w:t>Subjecting someone to a workplace that is “hostile on the ground of sex” happens when:</w:t>
      </w:r>
    </w:p>
    <w:p w14:paraId="551437CD" w14:textId="77777777" w:rsidR="00BC7971" w:rsidRDefault="00BC7971" w:rsidP="00BC7971">
      <w:pPr>
        <w:pStyle w:val="Normalbullet"/>
      </w:pPr>
      <w:r>
        <w:t xml:space="preserve">a person engages in </w:t>
      </w:r>
      <w:r w:rsidRPr="0017469A">
        <w:t>conduct in the workplace</w:t>
      </w:r>
      <w:r>
        <w:t xml:space="preserve">, and </w:t>
      </w:r>
    </w:p>
    <w:p w14:paraId="03ADA06C" w14:textId="77777777" w:rsidR="00BC7971" w:rsidRDefault="00BC7971" w:rsidP="00BC7971">
      <w:pPr>
        <w:pStyle w:val="Normalbullet"/>
      </w:pPr>
      <w:r>
        <w:lastRenderedPageBreak/>
        <w:t>a reasonable person would anticipate the possibility that the conduct would result in a workplace environment that is offensive, intimidating or humiliating to a person of the sex of the complainant.</w:t>
      </w:r>
      <w:r>
        <w:rPr>
          <w:rStyle w:val="FootnoteReference"/>
        </w:rPr>
        <w:footnoteReference w:id="975"/>
      </w:r>
      <w:r>
        <w:t xml:space="preserve"> </w:t>
      </w:r>
    </w:p>
    <w:p w14:paraId="36F006C2" w14:textId="77777777" w:rsidR="00BC7971" w:rsidRDefault="00BC7971" w:rsidP="00BC7971">
      <w:pPr>
        <w:pStyle w:val="NormalAutoChapter"/>
        <w:tabs>
          <w:tab w:val="num" w:pos="3413"/>
        </w:tabs>
      </w:pPr>
      <w:r>
        <w:rPr>
          <w:lang w:eastAsia="en-US"/>
        </w:rPr>
        <w:t>Factors to be considered in determining whether someone has been subjected to either form of conduct include:</w:t>
      </w:r>
    </w:p>
    <w:p w14:paraId="31400ACF" w14:textId="77777777" w:rsidR="00BC7971" w:rsidRDefault="00BC7971" w:rsidP="00BC7971">
      <w:pPr>
        <w:pStyle w:val="Normalbullet"/>
      </w:pPr>
      <w:r>
        <w:t xml:space="preserve">the seriousness of the conduct </w:t>
      </w:r>
    </w:p>
    <w:p w14:paraId="00EB61DF" w14:textId="77777777" w:rsidR="00BC7971" w:rsidRDefault="00BC7971" w:rsidP="00BC7971">
      <w:pPr>
        <w:pStyle w:val="Normalbullet"/>
      </w:pPr>
      <w:r>
        <w:t xml:space="preserve">whether it was repeated, and </w:t>
      </w:r>
    </w:p>
    <w:p w14:paraId="6116641A" w14:textId="77777777" w:rsidR="00BC7971" w:rsidRDefault="00BC7971" w:rsidP="00BC7971">
      <w:pPr>
        <w:pStyle w:val="Normalbullet"/>
      </w:pPr>
      <w:r>
        <w:t>the role, influence and authority of the person engaging in the conduct.</w:t>
      </w:r>
      <w:r>
        <w:rPr>
          <w:rStyle w:val="FootnoteReference"/>
        </w:rPr>
        <w:footnoteReference w:id="976"/>
      </w:r>
      <w:r>
        <w:t xml:space="preserve"> </w:t>
      </w:r>
    </w:p>
    <w:p w14:paraId="330B2D36" w14:textId="77777777" w:rsidR="00BC7971" w:rsidRDefault="00BC7971" w:rsidP="00BC7971">
      <w:pPr>
        <w:pStyle w:val="Heading2"/>
      </w:pPr>
      <w:bookmarkStart w:id="419" w:name="_Toc196742031"/>
      <w:bookmarkStart w:id="420" w:name="_Toc196826942"/>
      <w:r>
        <w:t>Benefits of prohibiting sex-based conduct</w:t>
      </w:r>
      <w:bookmarkEnd w:id="419"/>
      <w:bookmarkEnd w:id="420"/>
    </w:p>
    <w:p w14:paraId="4ED247E8" w14:textId="77777777" w:rsidR="00BC7971" w:rsidRDefault="00BC7971" w:rsidP="00BC7971">
      <w:pPr>
        <w:pStyle w:val="NormalAutoChapter"/>
        <w:tabs>
          <w:tab w:val="num" w:pos="3413"/>
        </w:tabs>
      </w:pPr>
      <w:r>
        <w:t xml:space="preserve">Adopting similar protections in NSW could clarify the law and address some existing “grey areas” in the </w:t>
      </w:r>
      <w:r w:rsidRPr="00C322F1">
        <w:rPr>
          <w:iCs/>
        </w:rPr>
        <w:t>ADA</w:t>
      </w:r>
      <w:r>
        <w:t>. This includes behaviours</w:t>
      </w:r>
      <w:r w:rsidRPr="00D63F56">
        <w:t xml:space="preserve"> that </w:t>
      </w:r>
      <w:r>
        <w:t xml:space="preserve">are </w:t>
      </w:r>
      <w:r w:rsidRPr="00D63F56">
        <w:t xml:space="preserve">not clearly </w:t>
      </w:r>
      <w:r>
        <w:t>prohibited by</w:t>
      </w:r>
      <w:r w:rsidRPr="00D63F56">
        <w:t xml:space="preserve"> sex discrimination or sexual harassment</w:t>
      </w:r>
      <w:r>
        <w:t xml:space="preserve"> laws in the </w:t>
      </w:r>
      <w:r w:rsidRPr="00C322F1">
        <w:rPr>
          <w:iCs/>
        </w:rPr>
        <w:t>ADA</w:t>
      </w:r>
      <w:r w:rsidRPr="00D63F56">
        <w:t>.</w:t>
      </w:r>
      <w:r>
        <w:rPr>
          <w:rStyle w:val="FootnoteReference"/>
        </w:rPr>
        <w:footnoteReference w:id="977"/>
      </w:r>
      <w:r>
        <w:t xml:space="preserve"> For example, behaviour that is:</w:t>
      </w:r>
    </w:p>
    <w:p w14:paraId="741D8092" w14:textId="77777777" w:rsidR="00BC7971" w:rsidRDefault="00BC7971" w:rsidP="00BC7971">
      <w:pPr>
        <w:pStyle w:val="Normalbullet"/>
      </w:pPr>
      <w:r>
        <w:t>sexist rather than sexual in nature,</w:t>
      </w:r>
      <w:r>
        <w:rPr>
          <w:rStyle w:val="FootnoteReference"/>
        </w:rPr>
        <w:footnoteReference w:id="978"/>
      </w:r>
      <w:r>
        <w:t xml:space="preserve"> or</w:t>
      </w:r>
    </w:p>
    <w:p w14:paraId="2ADA5375" w14:textId="77777777" w:rsidR="00BC7971" w:rsidRDefault="00BC7971" w:rsidP="00BC7971">
      <w:pPr>
        <w:pStyle w:val="Normalbullet"/>
      </w:pPr>
      <w:r>
        <w:t>not specifically directed to a person, for example, workplaces with an underlying culture of inappropriate behaviour.</w:t>
      </w:r>
      <w:r>
        <w:rPr>
          <w:rStyle w:val="FootnoteReference"/>
        </w:rPr>
        <w:footnoteReference w:id="979"/>
      </w:r>
    </w:p>
    <w:p w14:paraId="14C07112" w14:textId="77777777" w:rsidR="00BC7971" w:rsidRDefault="00BC7971" w:rsidP="00BC7971">
      <w:pPr>
        <w:pStyle w:val="NormalAutoChapter"/>
        <w:tabs>
          <w:tab w:val="num" w:pos="3413"/>
        </w:tabs>
      </w:pPr>
      <w:r>
        <w:t xml:space="preserve">Introducing similar protections in NSW would allow people to pursue these sex-based claims under the ADA rather than having to use the federal </w:t>
      </w:r>
      <w:r w:rsidRPr="00A07D20">
        <w:t>laws</w:t>
      </w:r>
      <w:r w:rsidRPr="00971F71">
        <w:t>.</w:t>
      </w:r>
      <w:r>
        <w:t xml:space="preserve"> It would also reduce the inconsistency across Australia.</w:t>
      </w:r>
    </w:p>
    <w:p w14:paraId="35BE708B" w14:textId="77777777" w:rsidR="00BC7971" w:rsidRDefault="00BC7971" w:rsidP="00BC7971">
      <w:pPr>
        <w:pStyle w:val="Heading2"/>
      </w:pPr>
      <w:bookmarkStart w:id="421" w:name="_Toc196742032"/>
      <w:bookmarkStart w:id="422" w:name="_Toc196826943"/>
      <w:r>
        <w:t>Concerns about prohibiting sex-based conduct</w:t>
      </w:r>
      <w:bookmarkEnd w:id="421"/>
      <w:bookmarkEnd w:id="422"/>
    </w:p>
    <w:p w14:paraId="65F05664" w14:textId="77777777" w:rsidR="00BC7971" w:rsidRDefault="00BC7971" w:rsidP="00BC7971">
      <w:pPr>
        <w:pStyle w:val="NormalAutoChapter"/>
        <w:tabs>
          <w:tab w:val="num" w:pos="3413"/>
        </w:tabs>
      </w:pPr>
      <w:r>
        <w:rPr>
          <w:lang w:eastAsia="en-US"/>
        </w:rPr>
        <w:t xml:space="preserve">However, adding these protections to the </w:t>
      </w:r>
      <w:r w:rsidRPr="00C322F1">
        <w:rPr>
          <w:iCs/>
          <w:lang w:eastAsia="en-US"/>
        </w:rPr>
        <w:t>ADA</w:t>
      </w:r>
      <w:r>
        <w:rPr>
          <w:lang w:eastAsia="en-US"/>
        </w:rPr>
        <w:t xml:space="preserve"> could make it harder for a complainant to decide which law best applies to their experience. This could arise where </w:t>
      </w:r>
      <w:r>
        <w:t>the same conduct could constitute sex discrimination, sex-based harassment and sexual harassment.</w:t>
      </w:r>
      <w:r>
        <w:rPr>
          <w:rStyle w:val="FootnoteReference"/>
          <w:lang w:eastAsia="en-US"/>
        </w:rPr>
        <w:footnoteReference w:id="980"/>
      </w:r>
      <w:r>
        <w:t xml:space="preserve"> </w:t>
      </w:r>
    </w:p>
    <w:p w14:paraId="502F289F" w14:textId="77777777" w:rsidR="00BC7971" w:rsidRDefault="00BC7971" w:rsidP="00BC7971">
      <w:pPr>
        <w:pStyle w:val="NormalAutoChapter"/>
        <w:tabs>
          <w:tab w:val="num" w:pos="3413"/>
        </w:tabs>
      </w:pPr>
      <w:r>
        <w:lastRenderedPageBreak/>
        <w:t>One alternative is to clarify in the ADA that in some cases a hostile work environment may constitute indirect discrimination.</w:t>
      </w:r>
      <w:r>
        <w:rPr>
          <w:rStyle w:val="FootnoteReference"/>
        </w:rPr>
        <w:footnoteReference w:id="981"/>
      </w:r>
      <w:r>
        <w:t xml:space="preserve"> Further, better education and information about sex discrimination and sexual harassment may also help reduce confusion.</w:t>
      </w:r>
      <w:r>
        <w:rPr>
          <w:rStyle w:val="FootnoteReference"/>
        </w:rPr>
        <w:footnoteReference w:id="982"/>
      </w:r>
      <w:r w:rsidRPr="00C64E75">
        <w:rPr>
          <w:rStyle w:val="FootnoteReference"/>
        </w:rPr>
        <w:t xml:space="preserve"> </w:t>
      </w:r>
    </w:p>
    <w:p w14:paraId="3C3643FD" w14:textId="77777777" w:rsidR="00BC7971" w:rsidRDefault="00BC7971" w:rsidP="00BC7971">
      <w:pPr>
        <w:pStyle w:val="NormalAutoChapter"/>
        <w:tabs>
          <w:tab w:val="num" w:pos="3413"/>
        </w:tabs>
      </w:pPr>
      <w:r>
        <w:t xml:space="preserve">Another consideration is whether the </w:t>
      </w:r>
      <w:r w:rsidRPr="00C322F1">
        <w:rPr>
          <w:iCs/>
        </w:rPr>
        <w:t>ADA</w:t>
      </w:r>
      <w:r>
        <w:t xml:space="preserve"> needs to prohibit conduct that is already prohibited by the </w:t>
      </w:r>
      <w:r>
        <w:rPr>
          <w:i/>
          <w:iCs/>
          <w:noProof/>
        </w:rPr>
        <w:t>Sex Discrimination Act</w:t>
      </w:r>
      <w:r>
        <w:t xml:space="preserve">. Currently, complainants can use the </w:t>
      </w:r>
      <w:r>
        <w:rPr>
          <w:i/>
          <w:iCs/>
          <w:noProof/>
        </w:rPr>
        <w:t>Sex Discrimination Act</w:t>
      </w:r>
      <w:r>
        <w:t xml:space="preserve"> to make complaints about other sex-based conduct. </w:t>
      </w:r>
    </w:p>
    <w:p w14:paraId="08DB0DCA" w14:textId="77777777" w:rsidR="00BC7971" w:rsidRDefault="00BC7971" w:rsidP="00BC7971">
      <w:pPr>
        <w:pStyle w:val="NormalAutoChapter"/>
        <w:tabs>
          <w:tab w:val="num" w:pos="3413"/>
        </w:tabs>
      </w:pPr>
      <w:r>
        <w:t xml:space="preserve">Even if it is considered that the ADA should prohibit sex-based conduct, the </w:t>
      </w:r>
      <w:r>
        <w:rPr>
          <w:i/>
          <w:iCs/>
          <w:noProof/>
        </w:rPr>
        <w:t>Sex Discrimination Act</w:t>
      </w:r>
      <w:r>
        <w:t xml:space="preserve"> may not be the preferred model. Aspects of this law have been criticised, including the:</w:t>
      </w:r>
    </w:p>
    <w:p w14:paraId="56ACBFCB" w14:textId="77777777" w:rsidR="00BC7971" w:rsidRDefault="00BC7971" w:rsidP="00BC7971">
      <w:pPr>
        <w:pStyle w:val="Normalbullet"/>
      </w:pPr>
      <w:r>
        <w:t>requirement for conduct to be “demeaning” to be considered harassment on the ground of sex</w:t>
      </w:r>
    </w:p>
    <w:p w14:paraId="3C46BE8A" w14:textId="77777777" w:rsidR="00BC7971" w:rsidRDefault="00BC7971" w:rsidP="00BC7971">
      <w:pPr>
        <w:pStyle w:val="Normalbullet"/>
      </w:pPr>
      <w:r>
        <w:t>requirement for someone to be “subjected” to a workplace that is hostile on the ground of sex, and</w:t>
      </w:r>
    </w:p>
    <w:p w14:paraId="01088E47" w14:textId="77777777" w:rsidR="00BC7971" w:rsidRDefault="00BC7971" w:rsidP="00BC7971">
      <w:pPr>
        <w:pStyle w:val="Normalbullet"/>
      </w:pPr>
      <w:r>
        <w:t xml:space="preserve">factors listed in the </w:t>
      </w:r>
      <w:r>
        <w:rPr>
          <w:i/>
          <w:iCs/>
          <w:noProof/>
        </w:rPr>
        <w:t>Sex Discrimination Act</w:t>
      </w:r>
      <w:r>
        <w:t xml:space="preserve"> to determine whether sex-based conduct has occurred.</w:t>
      </w:r>
    </w:p>
    <w:p w14:paraId="4046DA9D" w14:textId="77777777" w:rsidR="00BC7971" w:rsidRDefault="00BC7971" w:rsidP="00BC7971">
      <w:pPr>
        <w:pStyle w:val="NormalAutoChapter"/>
        <w:tabs>
          <w:tab w:val="num" w:pos="3413"/>
        </w:tabs>
      </w:pPr>
      <w:r>
        <w:t>Some think that the requirement for conduct to be “demeaning”, as part of the test for harassment on the ground of sex, is unnecessary. The tests for sexual harassment and sex discrimination do not have this requirement. Some think it should be enough that a person was exposed to unwelcome conduct because of their sex, and that the “reasonable person” standard was met.</w:t>
      </w:r>
      <w:r>
        <w:rPr>
          <w:rStyle w:val="FootnoteReference"/>
        </w:rPr>
        <w:footnoteReference w:id="983"/>
      </w:r>
      <w:r>
        <w:t xml:space="preserve"> </w:t>
      </w:r>
    </w:p>
    <w:p w14:paraId="793D81F0" w14:textId="77777777" w:rsidR="00BC7971" w:rsidRDefault="00BC7971" w:rsidP="00BC7971">
      <w:pPr>
        <w:pStyle w:val="NormalAutoChapter"/>
        <w:tabs>
          <w:tab w:val="num" w:pos="3413"/>
        </w:tabs>
      </w:pPr>
      <w:r>
        <w:t>The Queensland Human Rights Commission (QHRC) considered that the requirement could lead to misunderstandings, including that:</w:t>
      </w:r>
    </w:p>
    <w:p w14:paraId="47AED5BD" w14:textId="77777777" w:rsidR="00BC7971" w:rsidRDefault="00BC7971" w:rsidP="00BC7971">
      <w:pPr>
        <w:pStyle w:val="Normalbullet"/>
      </w:pPr>
      <w:r>
        <w:t>conduct must be demeaning to be considered unlawful sex discrimination or sexual harassment, and</w:t>
      </w:r>
    </w:p>
    <w:p w14:paraId="194A8FC0" w14:textId="77777777" w:rsidR="00BC7971" w:rsidRDefault="00BC7971" w:rsidP="00BC7971">
      <w:pPr>
        <w:pStyle w:val="Normalbullet"/>
      </w:pPr>
      <w:r>
        <w:t>demeaning conduct is only unlawful in relation to sex, not other attributes.</w:t>
      </w:r>
      <w:r>
        <w:rPr>
          <w:rStyle w:val="FootnoteReference"/>
        </w:rPr>
        <w:footnoteReference w:id="984"/>
      </w:r>
      <w:r>
        <w:t xml:space="preserve"> </w:t>
      </w:r>
    </w:p>
    <w:p w14:paraId="5C79754A" w14:textId="77777777" w:rsidR="00BC7971" w:rsidRDefault="00BC7971" w:rsidP="00BC7971">
      <w:pPr>
        <w:pStyle w:val="NormalAutoChapter"/>
        <w:tabs>
          <w:tab w:val="num" w:pos="3413"/>
        </w:tabs>
      </w:pPr>
      <w:r>
        <w:t xml:space="preserve">Some think that the </w:t>
      </w:r>
      <w:r>
        <w:rPr>
          <w:i/>
          <w:iCs/>
          <w:noProof/>
        </w:rPr>
        <w:t>Sex Discrimination Act</w:t>
      </w:r>
      <w:r>
        <w:t xml:space="preserve">’s prohibition of a hostile workplace environment is ineffective and onerous for complainants. There are also concerns </w:t>
      </w:r>
      <w:r>
        <w:lastRenderedPageBreak/>
        <w:t xml:space="preserve">that the protection may not fill the gaps in the law, as it was intended to. </w:t>
      </w:r>
      <w:proofErr w:type="gramStart"/>
      <w:r>
        <w:t>In particular, it</w:t>
      </w:r>
      <w:proofErr w:type="gramEnd"/>
      <w:r>
        <w:t xml:space="preserve"> may not overcome one problem that sexual harassment complainants face — that is, the need to prove that the respondent’s actions directly affected them. This is because “subjecting” someone to a hostile environment would still require a person’s actions to directly impact another person.</w:t>
      </w:r>
      <w:r>
        <w:rPr>
          <w:rStyle w:val="FootnoteReference"/>
        </w:rPr>
        <w:footnoteReference w:id="985"/>
      </w:r>
      <w:r>
        <w:t xml:space="preserve"> </w:t>
      </w:r>
    </w:p>
    <w:p w14:paraId="3A958F18" w14:textId="77777777" w:rsidR="00BC7971" w:rsidRDefault="00BC7971" w:rsidP="00BC7971">
      <w:pPr>
        <w:pStyle w:val="NormalAutoChapter"/>
        <w:tabs>
          <w:tab w:val="num" w:pos="3413"/>
        </w:tabs>
      </w:pPr>
      <w:r>
        <w:t xml:space="preserve">There may also be concerns about the factors listed in the </w:t>
      </w:r>
      <w:r>
        <w:rPr>
          <w:i/>
          <w:iCs/>
          <w:noProof/>
        </w:rPr>
        <w:t>Sex Discrimination Act</w:t>
      </w:r>
      <w:r>
        <w:t xml:space="preserve"> to be considered in determining if sex-based conduct has occurred. One view is that these factors pose unnecessary hurdles for complainants. It could be argued that factors such as the seriousness or repetition of the conduct are higher barriers than those found in the tests for sexual harassment.</w:t>
      </w:r>
      <w:r>
        <w:rPr>
          <w:rStyle w:val="FootnoteReference"/>
        </w:rPr>
        <w:footnoteReference w:id="986"/>
      </w:r>
      <w:r>
        <w:t xml:space="preserve"> </w:t>
      </w:r>
    </w:p>
    <w:p w14:paraId="169F6530" w14:textId="77777777" w:rsidR="00BC7971" w:rsidRDefault="00BC7971" w:rsidP="00BC7971">
      <w:pPr>
        <w:pStyle w:val="Recommendationheading"/>
      </w:pPr>
      <w:bookmarkStart w:id="423" w:name="_Hlk196305344"/>
      <w:r>
        <w:t>Question 9.2: Other sex-based conduct</w:t>
      </w:r>
    </w:p>
    <w:p w14:paraId="7BF99144" w14:textId="77777777" w:rsidR="00BC7971" w:rsidRDefault="00BC7971" w:rsidP="00BC7971">
      <w:pPr>
        <w:pStyle w:val="Recommendationhanging1"/>
      </w:pPr>
      <w:r>
        <w:t>(1)</w:t>
      </w:r>
      <w:r>
        <w:tab/>
        <w:t xml:space="preserve">Should harassment on the ground of sex be expressly prohibited by the </w:t>
      </w:r>
      <w:r w:rsidRPr="00C322F1">
        <w:rPr>
          <w:iCs/>
        </w:rPr>
        <w:t>ADA</w:t>
      </w:r>
      <w:r>
        <w:t>? Why or why not?</w:t>
      </w:r>
    </w:p>
    <w:p w14:paraId="3046CBB3" w14:textId="77777777" w:rsidR="00BC7971" w:rsidRDefault="00BC7971" w:rsidP="00BC7971">
      <w:pPr>
        <w:pStyle w:val="Recommendationhanging1"/>
      </w:pPr>
      <w:r>
        <w:t>(2)</w:t>
      </w:r>
      <w:r>
        <w:tab/>
        <w:t xml:space="preserve">Should the </w:t>
      </w:r>
      <w:r w:rsidRPr="00C322F1">
        <w:rPr>
          <w:iCs/>
        </w:rPr>
        <w:t>ADA</w:t>
      </w:r>
      <w:r>
        <w:t xml:space="preserve"> prohibit workplace environments that are hostile on the ground of sex? Why or why not? </w:t>
      </w:r>
    </w:p>
    <w:p w14:paraId="27015E62" w14:textId="77777777" w:rsidR="00BC7971" w:rsidRPr="00286015" w:rsidRDefault="00BC7971" w:rsidP="00BC7971">
      <w:pPr>
        <w:pStyle w:val="Recommendationhanging1"/>
      </w:pPr>
      <w:r>
        <w:t>(3)</w:t>
      </w:r>
      <w:r>
        <w:tab/>
        <w:t>Are there any other options or models to prohibit conduct which may fall in the gap between sex discrimination and sexual harassment? What could be the benefits of these options?</w:t>
      </w:r>
    </w:p>
    <w:p w14:paraId="7A8E8C98" w14:textId="77777777" w:rsidR="00BC7971" w:rsidRDefault="00BC7971" w:rsidP="00BC7971">
      <w:pPr>
        <w:pStyle w:val="Heading1"/>
      </w:pPr>
      <w:bookmarkStart w:id="424" w:name="_Toc196742033"/>
      <w:bookmarkStart w:id="425" w:name="_Toc196826944"/>
      <w:bookmarkEnd w:id="423"/>
      <w:r>
        <w:t>Areas in which sexual harassment is unlawful</w:t>
      </w:r>
      <w:bookmarkEnd w:id="424"/>
      <w:bookmarkEnd w:id="425"/>
    </w:p>
    <w:p w14:paraId="49B4AFDC" w14:textId="77777777" w:rsidR="00BC7971" w:rsidRDefault="00BC7971" w:rsidP="00BC7971">
      <w:pPr>
        <w:pStyle w:val="NormalAutoChapter"/>
        <w:tabs>
          <w:tab w:val="num" w:pos="3413"/>
        </w:tabs>
        <w:rPr>
          <w:lang w:eastAsia="en-US"/>
        </w:rPr>
      </w:pPr>
      <w:r>
        <w:rPr>
          <w:lang w:eastAsia="en-US"/>
        </w:rPr>
        <w:t xml:space="preserve">The </w:t>
      </w:r>
      <w:r w:rsidRPr="00C322F1">
        <w:rPr>
          <w:iCs/>
          <w:lang w:eastAsia="en-US"/>
        </w:rPr>
        <w:t>ADA</w:t>
      </w:r>
      <w:r>
        <w:rPr>
          <w:lang w:eastAsia="en-US"/>
        </w:rPr>
        <w:t xml:space="preserve"> only prohibits sexual harassment in the following areas of public life:</w:t>
      </w:r>
    </w:p>
    <w:p w14:paraId="33CB6284" w14:textId="77777777" w:rsidR="00BC7971" w:rsidRDefault="00BC7971" w:rsidP="00BC7971">
      <w:pPr>
        <w:pStyle w:val="Normalbullet"/>
      </w:pPr>
      <w:r>
        <w:t>employment</w:t>
      </w:r>
    </w:p>
    <w:p w14:paraId="1C8F2265" w14:textId="77777777" w:rsidR="00BC7971" w:rsidRDefault="00BC7971" w:rsidP="00BC7971">
      <w:pPr>
        <w:pStyle w:val="Normalbullet"/>
      </w:pPr>
      <w:r>
        <w:t>education</w:t>
      </w:r>
    </w:p>
    <w:p w14:paraId="3A273843" w14:textId="77777777" w:rsidR="00BC7971" w:rsidRDefault="00BC7971" w:rsidP="00BC7971">
      <w:pPr>
        <w:pStyle w:val="Normalbullet"/>
      </w:pPr>
      <w:r>
        <w:t>goods and services</w:t>
      </w:r>
    </w:p>
    <w:p w14:paraId="0DA62554" w14:textId="77777777" w:rsidR="00BC7971" w:rsidRDefault="00BC7971" w:rsidP="00BC7971">
      <w:pPr>
        <w:pStyle w:val="Normalbullet"/>
      </w:pPr>
      <w:r>
        <w:t>accommodation</w:t>
      </w:r>
    </w:p>
    <w:p w14:paraId="39F2C9D4" w14:textId="77777777" w:rsidR="00BC7971" w:rsidRDefault="00BC7971" w:rsidP="00BC7971">
      <w:pPr>
        <w:pStyle w:val="Normalbullet"/>
      </w:pPr>
      <w:r>
        <w:t>land dealings</w:t>
      </w:r>
    </w:p>
    <w:p w14:paraId="32359A57" w14:textId="77777777" w:rsidR="00BC7971" w:rsidRDefault="00BC7971" w:rsidP="00BC7971">
      <w:pPr>
        <w:pStyle w:val="Normalbullet"/>
      </w:pPr>
      <w:r>
        <w:t>sport</w:t>
      </w:r>
    </w:p>
    <w:p w14:paraId="4D6ECAA8" w14:textId="77777777" w:rsidR="00BC7971" w:rsidRDefault="00BC7971" w:rsidP="00BC7971">
      <w:pPr>
        <w:pStyle w:val="Normalbullet"/>
      </w:pPr>
      <w:r>
        <w:t>state programs</w:t>
      </w:r>
    </w:p>
    <w:p w14:paraId="2E615AB6" w14:textId="77777777" w:rsidR="00BC7971" w:rsidRDefault="00BC7971" w:rsidP="00BC7971">
      <w:pPr>
        <w:pStyle w:val="Normalbullet"/>
      </w:pPr>
      <w:r>
        <w:t>bodies that confer trade or occupational qualifications, and</w:t>
      </w:r>
    </w:p>
    <w:p w14:paraId="67E1BD20" w14:textId="77777777" w:rsidR="00BC7971" w:rsidRDefault="00BC7971" w:rsidP="00BC7971">
      <w:pPr>
        <w:pStyle w:val="Normalbullet"/>
      </w:pPr>
      <w:r>
        <w:t>employment agencies.</w:t>
      </w:r>
      <w:r>
        <w:rPr>
          <w:rStyle w:val="FootnoteReference"/>
        </w:rPr>
        <w:footnoteReference w:id="987"/>
      </w:r>
    </w:p>
    <w:p w14:paraId="5A2159A1" w14:textId="77777777" w:rsidR="00BC7971" w:rsidRDefault="00BC7971" w:rsidP="00BC7971">
      <w:pPr>
        <w:pStyle w:val="NormalAutoChapter"/>
        <w:tabs>
          <w:tab w:val="num" w:pos="3413"/>
        </w:tabs>
      </w:pPr>
      <w:r>
        <w:lastRenderedPageBreak/>
        <w:t xml:space="preserve">The application of the ADA in these areas is, as we describe below, complicated. However, other laws take a different approach. </w:t>
      </w:r>
    </w:p>
    <w:p w14:paraId="4C7849A2" w14:textId="77777777" w:rsidR="00BC7971" w:rsidRDefault="00BC7971" w:rsidP="00BC7971">
      <w:pPr>
        <w:pStyle w:val="Heading2"/>
      </w:pPr>
      <w:bookmarkStart w:id="426" w:name="_Toc196742034"/>
      <w:bookmarkStart w:id="427" w:name="_Toc196826945"/>
      <w:r>
        <w:t>Overview of the ADA’s approach</w:t>
      </w:r>
      <w:bookmarkEnd w:id="426"/>
      <w:bookmarkEnd w:id="427"/>
      <w:r>
        <w:t xml:space="preserve"> </w:t>
      </w:r>
    </w:p>
    <w:p w14:paraId="3DADA504" w14:textId="77777777" w:rsidR="00BC7971" w:rsidRDefault="00BC7971" w:rsidP="00BC7971">
      <w:pPr>
        <w:pStyle w:val="NormalAutoChapter"/>
        <w:tabs>
          <w:tab w:val="num" w:pos="3413"/>
        </w:tabs>
        <w:rPr>
          <w:lang w:eastAsia="en-US"/>
        </w:rPr>
      </w:pPr>
      <w:r>
        <w:rPr>
          <w:lang w:eastAsia="en-US"/>
        </w:rPr>
        <w:t xml:space="preserve">Within the areas of public life listed above, the </w:t>
      </w:r>
      <w:r w:rsidRPr="00C322F1">
        <w:rPr>
          <w:iCs/>
          <w:lang w:eastAsia="en-US"/>
        </w:rPr>
        <w:t>ADA</w:t>
      </w:r>
      <w:r>
        <w:rPr>
          <w:lang w:eastAsia="en-US"/>
        </w:rPr>
        <w:t xml:space="preserve"> specifies who is prohibited from sexually harassing who. In most areas, the prohibition applies broadly. For example, it is unlawful to sexually harass someone while:</w:t>
      </w:r>
    </w:p>
    <w:p w14:paraId="49A06A23" w14:textId="77777777" w:rsidR="00BC7971" w:rsidRDefault="00BC7971" w:rsidP="00BC7971">
      <w:pPr>
        <w:pStyle w:val="Normalbullet"/>
      </w:pPr>
      <w:r>
        <w:t>providing or receiving goods and services</w:t>
      </w:r>
    </w:p>
    <w:p w14:paraId="2A1498D5" w14:textId="77777777" w:rsidR="00BC7971" w:rsidRDefault="00BC7971" w:rsidP="00BC7971">
      <w:pPr>
        <w:pStyle w:val="Normalbullet"/>
      </w:pPr>
      <w:r>
        <w:t>providing or receiving accommodation</w:t>
      </w:r>
    </w:p>
    <w:p w14:paraId="7337EE3B" w14:textId="77777777" w:rsidR="00BC7971" w:rsidRDefault="00BC7971" w:rsidP="00BC7971">
      <w:pPr>
        <w:pStyle w:val="Normalbullet"/>
      </w:pPr>
      <w:r>
        <w:t>engaging in sporting activities (including as a coach, player, official or administrator), or</w:t>
      </w:r>
    </w:p>
    <w:p w14:paraId="43BB38E2" w14:textId="77777777" w:rsidR="00BC7971" w:rsidRDefault="00BC7971" w:rsidP="00BC7971">
      <w:pPr>
        <w:pStyle w:val="Normalbullet"/>
      </w:pPr>
      <w:r>
        <w:t>carrying out any function under NSW law for a state program.</w:t>
      </w:r>
      <w:r>
        <w:rPr>
          <w:rStyle w:val="FootnoteReference"/>
        </w:rPr>
        <w:footnoteReference w:id="988"/>
      </w:r>
    </w:p>
    <w:p w14:paraId="0081FBDD" w14:textId="77777777" w:rsidR="00BC7971" w:rsidRDefault="00BC7971" w:rsidP="00BC7971">
      <w:pPr>
        <w:pStyle w:val="NormalAutoChapter"/>
        <w:tabs>
          <w:tab w:val="num" w:pos="3413"/>
        </w:tabs>
        <w:rPr>
          <w:lang w:eastAsia="en-US"/>
        </w:rPr>
      </w:pPr>
      <w:r>
        <w:rPr>
          <w:lang w:eastAsia="en-US"/>
        </w:rPr>
        <w:t xml:space="preserve">In some areas, the </w:t>
      </w:r>
      <w:r w:rsidRPr="00C322F1">
        <w:rPr>
          <w:iCs/>
          <w:lang w:eastAsia="en-US"/>
        </w:rPr>
        <w:t>ADA</w:t>
      </w:r>
      <w:r>
        <w:rPr>
          <w:lang w:eastAsia="en-US"/>
        </w:rPr>
        <w:t xml:space="preserve"> only prohibits a person who has authority in a relationship from sexually harassing a person who does not have this authority. For example:</w:t>
      </w:r>
    </w:p>
    <w:p w14:paraId="15A804E3" w14:textId="77777777" w:rsidR="00BC7971" w:rsidRDefault="00BC7971" w:rsidP="00BC7971">
      <w:pPr>
        <w:pStyle w:val="Normalbullet"/>
      </w:pPr>
      <w:r>
        <w:t xml:space="preserve">members or employees of bodies that issue trade or occupational qualifications must not sexually harass people seeking those qualifications, and </w:t>
      </w:r>
    </w:p>
    <w:p w14:paraId="69D02366" w14:textId="77777777" w:rsidR="00BC7971" w:rsidRDefault="00BC7971" w:rsidP="00BC7971">
      <w:pPr>
        <w:pStyle w:val="Normalbullet"/>
      </w:pPr>
      <w:r>
        <w:t>operators or employees of employment agencies must not sexually harass people who they are providing services to.</w:t>
      </w:r>
      <w:r>
        <w:rPr>
          <w:rStyle w:val="FootnoteReference"/>
        </w:rPr>
        <w:footnoteReference w:id="989"/>
      </w:r>
    </w:p>
    <w:p w14:paraId="70EAE877" w14:textId="77777777" w:rsidR="00BC7971" w:rsidRDefault="00BC7971" w:rsidP="00BC7971">
      <w:pPr>
        <w:pStyle w:val="NormalAutoChapter"/>
        <w:tabs>
          <w:tab w:val="num" w:pos="3413"/>
        </w:tabs>
      </w:pPr>
      <w:r>
        <w:t xml:space="preserve">Some areas are further limited. For instance, </w:t>
      </w:r>
      <w:proofErr w:type="gramStart"/>
      <w:r>
        <w:t>in the area of</w:t>
      </w:r>
      <w:proofErr w:type="gramEnd"/>
      <w:r>
        <w:t xml:space="preserve"> “education”, the</w:t>
      </w:r>
      <w:r w:rsidDel="008709C1">
        <w:t xml:space="preserve"> </w:t>
      </w:r>
      <w:r>
        <w:t>prohibition applies to staff members sexually harassing students aged 16 and over, and students aged 16 and over sexually harassing staff members.</w:t>
      </w:r>
      <w:r>
        <w:rPr>
          <w:rStyle w:val="FootnoteReference"/>
        </w:rPr>
        <w:footnoteReference w:id="990"/>
      </w:r>
      <w:r>
        <w:t xml:space="preserve"> </w:t>
      </w:r>
    </w:p>
    <w:p w14:paraId="7EE50EAB" w14:textId="77777777" w:rsidR="00BC7971" w:rsidRDefault="00BC7971" w:rsidP="00BC7971">
      <w:pPr>
        <w:pStyle w:val="NormalAutoChapter"/>
        <w:tabs>
          <w:tab w:val="num" w:pos="3413"/>
        </w:tabs>
      </w:pPr>
      <w:r>
        <w:t xml:space="preserve">It does not apply where a student sexually harasses another student, or a staff member sexually harasses another staff member. However, the latter scenario may be covered by the prohibition on sexual harassment in the “employment” area. </w:t>
      </w:r>
    </w:p>
    <w:p w14:paraId="3470B6A0" w14:textId="77777777" w:rsidR="00BC7971" w:rsidRDefault="00BC7971" w:rsidP="00BC7971">
      <w:pPr>
        <w:pStyle w:val="Heading2"/>
      </w:pPr>
      <w:bookmarkStart w:id="428" w:name="_Toc196742035"/>
      <w:bookmarkStart w:id="429" w:name="_Toc196826946"/>
      <w:r>
        <w:t xml:space="preserve">Comparisons with the </w:t>
      </w:r>
      <w:r>
        <w:rPr>
          <w:i/>
          <w:iCs w:val="0"/>
          <w:noProof/>
        </w:rPr>
        <w:t>Sex Discrimination Act</w:t>
      </w:r>
      <w:bookmarkEnd w:id="428"/>
      <w:bookmarkEnd w:id="429"/>
    </w:p>
    <w:p w14:paraId="631ADF61" w14:textId="77777777" w:rsidR="00BC7971" w:rsidRDefault="00BC7971" w:rsidP="00BC7971">
      <w:pPr>
        <w:pStyle w:val="NormalAutoChapter"/>
        <w:tabs>
          <w:tab w:val="num" w:pos="3413"/>
        </w:tabs>
        <w:rPr>
          <w:lang w:eastAsia="en-US"/>
        </w:rPr>
      </w:pPr>
      <w:r w:rsidDel="0049281E">
        <w:rPr>
          <w:lang w:eastAsia="en-US"/>
        </w:rPr>
        <w:t>Th</w:t>
      </w:r>
      <w:r>
        <w:rPr>
          <w:lang w:eastAsia="en-US"/>
        </w:rPr>
        <w:t xml:space="preserve">e </w:t>
      </w:r>
      <w:r w:rsidRPr="00C322F1">
        <w:rPr>
          <w:iCs/>
          <w:lang w:eastAsia="en-US"/>
        </w:rPr>
        <w:t>ADA</w:t>
      </w:r>
      <w:r>
        <w:rPr>
          <w:lang w:eastAsia="en-US"/>
        </w:rPr>
        <w:t>’s coverage</w:t>
      </w:r>
      <w:r w:rsidDel="0049281E">
        <w:rPr>
          <w:lang w:eastAsia="en-US"/>
        </w:rPr>
        <w:t xml:space="preserve"> is </w:t>
      </w:r>
      <w:proofErr w:type="gramStart"/>
      <w:r w:rsidDel="0049281E">
        <w:rPr>
          <w:lang w:eastAsia="en-US"/>
        </w:rPr>
        <w:t>similar to</w:t>
      </w:r>
      <w:proofErr w:type="gramEnd"/>
      <w:r w:rsidDel="0049281E">
        <w:rPr>
          <w:lang w:eastAsia="en-US"/>
        </w:rPr>
        <w:t xml:space="preserve"> the areas of life protected from sexual harassment under the </w:t>
      </w:r>
      <w:r>
        <w:rPr>
          <w:i/>
          <w:iCs/>
          <w:noProof/>
        </w:rPr>
        <w:t>Sex Discrimination Act</w:t>
      </w:r>
      <w:r w:rsidDel="0049281E">
        <w:rPr>
          <w:lang w:eastAsia="en-US"/>
        </w:rPr>
        <w:t xml:space="preserve">. However, the </w:t>
      </w:r>
      <w:r>
        <w:rPr>
          <w:i/>
          <w:iCs/>
          <w:noProof/>
        </w:rPr>
        <w:t>Sex Discrimination Act</w:t>
      </w:r>
      <w:r w:rsidDel="0049281E">
        <w:rPr>
          <w:lang w:eastAsia="en-US"/>
        </w:rPr>
        <w:t xml:space="preserve"> also prohibits sexual harassment in clubs, and unions or employer associations.</w:t>
      </w:r>
      <w:r>
        <w:rPr>
          <w:rStyle w:val="FootnoteReference"/>
          <w:lang w:eastAsia="en-US"/>
        </w:rPr>
        <w:footnoteReference w:id="991"/>
      </w:r>
      <w:r w:rsidDel="0049281E">
        <w:rPr>
          <w:lang w:eastAsia="en-US"/>
        </w:rPr>
        <w:t xml:space="preserve"> </w:t>
      </w:r>
    </w:p>
    <w:p w14:paraId="18F8827A" w14:textId="77777777" w:rsidR="00BC7971" w:rsidRDefault="00BC7971" w:rsidP="00BC7971">
      <w:pPr>
        <w:pStyle w:val="NormalAutoChapter"/>
        <w:tabs>
          <w:tab w:val="num" w:pos="3413"/>
        </w:tabs>
        <w:rPr>
          <w:lang w:eastAsia="en-US"/>
        </w:rPr>
      </w:pPr>
      <w:r>
        <w:rPr>
          <w:lang w:eastAsia="en-US"/>
        </w:rPr>
        <w:t xml:space="preserve">The </w:t>
      </w:r>
      <w:r>
        <w:rPr>
          <w:i/>
          <w:iCs/>
          <w:noProof/>
        </w:rPr>
        <w:t>Sex Discrimination Act</w:t>
      </w:r>
      <w:r>
        <w:rPr>
          <w:lang w:eastAsia="en-US"/>
        </w:rPr>
        <w:t xml:space="preserve"> also protects more types of workers from sexual harassment. Its approach to prohibiting sexual harassment in the workplace is simpler than the </w:t>
      </w:r>
      <w:r w:rsidRPr="00C322F1">
        <w:rPr>
          <w:iCs/>
          <w:lang w:eastAsia="en-US"/>
        </w:rPr>
        <w:t>ADA</w:t>
      </w:r>
      <w:r>
        <w:rPr>
          <w:iCs/>
          <w:lang w:eastAsia="en-US"/>
        </w:rPr>
        <w:t>’s</w:t>
      </w:r>
      <w:r>
        <w:rPr>
          <w:lang w:eastAsia="en-US"/>
        </w:rPr>
        <w:t>.</w:t>
      </w:r>
    </w:p>
    <w:p w14:paraId="10B24DED" w14:textId="77777777" w:rsidR="00BC7971" w:rsidRDefault="00BC7971" w:rsidP="00BC7971">
      <w:pPr>
        <w:pStyle w:val="NormalAutoChapter"/>
        <w:tabs>
          <w:tab w:val="num" w:pos="3413"/>
        </w:tabs>
      </w:pPr>
      <w:r>
        <w:lastRenderedPageBreak/>
        <w:t xml:space="preserve">The </w:t>
      </w:r>
      <w:r>
        <w:rPr>
          <w:i/>
          <w:iCs/>
          <w:noProof/>
        </w:rPr>
        <w:t>Sex Discrimination Act</w:t>
      </w:r>
      <w:r>
        <w:t xml:space="preserve"> prohibits sexual harassment in connection with a person’s status as a “worker” or “person conducting a business or undertaking”.</w:t>
      </w:r>
      <w:r>
        <w:rPr>
          <w:rStyle w:val="FootnoteReference"/>
        </w:rPr>
        <w:footnoteReference w:id="992"/>
      </w:r>
      <w:r>
        <w:t xml:space="preserve"> These terms are broadly defined to cover a wide range of people in the employment sphere. </w:t>
      </w:r>
    </w:p>
    <w:p w14:paraId="23643B24" w14:textId="77777777" w:rsidR="00BC7971" w:rsidRDefault="00BC7971" w:rsidP="00BC7971">
      <w:pPr>
        <w:pStyle w:val="NormalAutoChapter"/>
        <w:tabs>
          <w:tab w:val="num" w:pos="3413"/>
        </w:tabs>
      </w:pPr>
      <w:r>
        <w:t>Workers include employees, contractors, apprentices, students gaining work experience, outworkers and volunteers.</w:t>
      </w:r>
      <w:r>
        <w:rPr>
          <w:rStyle w:val="FootnoteReference"/>
        </w:rPr>
        <w:footnoteReference w:id="993"/>
      </w:r>
      <w:r>
        <w:t xml:space="preserve"> A person conducting a business or undertaking includes a person doing so alone, and </w:t>
      </w:r>
      <w:proofErr w:type="gramStart"/>
      <w:r>
        <w:t>whether or not</w:t>
      </w:r>
      <w:proofErr w:type="gramEnd"/>
      <w:r>
        <w:t xml:space="preserve"> for profit or gain.</w:t>
      </w:r>
      <w:r>
        <w:rPr>
          <w:rStyle w:val="FootnoteReference"/>
        </w:rPr>
        <w:footnoteReference w:id="994"/>
      </w:r>
      <w:r>
        <w:t xml:space="preserve"> </w:t>
      </w:r>
    </w:p>
    <w:p w14:paraId="573D96D7" w14:textId="77777777" w:rsidR="00BC7971" w:rsidRDefault="00BC7971" w:rsidP="00BC7971">
      <w:pPr>
        <w:pStyle w:val="NormalAutoChapter"/>
        <w:tabs>
          <w:tab w:val="num" w:pos="3413"/>
        </w:tabs>
        <w:rPr>
          <w:lang w:eastAsia="en-US"/>
        </w:rPr>
      </w:pPr>
      <w:r>
        <w:rPr>
          <w:lang w:eastAsia="en-US"/>
        </w:rPr>
        <w:t xml:space="preserve">By contrast, the </w:t>
      </w:r>
      <w:r w:rsidRPr="00C322F1">
        <w:rPr>
          <w:iCs/>
          <w:lang w:eastAsia="en-US"/>
        </w:rPr>
        <w:t>ADA</w:t>
      </w:r>
      <w:r>
        <w:rPr>
          <w:lang w:eastAsia="en-US"/>
        </w:rPr>
        <w:t xml:space="preserve"> prohibits sexual harassment of specific types of workers by other specified workers or employers. For example, the </w:t>
      </w:r>
      <w:r w:rsidRPr="00C322F1">
        <w:rPr>
          <w:iCs/>
          <w:lang w:eastAsia="en-US"/>
        </w:rPr>
        <w:t>ADA</w:t>
      </w:r>
      <w:r>
        <w:rPr>
          <w:lang w:eastAsia="en-US"/>
        </w:rPr>
        <w:t xml:space="preserve"> prohibits the sexual harassment of:</w:t>
      </w:r>
    </w:p>
    <w:p w14:paraId="70D089DF" w14:textId="77777777" w:rsidR="00BC7971" w:rsidRDefault="00BC7971" w:rsidP="00BC7971">
      <w:pPr>
        <w:pStyle w:val="Normalbullet"/>
      </w:pPr>
      <w:r>
        <w:t xml:space="preserve">an employee by their employer or a fellow employee </w:t>
      </w:r>
    </w:p>
    <w:p w14:paraId="0B463311" w14:textId="77777777" w:rsidR="00BC7971" w:rsidRDefault="00BC7971" w:rsidP="00BC7971">
      <w:pPr>
        <w:pStyle w:val="Normalbullet"/>
      </w:pPr>
      <w:r>
        <w:t>a commission agent or contractor by their employer or fellow commission agent or contractor, and</w:t>
      </w:r>
    </w:p>
    <w:p w14:paraId="1F21BAD1" w14:textId="77777777" w:rsidR="00BC7971" w:rsidRDefault="00BC7971" w:rsidP="00BC7971">
      <w:pPr>
        <w:pStyle w:val="Normalbullet"/>
      </w:pPr>
      <w:r>
        <w:t>a partner in a partnership by another partner in the partnership.</w:t>
      </w:r>
      <w:r>
        <w:rPr>
          <w:rStyle w:val="FootnoteReference"/>
        </w:rPr>
        <w:footnoteReference w:id="995"/>
      </w:r>
    </w:p>
    <w:p w14:paraId="6C089AC5" w14:textId="77777777" w:rsidR="00BC7971" w:rsidRDefault="00BC7971" w:rsidP="00BC7971">
      <w:pPr>
        <w:pStyle w:val="NormalAutoChapter"/>
        <w:tabs>
          <w:tab w:val="num" w:pos="3413"/>
        </w:tabs>
        <w:rPr>
          <w:lang w:eastAsia="en-US"/>
        </w:rPr>
      </w:pPr>
      <w:r>
        <w:rPr>
          <w:lang w:eastAsia="en-US"/>
        </w:rPr>
        <w:t xml:space="preserve">The </w:t>
      </w:r>
      <w:r w:rsidRPr="00C322F1">
        <w:rPr>
          <w:iCs/>
          <w:lang w:eastAsia="en-US"/>
        </w:rPr>
        <w:t>ADA</w:t>
      </w:r>
      <w:r>
        <w:rPr>
          <w:lang w:eastAsia="en-US"/>
        </w:rPr>
        <w:t xml:space="preserve"> restricts the protection of other less traditional types of workers. It prohibits the sexual harassment of a “workplace participant” by another “workplace participant”, but only where this occurs at the workplace of both these people.</w:t>
      </w:r>
      <w:r>
        <w:rPr>
          <w:rStyle w:val="FootnoteReference"/>
          <w:lang w:eastAsia="en-US"/>
        </w:rPr>
        <w:footnoteReference w:id="996"/>
      </w:r>
      <w:r>
        <w:rPr>
          <w:lang w:eastAsia="en-US"/>
        </w:rPr>
        <w:t xml:space="preserve">  </w:t>
      </w:r>
    </w:p>
    <w:p w14:paraId="21267646" w14:textId="77777777" w:rsidR="00BC7971" w:rsidRDefault="00BC7971" w:rsidP="00BC7971">
      <w:pPr>
        <w:pStyle w:val="NormalAutoChapter"/>
        <w:tabs>
          <w:tab w:val="num" w:pos="3413"/>
        </w:tabs>
        <w:rPr>
          <w:lang w:eastAsia="en-US"/>
        </w:rPr>
      </w:pPr>
      <w:r>
        <w:rPr>
          <w:lang w:eastAsia="en-US"/>
        </w:rPr>
        <w:t>Workplace participants include the more conventional types of workers listed above, as well as:</w:t>
      </w:r>
    </w:p>
    <w:p w14:paraId="5B9414E6" w14:textId="77777777" w:rsidR="00BC7971" w:rsidRDefault="00BC7971" w:rsidP="00BC7971">
      <w:pPr>
        <w:pStyle w:val="Normalbullet"/>
      </w:pPr>
      <w:r>
        <w:t>self-employed people, and</w:t>
      </w:r>
    </w:p>
    <w:p w14:paraId="5AF2A19B" w14:textId="77777777" w:rsidR="00BC7971" w:rsidRDefault="00BC7971" w:rsidP="00BC7971">
      <w:pPr>
        <w:pStyle w:val="Normalbullet"/>
      </w:pPr>
      <w:r>
        <w:t>volunteers or unpaid trainees.</w:t>
      </w:r>
      <w:r>
        <w:rPr>
          <w:rStyle w:val="FootnoteReference"/>
        </w:rPr>
        <w:footnoteReference w:id="997"/>
      </w:r>
    </w:p>
    <w:p w14:paraId="292EA049" w14:textId="77777777" w:rsidR="00BC7971" w:rsidRDefault="00BC7971" w:rsidP="00BC7971">
      <w:pPr>
        <w:pStyle w:val="NormalAutoChapter"/>
        <w:tabs>
          <w:tab w:val="num" w:pos="3413"/>
        </w:tabs>
        <w:spacing w:after="240"/>
        <w:rPr>
          <w:lang w:eastAsia="en-US"/>
        </w:rPr>
      </w:pPr>
      <w:r>
        <w:rPr>
          <w:lang w:eastAsia="en-US"/>
        </w:rPr>
        <w:t xml:space="preserve">This means that the following instances of sexual harassment must occur in the workplace of both parties to be unlawful under the </w:t>
      </w:r>
      <w:r w:rsidRPr="00C322F1">
        <w:rPr>
          <w:iCs/>
          <w:lang w:eastAsia="en-US"/>
        </w:rPr>
        <w:t>ADA</w:t>
      </w:r>
      <w:r>
        <w:rPr>
          <w:lang w:eastAsia="en-US"/>
        </w:rPr>
        <w:t xml:space="preserve">: </w:t>
      </w:r>
    </w:p>
    <w:p w14:paraId="15CE525F" w14:textId="77777777" w:rsidR="0092355D" w:rsidRDefault="0092355D" w:rsidP="00BC7971">
      <w:pPr>
        <w:pStyle w:val="Tablecaption"/>
      </w:pPr>
      <w:r>
        <w:br w:type="page"/>
      </w:r>
    </w:p>
    <w:p w14:paraId="7CC7D659" w14:textId="5C71D391" w:rsidR="00BC7971" w:rsidRDefault="00BC7971" w:rsidP="00BC7971">
      <w:pPr>
        <w:pStyle w:val="Tablecaption"/>
      </w:pPr>
      <w:r>
        <w:lastRenderedPageBreak/>
        <w:t>Table 9.1: Unlawful sexual harassment in the workplace</w:t>
      </w:r>
    </w:p>
    <w:tbl>
      <w:tblPr>
        <w:tblStyle w:val="TableGrid"/>
        <w:tblW w:w="0" w:type="auto"/>
        <w:tblInd w:w="720" w:type="dxa"/>
        <w:tblLook w:val="04A0" w:firstRow="1" w:lastRow="0" w:firstColumn="1" w:lastColumn="0" w:noHBand="0" w:noVBand="1"/>
        <w:tblCaption w:val="Table 9.1: Unlawful sexual harassment in the workplace"/>
        <w:tblDescription w:val="A summary of the scenarios of sexual harassment that must occur in the workplace to be considered unlawful. The scenarios are: 1) sexual harasment by a workplace participant of a self-employed person, volunteer or unpaid trainee; 2) sexual harassment by a member of Parliament of a workplace participant or another member of Parliament; 3) sexual harassment by an employee of a commission agent or contractor; and 4) sexual harassment by an employee, commission agent or contractor of a partner."/>
      </w:tblPr>
      <w:tblGrid>
        <w:gridCol w:w="4267"/>
        <w:gridCol w:w="4301"/>
      </w:tblGrid>
      <w:tr w:rsidR="00BC7971" w14:paraId="7E6BE920" w14:textId="77777777" w:rsidTr="00C00975">
        <w:trPr>
          <w:tblHeader/>
        </w:trPr>
        <w:tc>
          <w:tcPr>
            <w:tcW w:w="4267" w:type="dxa"/>
            <w:shd w:val="clear" w:color="auto" w:fill="002664"/>
          </w:tcPr>
          <w:p w14:paraId="19771FA0" w14:textId="77777777" w:rsidR="00BC7971" w:rsidRDefault="00BC7971" w:rsidP="004B2BE2">
            <w:pPr>
              <w:pStyle w:val="TableHeading"/>
            </w:pPr>
            <w:r>
              <w:t>Sexual harassment by</w:t>
            </w:r>
          </w:p>
        </w:tc>
        <w:tc>
          <w:tcPr>
            <w:tcW w:w="4301" w:type="dxa"/>
            <w:shd w:val="clear" w:color="auto" w:fill="002664"/>
          </w:tcPr>
          <w:p w14:paraId="0A050A61" w14:textId="77777777" w:rsidR="00BC7971" w:rsidRDefault="00BC7971" w:rsidP="004B2BE2">
            <w:pPr>
              <w:pStyle w:val="TableHeading"/>
            </w:pPr>
            <w:r>
              <w:t>Sexual harassment of</w:t>
            </w:r>
          </w:p>
        </w:tc>
      </w:tr>
      <w:tr w:rsidR="00BC7971" w14:paraId="038EF93C" w14:textId="77777777" w:rsidTr="00506B02">
        <w:tc>
          <w:tcPr>
            <w:tcW w:w="4267" w:type="dxa"/>
          </w:tcPr>
          <w:p w14:paraId="0CDB722E" w14:textId="77777777" w:rsidR="00BC7971" w:rsidRDefault="00BC7971" w:rsidP="004B2BE2">
            <w:pPr>
              <w:pStyle w:val="Tabletext"/>
            </w:pPr>
            <w:r>
              <w:t>Any workplace participant</w:t>
            </w:r>
          </w:p>
        </w:tc>
        <w:tc>
          <w:tcPr>
            <w:tcW w:w="4301" w:type="dxa"/>
          </w:tcPr>
          <w:p w14:paraId="59B8046F" w14:textId="77777777" w:rsidR="00BC7971" w:rsidRDefault="00BC7971" w:rsidP="004B2BE2">
            <w:pPr>
              <w:pStyle w:val="Tabletext"/>
            </w:pPr>
            <w:r>
              <w:t>A self-employed person, volunteer or unpaid trainee</w:t>
            </w:r>
          </w:p>
        </w:tc>
      </w:tr>
      <w:tr w:rsidR="00BC7971" w14:paraId="0D48A4F5" w14:textId="77777777" w:rsidTr="00506B02">
        <w:tc>
          <w:tcPr>
            <w:tcW w:w="4267" w:type="dxa"/>
          </w:tcPr>
          <w:p w14:paraId="1EFC1D49" w14:textId="77777777" w:rsidR="00BC7971" w:rsidRDefault="00BC7971" w:rsidP="004B2BE2">
            <w:pPr>
              <w:pStyle w:val="Tabletext"/>
            </w:pPr>
            <w:r>
              <w:t>A member of Parliament</w:t>
            </w:r>
          </w:p>
        </w:tc>
        <w:tc>
          <w:tcPr>
            <w:tcW w:w="4301" w:type="dxa"/>
          </w:tcPr>
          <w:p w14:paraId="48FC2C9F" w14:textId="77777777" w:rsidR="00BC7971" w:rsidRDefault="00BC7971" w:rsidP="004B2BE2">
            <w:pPr>
              <w:pStyle w:val="Tabletext"/>
            </w:pPr>
            <w:r>
              <w:t>Any workplace participant</w:t>
            </w:r>
          </w:p>
        </w:tc>
      </w:tr>
      <w:tr w:rsidR="00BC7971" w14:paraId="128B6F0A" w14:textId="77777777" w:rsidTr="00506B02">
        <w:tc>
          <w:tcPr>
            <w:tcW w:w="4267" w:type="dxa"/>
          </w:tcPr>
          <w:p w14:paraId="36ED12A3" w14:textId="77777777" w:rsidR="00BC7971" w:rsidRDefault="00BC7971" w:rsidP="004B2BE2">
            <w:pPr>
              <w:pStyle w:val="Tabletext"/>
            </w:pPr>
            <w:r>
              <w:t>A member of Parliament</w:t>
            </w:r>
          </w:p>
        </w:tc>
        <w:tc>
          <w:tcPr>
            <w:tcW w:w="4301" w:type="dxa"/>
          </w:tcPr>
          <w:p w14:paraId="3FF0C391" w14:textId="77777777" w:rsidR="00BC7971" w:rsidRDefault="00BC7971" w:rsidP="004B2BE2">
            <w:pPr>
              <w:pStyle w:val="Tabletext"/>
            </w:pPr>
            <w:r>
              <w:t>A member of Parliament</w:t>
            </w:r>
          </w:p>
        </w:tc>
      </w:tr>
      <w:tr w:rsidR="00BC7971" w14:paraId="07B42EB6" w14:textId="77777777" w:rsidTr="00506B02">
        <w:tc>
          <w:tcPr>
            <w:tcW w:w="4267" w:type="dxa"/>
          </w:tcPr>
          <w:p w14:paraId="0A2F928D" w14:textId="77777777" w:rsidR="00BC7971" w:rsidRDefault="00BC7971" w:rsidP="004B2BE2">
            <w:pPr>
              <w:pStyle w:val="Tabletext"/>
            </w:pPr>
            <w:r>
              <w:t>A co-worker who is an employee</w:t>
            </w:r>
          </w:p>
        </w:tc>
        <w:tc>
          <w:tcPr>
            <w:tcW w:w="4301" w:type="dxa"/>
          </w:tcPr>
          <w:p w14:paraId="5E15DC60" w14:textId="77777777" w:rsidR="00BC7971" w:rsidRDefault="00BC7971" w:rsidP="004B2BE2">
            <w:pPr>
              <w:pStyle w:val="Tabletext"/>
            </w:pPr>
            <w:r>
              <w:t>A commission agent or contractor</w:t>
            </w:r>
          </w:p>
        </w:tc>
      </w:tr>
      <w:tr w:rsidR="00506B02" w14:paraId="2FE4028E" w14:textId="77777777" w:rsidTr="00506B02">
        <w:tc>
          <w:tcPr>
            <w:tcW w:w="4267" w:type="dxa"/>
          </w:tcPr>
          <w:p w14:paraId="5859F74F" w14:textId="21A4A410" w:rsidR="00506B02" w:rsidRDefault="00506B02" w:rsidP="004B2BE2">
            <w:pPr>
              <w:pStyle w:val="Tabletext"/>
            </w:pPr>
            <w:r>
              <w:t>An employee, commission agent or contractor</w:t>
            </w:r>
          </w:p>
        </w:tc>
        <w:tc>
          <w:tcPr>
            <w:tcW w:w="4301" w:type="dxa"/>
          </w:tcPr>
          <w:p w14:paraId="0E71695E" w14:textId="1C14FCA6" w:rsidR="00506B02" w:rsidRDefault="00506B02" w:rsidP="004B2BE2">
            <w:pPr>
              <w:pStyle w:val="Tabletext"/>
            </w:pPr>
            <w:r>
              <w:t>A partner</w:t>
            </w:r>
          </w:p>
        </w:tc>
      </w:tr>
    </w:tbl>
    <w:p w14:paraId="136E7A9F" w14:textId="77777777" w:rsidR="00BC7971" w:rsidRDefault="00BC7971" w:rsidP="00BC7971">
      <w:pPr>
        <w:pStyle w:val="NormalAutoChapter"/>
        <w:tabs>
          <w:tab w:val="num" w:pos="3413"/>
        </w:tabs>
        <w:rPr>
          <w:lang w:eastAsia="en-US"/>
        </w:rPr>
      </w:pPr>
      <w:r>
        <w:t>A “workplace” is defined as a place where a workplace participant works or attends “in connection” with being a workplace participant.</w:t>
      </w:r>
      <w:r>
        <w:rPr>
          <w:rStyle w:val="FootnoteReference"/>
        </w:rPr>
        <w:footnoteReference w:id="998"/>
      </w:r>
      <w:r>
        <w:t xml:space="preserve"> This includes accommodation provided by an employer, modes of transportation to attend work events and places where there are social gatherings of work colleagues.</w:t>
      </w:r>
      <w:r>
        <w:rPr>
          <w:rStyle w:val="FootnoteReference"/>
        </w:rPr>
        <w:footnoteReference w:id="999"/>
      </w:r>
      <w:r>
        <w:t xml:space="preserve"> </w:t>
      </w:r>
    </w:p>
    <w:p w14:paraId="1062F2F1" w14:textId="77777777" w:rsidR="00BC7971" w:rsidRDefault="00BC7971" w:rsidP="00BC7971">
      <w:pPr>
        <w:pStyle w:val="NormalAutoChapter"/>
        <w:tabs>
          <w:tab w:val="num" w:pos="3413"/>
        </w:tabs>
        <w:rPr>
          <w:lang w:eastAsia="en-US"/>
        </w:rPr>
      </w:pPr>
      <w:r>
        <w:t xml:space="preserve">If NSW adopted the </w:t>
      </w:r>
      <w:r>
        <w:rPr>
          <w:i/>
          <w:iCs/>
          <w:noProof/>
        </w:rPr>
        <w:t>Sex Discrimination Act</w:t>
      </w:r>
      <w:r>
        <w:t xml:space="preserve"> approach, it would mean:</w:t>
      </w:r>
    </w:p>
    <w:p w14:paraId="3F0EBE79" w14:textId="77777777" w:rsidR="00BC7971" w:rsidRDefault="00BC7971" w:rsidP="00BC7971">
      <w:pPr>
        <w:pStyle w:val="Normalbullet"/>
      </w:pPr>
      <w:r>
        <w:t>more types of workers would be covered by the prohibition on sexual harassment</w:t>
      </w:r>
    </w:p>
    <w:p w14:paraId="33AE0744" w14:textId="77777777" w:rsidR="00BC7971" w:rsidRDefault="00BC7971" w:rsidP="00BC7971">
      <w:pPr>
        <w:pStyle w:val="Normalbullet"/>
      </w:pPr>
      <w:r>
        <w:t>all types of workers would be treated the same, with no differences in requirement for where the sexual harassment took place, and</w:t>
      </w:r>
    </w:p>
    <w:p w14:paraId="36599757" w14:textId="77777777" w:rsidR="00BC7971" w:rsidRDefault="00BC7971" w:rsidP="00BC7971">
      <w:pPr>
        <w:pStyle w:val="Normalbullet"/>
      </w:pPr>
      <w:r>
        <w:t>sexual harassment done by any person, not just an employer or co-worker, would be prohibited, if done in connection with someone’s status as either a worker or a person conducting a business or undertaking.</w:t>
      </w:r>
    </w:p>
    <w:p w14:paraId="260FC411" w14:textId="77777777" w:rsidR="00BC7971" w:rsidRDefault="00BC7971" w:rsidP="00BC7971">
      <w:pPr>
        <w:pStyle w:val="NormalAutoChapter"/>
        <w:tabs>
          <w:tab w:val="num" w:pos="3413"/>
        </w:tabs>
      </w:pPr>
      <w:r>
        <w:t xml:space="preserve">The Australian Law Reform Commission (ALRC) recently recommended the </w:t>
      </w:r>
      <w:r w:rsidRPr="0044466B">
        <w:rPr>
          <w:i/>
          <w:iCs/>
        </w:rPr>
        <w:t>Sex Discrimination Act</w:t>
      </w:r>
      <w:r>
        <w:t xml:space="preserve"> should prohibit sexual harassment in “all areas of public activity”.</w:t>
      </w:r>
      <w:r>
        <w:rPr>
          <w:rStyle w:val="FootnoteReference"/>
          <w:lang w:eastAsia="en-US"/>
        </w:rPr>
        <w:footnoteReference w:id="1000"/>
      </w:r>
      <w:r>
        <w:t xml:space="preserve"> The ALRC also recommended that the Australian Government consider whether the prohibition should be expanded further to apply “universally” — that is, to any area of life, public or private.</w:t>
      </w:r>
      <w:r>
        <w:rPr>
          <w:rStyle w:val="FootnoteReference"/>
          <w:lang w:eastAsia="en-US"/>
        </w:rPr>
        <w:footnoteReference w:id="1001"/>
      </w:r>
      <w:r>
        <w:t xml:space="preserve"> The Australian Government has not yet responded to these recommendations. </w:t>
      </w:r>
    </w:p>
    <w:p w14:paraId="45E18363" w14:textId="77777777" w:rsidR="00BC7971" w:rsidRDefault="00BC7971" w:rsidP="00BC7971">
      <w:pPr>
        <w:pStyle w:val="Recommendationheading"/>
      </w:pPr>
      <w:r>
        <w:lastRenderedPageBreak/>
        <w:t xml:space="preserve">Question 9.3: Sexual harassment in the workplace </w:t>
      </w:r>
    </w:p>
    <w:p w14:paraId="777A442E" w14:textId="77777777" w:rsidR="00BC7971" w:rsidRDefault="00BC7971" w:rsidP="00BC7971">
      <w:pPr>
        <w:pStyle w:val="Recommendationnormal"/>
      </w:pPr>
      <w:r>
        <w:t xml:space="preserve">Should the </w:t>
      </w:r>
      <w:r w:rsidRPr="00C322F1">
        <w:rPr>
          <w:iCs/>
        </w:rPr>
        <w:t>ADA</w:t>
      </w:r>
      <w:r>
        <w:t xml:space="preserve"> adopt the </w:t>
      </w:r>
      <w:r>
        <w:rPr>
          <w:i/>
          <w:iCs/>
          <w:noProof/>
        </w:rPr>
        <w:t>Sex Discrimination Act</w:t>
      </w:r>
      <w:r>
        <w:t>’s approach of prohibiting sexual harassment in connection with someone’s status as a worker or person conducting a business or undertaking? Why or why not?</w:t>
      </w:r>
    </w:p>
    <w:p w14:paraId="28968309" w14:textId="77777777" w:rsidR="00BC7971" w:rsidRDefault="00BC7971" w:rsidP="00BC7971">
      <w:pPr>
        <w:pStyle w:val="Heading2"/>
      </w:pPr>
      <w:bookmarkStart w:id="430" w:name="_Toc196742036"/>
      <w:bookmarkStart w:id="431" w:name="_Toc196826947"/>
      <w:r>
        <w:t>Workplace-related laws also regulate sexual harassment</w:t>
      </w:r>
      <w:bookmarkEnd w:id="430"/>
      <w:bookmarkEnd w:id="431"/>
    </w:p>
    <w:p w14:paraId="312DC085" w14:textId="77777777" w:rsidR="00BC7971" w:rsidRDefault="00BC7971" w:rsidP="00BC7971">
      <w:pPr>
        <w:pStyle w:val="NormalAutoChapter"/>
        <w:tabs>
          <w:tab w:val="num" w:pos="3413"/>
        </w:tabs>
      </w:pPr>
      <w:r>
        <w:t xml:space="preserve">Employment laws and work health and safety laws </w:t>
      </w:r>
      <w:r w:rsidRPr="000A16EF">
        <w:t xml:space="preserve">also </w:t>
      </w:r>
      <w:r>
        <w:t>regulate</w:t>
      </w:r>
      <w:r w:rsidRPr="000A16EF">
        <w:t xml:space="preserve"> sexual harassment. </w:t>
      </w:r>
      <w:r>
        <w:t>These laws are</w:t>
      </w:r>
      <w:r w:rsidRPr="000A16EF">
        <w:t xml:space="preserve"> limited to </w:t>
      </w:r>
      <w:r>
        <w:t xml:space="preserve">the workplace. </w:t>
      </w:r>
    </w:p>
    <w:p w14:paraId="433F7666" w14:textId="77777777" w:rsidR="00BC7971" w:rsidRDefault="00BC7971" w:rsidP="00BC7971">
      <w:pPr>
        <w:pStyle w:val="NormalAutoChapter"/>
        <w:tabs>
          <w:tab w:val="num" w:pos="3413"/>
        </w:tabs>
      </w:pPr>
      <w:r>
        <w:t xml:space="preserve">Sexual harassment in the workplace is prohibited, directly or indirectly, under the </w:t>
      </w:r>
      <w:r w:rsidRPr="00057D48">
        <w:rPr>
          <w:i/>
          <w:iCs/>
        </w:rPr>
        <w:t>Fair Work Act 2009</w:t>
      </w:r>
      <w:r>
        <w:t xml:space="preserve"> (Cth) (</w:t>
      </w:r>
      <w:r w:rsidRPr="000528A2">
        <w:rPr>
          <w:i/>
          <w:iCs/>
        </w:rPr>
        <w:t>F</w:t>
      </w:r>
      <w:r>
        <w:rPr>
          <w:i/>
          <w:iCs/>
        </w:rPr>
        <w:t xml:space="preserve">air </w:t>
      </w:r>
      <w:r w:rsidRPr="000528A2">
        <w:rPr>
          <w:i/>
          <w:iCs/>
        </w:rPr>
        <w:t>W</w:t>
      </w:r>
      <w:r>
        <w:rPr>
          <w:i/>
          <w:iCs/>
        </w:rPr>
        <w:t xml:space="preserve">ork </w:t>
      </w:r>
      <w:r w:rsidRPr="000528A2">
        <w:rPr>
          <w:i/>
          <w:iCs/>
        </w:rPr>
        <w:t>A</w:t>
      </w:r>
      <w:r>
        <w:rPr>
          <w:i/>
          <w:iCs/>
        </w:rPr>
        <w:t>ct</w:t>
      </w:r>
      <w:r>
        <w:t xml:space="preserve">) and </w:t>
      </w:r>
      <w:r w:rsidRPr="00C93C3D">
        <w:t>the</w:t>
      </w:r>
      <w:r w:rsidRPr="00057D48">
        <w:rPr>
          <w:i/>
          <w:iCs/>
        </w:rPr>
        <w:t xml:space="preserve"> Work Health and Safety Act 2011 </w:t>
      </w:r>
      <w:r w:rsidRPr="00023A06">
        <w:t>(</w:t>
      </w:r>
      <w:r>
        <w:t>NSW</w:t>
      </w:r>
      <w:r w:rsidRPr="00023A06">
        <w:t>)</w:t>
      </w:r>
      <w:r>
        <w:t xml:space="preserve"> (</w:t>
      </w:r>
      <w:r w:rsidRPr="00A07D20">
        <w:rPr>
          <w:i/>
          <w:iCs/>
        </w:rPr>
        <w:t>WHS Act</w:t>
      </w:r>
      <w:r>
        <w:t>).</w:t>
      </w:r>
      <w:r>
        <w:rPr>
          <w:rStyle w:val="FootnoteReference"/>
        </w:rPr>
        <w:footnoteReference w:id="1002"/>
      </w:r>
      <w:r>
        <w:t xml:space="preserve"> </w:t>
      </w:r>
      <w:r w:rsidRPr="00057D48">
        <w:t>The</w:t>
      </w:r>
      <w:r w:rsidRPr="001118D2">
        <w:t xml:space="preserve">se Acts </w:t>
      </w:r>
      <w:r w:rsidRPr="00057D48">
        <w:t>apply</w:t>
      </w:r>
      <w:r>
        <w:t xml:space="preserve"> to “workers” and “people conducting a business or undertaking”. These Acts cover more types of workers than the </w:t>
      </w:r>
      <w:r w:rsidRPr="00C322F1">
        <w:rPr>
          <w:iCs/>
        </w:rPr>
        <w:t>ADA</w:t>
      </w:r>
      <w:r>
        <w:t xml:space="preserve"> currently does.</w:t>
      </w:r>
    </w:p>
    <w:p w14:paraId="74ADF6DA" w14:textId="77777777" w:rsidR="00BC7971" w:rsidRDefault="00BC7971" w:rsidP="00BC7971">
      <w:pPr>
        <w:pStyle w:val="NormalAutoChapter"/>
        <w:tabs>
          <w:tab w:val="num" w:pos="3413"/>
        </w:tabs>
      </w:pPr>
      <w:r>
        <w:t xml:space="preserve">The </w:t>
      </w:r>
      <w:r w:rsidRPr="000528A2">
        <w:rPr>
          <w:i/>
          <w:iCs/>
        </w:rPr>
        <w:t>F</w:t>
      </w:r>
      <w:r>
        <w:rPr>
          <w:i/>
          <w:iCs/>
        </w:rPr>
        <w:t xml:space="preserve">air </w:t>
      </w:r>
      <w:r w:rsidRPr="000528A2">
        <w:rPr>
          <w:i/>
          <w:iCs/>
        </w:rPr>
        <w:t>W</w:t>
      </w:r>
      <w:r>
        <w:rPr>
          <w:i/>
          <w:iCs/>
        </w:rPr>
        <w:t xml:space="preserve">ork </w:t>
      </w:r>
      <w:r w:rsidRPr="000528A2">
        <w:rPr>
          <w:i/>
          <w:iCs/>
        </w:rPr>
        <w:t>A</w:t>
      </w:r>
      <w:r>
        <w:rPr>
          <w:i/>
          <w:iCs/>
        </w:rPr>
        <w:t>ct</w:t>
      </w:r>
      <w:r>
        <w:t xml:space="preserve"> uses the </w:t>
      </w:r>
      <w:r>
        <w:rPr>
          <w:i/>
          <w:iCs/>
          <w:noProof/>
        </w:rPr>
        <w:t>Sex Discrimination Act</w:t>
      </w:r>
      <w:r>
        <w:t xml:space="preserve"> definition of sexual harassment. Under the </w:t>
      </w:r>
      <w:r w:rsidRPr="000528A2">
        <w:rPr>
          <w:i/>
          <w:iCs/>
        </w:rPr>
        <w:t>F</w:t>
      </w:r>
      <w:r>
        <w:rPr>
          <w:i/>
          <w:iCs/>
        </w:rPr>
        <w:t xml:space="preserve">air </w:t>
      </w:r>
      <w:r w:rsidRPr="000528A2">
        <w:rPr>
          <w:i/>
          <w:iCs/>
        </w:rPr>
        <w:t>W</w:t>
      </w:r>
      <w:r>
        <w:rPr>
          <w:i/>
          <w:iCs/>
        </w:rPr>
        <w:t xml:space="preserve">ork </w:t>
      </w:r>
      <w:r w:rsidRPr="000528A2">
        <w:rPr>
          <w:i/>
          <w:iCs/>
        </w:rPr>
        <w:t>A</w:t>
      </w:r>
      <w:r>
        <w:rPr>
          <w:i/>
          <w:iCs/>
        </w:rPr>
        <w:t>ct</w:t>
      </w:r>
      <w:r>
        <w:t>, a person must not sexually harass a “worker” or “person conducting a business or undertaking” if the harassment occurs “in connection” with the person being either of those things.</w:t>
      </w:r>
      <w:r>
        <w:rPr>
          <w:rStyle w:val="FootnoteReference"/>
        </w:rPr>
        <w:footnoteReference w:id="1003"/>
      </w:r>
      <w:r>
        <w:t xml:space="preserve"> </w:t>
      </w:r>
    </w:p>
    <w:p w14:paraId="50E3F431" w14:textId="77777777" w:rsidR="00BC7971" w:rsidRDefault="00BC7971" w:rsidP="00BC7971">
      <w:pPr>
        <w:pStyle w:val="NormalAutoChapter"/>
        <w:tabs>
          <w:tab w:val="num" w:pos="3413"/>
        </w:tabs>
      </w:pPr>
      <w:r>
        <w:t xml:space="preserve">The </w:t>
      </w:r>
      <w:r w:rsidRPr="000528A2">
        <w:rPr>
          <w:i/>
          <w:iCs/>
        </w:rPr>
        <w:t>F</w:t>
      </w:r>
      <w:r>
        <w:rPr>
          <w:i/>
          <w:iCs/>
        </w:rPr>
        <w:t xml:space="preserve">air </w:t>
      </w:r>
      <w:r w:rsidRPr="000528A2">
        <w:rPr>
          <w:i/>
          <w:iCs/>
        </w:rPr>
        <w:t>W</w:t>
      </w:r>
      <w:r>
        <w:rPr>
          <w:i/>
          <w:iCs/>
        </w:rPr>
        <w:t xml:space="preserve">ork </w:t>
      </w:r>
      <w:r w:rsidRPr="000528A2">
        <w:rPr>
          <w:i/>
          <w:iCs/>
        </w:rPr>
        <w:t>A</w:t>
      </w:r>
      <w:r>
        <w:rPr>
          <w:i/>
          <w:iCs/>
        </w:rPr>
        <w:t>ct</w:t>
      </w:r>
      <w:r w:rsidRPr="000528A2">
        <w:rPr>
          <w:i/>
          <w:iCs/>
        </w:rPr>
        <w:t xml:space="preserve"> </w:t>
      </w:r>
      <w:r>
        <w:t>also prohibits bullying at work, which involves repeated unreasonable behaviour towards a worker or group of workers in a workplace, that creates a risk to health and safety.</w:t>
      </w:r>
      <w:r>
        <w:rPr>
          <w:rStyle w:val="FootnoteReference"/>
        </w:rPr>
        <w:footnoteReference w:id="1004"/>
      </w:r>
      <w:r>
        <w:t xml:space="preserve"> A person may apply to the Fair Work Commission for an order to stop the bullying or an order to stop the sexual harassment.</w:t>
      </w:r>
      <w:r>
        <w:rPr>
          <w:rStyle w:val="FootnoteReference"/>
        </w:rPr>
        <w:footnoteReference w:id="1005"/>
      </w:r>
      <w:r>
        <w:t xml:space="preserve"> </w:t>
      </w:r>
    </w:p>
    <w:p w14:paraId="541BE453" w14:textId="77777777" w:rsidR="00BC7971" w:rsidRDefault="00BC7971" w:rsidP="00BC7971">
      <w:pPr>
        <w:pStyle w:val="NormalAutoChapter"/>
        <w:tabs>
          <w:tab w:val="num" w:pos="3413"/>
        </w:tabs>
      </w:pPr>
      <w:r>
        <w:t xml:space="preserve">The </w:t>
      </w:r>
      <w:r w:rsidRPr="000528A2">
        <w:rPr>
          <w:i/>
          <w:iCs/>
        </w:rPr>
        <w:t>F</w:t>
      </w:r>
      <w:r>
        <w:rPr>
          <w:i/>
          <w:iCs/>
        </w:rPr>
        <w:t xml:space="preserve">air </w:t>
      </w:r>
      <w:r w:rsidRPr="000528A2">
        <w:rPr>
          <w:i/>
          <w:iCs/>
        </w:rPr>
        <w:t>W</w:t>
      </w:r>
      <w:r>
        <w:rPr>
          <w:i/>
          <w:iCs/>
        </w:rPr>
        <w:t xml:space="preserve">ork </w:t>
      </w:r>
      <w:r w:rsidRPr="000528A2">
        <w:rPr>
          <w:i/>
          <w:iCs/>
        </w:rPr>
        <w:t>A</w:t>
      </w:r>
      <w:r>
        <w:rPr>
          <w:i/>
          <w:iCs/>
        </w:rPr>
        <w:t>ct</w:t>
      </w:r>
      <w:r w:rsidRPr="000528A2" w:rsidDel="006B7D86">
        <w:rPr>
          <w:i/>
          <w:iCs/>
        </w:rPr>
        <w:t xml:space="preserve"> </w:t>
      </w:r>
      <w:r>
        <w:t>applies to most workplaces in NSW, but it does not apply to the state public sector and local government.</w:t>
      </w:r>
      <w:r>
        <w:rPr>
          <w:rStyle w:val="FootnoteReference"/>
        </w:rPr>
        <w:footnoteReference w:id="1006"/>
      </w:r>
      <w:r>
        <w:t xml:space="preserve"> </w:t>
      </w:r>
    </w:p>
    <w:p w14:paraId="4D132CE7" w14:textId="77777777" w:rsidR="00BC7971" w:rsidRDefault="00BC7971" w:rsidP="00BC7971">
      <w:pPr>
        <w:pStyle w:val="NormalAutoChapter"/>
        <w:tabs>
          <w:tab w:val="num" w:pos="3413"/>
        </w:tabs>
      </w:pPr>
      <w:r>
        <w:t xml:space="preserve">The </w:t>
      </w:r>
      <w:r w:rsidRPr="00487CC5">
        <w:rPr>
          <w:i/>
          <w:iCs/>
        </w:rPr>
        <w:t>WHS Act</w:t>
      </w:r>
      <w:r w:rsidDel="006B7D86">
        <w:t xml:space="preserve"> </w:t>
      </w:r>
      <w:r>
        <w:t xml:space="preserve">imposes duties on people conducting a business or undertaking to: </w:t>
      </w:r>
    </w:p>
    <w:p w14:paraId="73AE7135" w14:textId="77777777" w:rsidR="00BC7971" w:rsidRDefault="00BC7971" w:rsidP="00BC7971">
      <w:pPr>
        <w:pStyle w:val="Normalbullet"/>
      </w:pPr>
      <w:r>
        <w:t>ensure, as far as reasonably practicable, the health and safety of their workers and others, and</w:t>
      </w:r>
    </w:p>
    <w:p w14:paraId="0639EF8D" w14:textId="77777777" w:rsidR="00BC7971" w:rsidRDefault="00BC7971" w:rsidP="00BC7971">
      <w:pPr>
        <w:pStyle w:val="Normalbullet"/>
      </w:pPr>
      <w:r>
        <w:lastRenderedPageBreak/>
        <w:t>manage risks arising from hazards that may cause psychological harm.</w:t>
      </w:r>
      <w:r>
        <w:rPr>
          <w:rStyle w:val="FootnoteReference"/>
        </w:rPr>
        <w:footnoteReference w:id="1007"/>
      </w:r>
    </w:p>
    <w:p w14:paraId="77A799E9" w14:textId="77777777" w:rsidR="00BC7971" w:rsidRDefault="00BC7971" w:rsidP="00BC7971">
      <w:pPr>
        <w:pStyle w:val="NormalAutoChapter"/>
        <w:tabs>
          <w:tab w:val="num" w:pos="3413"/>
        </w:tabs>
      </w:pPr>
      <w:r>
        <w:t>Harassment is recognised in the SafeWork NSW code of practice on psychosocial hazards as a common hazard that may cause psychological harm</w:t>
      </w:r>
      <w:r>
        <w:rPr>
          <w:lang w:eastAsia="en-US"/>
        </w:rPr>
        <w:t>.</w:t>
      </w:r>
      <w:r>
        <w:rPr>
          <w:rStyle w:val="FootnoteReference"/>
          <w:lang w:eastAsia="en-US"/>
        </w:rPr>
        <w:footnoteReference w:id="1008"/>
      </w:r>
      <w:r>
        <w:rPr>
          <w:lang w:eastAsia="en-US"/>
        </w:rPr>
        <w:t xml:space="preserve"> SafeWork NSW also has a separate code of practice which provides guidance to workers and people conducting a business or undertaking on how to identify and manage the risks of sexual and gender-based harassment.</w:t>
      </w:r>
      <w:r>
        <w:rPr>
          <w:rStyle w:val="FootnoteReference"/>
          <w:lang w:eastAsia="en-US"/>
        </w:rPr>
        <w:footnoteReference w:id="1009"/>
      </w:r>
    </w:p>
    <w:p w14:paraId="73C8677E" w14:textId="77777777" w:rsidR="00BC7971" w:rsidRDefault="00BC7971" w:rsidP="00BC7971">
      <w:pPr>
        <w:pStyle w:val="Recommendationheading"/>
      </w:pPr>
      <w:bookmarkStart w:id="433" w:name="_Hlk196305361"/>
      <w:r>
        <w:t>Question 9.4: Workplace-related laws regulating sexual harassment</w:t>
      </w:r>
    </w:p>
    <w:p w14:paraId="6A3743AF" w14:textId="77777777" w:rsidR="00BC7971" w:rsidRDefault="00BC7971" w:rsidP="00BC7971">
      <w:pPr>
        <w:pStyle w:val="Recommendationhanging1"/>
        <w:numPr>
          <w:ilvl w:val="0"/>
          <w:numId w:val="25"/>
        </w:numPr>
      </w:pPr>
      <w:r>
        <w:t xml:space="preserve">Are workplace-related sexual harassment laws and the </w:t>
      </w:r>
      <w:r w:rsidRPr="00C322F1">
        <w:rPr>
          <w:iCs/>
        </w:rPr>
        <w:t>ADA</w:t>
      </w:r>
      <w:r>
        <w:t xml:space="preserve"> currently working well together, in terms of the definitions of sexual harassment? </w:t>
      </w:r>
    </w:p>
    <w:p w14:paraId="652C749A" w14:textId="77777777" w:rsidR="00BC7971" w:rsidRDefault="00BC7971" w:rsidP="00BC7971">
      <w:pPr>
        <w:pStyle w:val="Recommendationhanging1"/>
        <w:numPr>
          <w:ilvl w:val="0"/>
          <w:numId w:val="25"/>
        </w:numPr>
      </w:pPr>
      <w:r>
        <w:t xml:space="preserve">Should the </w:t>
      </w:r>
      <w:r w:rsidRPr="00C322F1">
        <w:rPr>
          <w:iCs/>
        </w:rPr>
        <w:t>ADA</w:t>
      </w:r>
      <w:r w:rsidRPr="00911E2D">
        <w:rPr>
          <w:i/>
          <w:iCs/>
        </w:rPr>
        <w:t xml:space="preserve"> </w:t>
      </w:r>
      <w:r>
        <w:t xml:space="preserve">and workplace-related sexual harassment laws be more aligned? </w:t>
      </w:r>
    </w:p>
    <w:p w14:paraId="75822497" w14:textId="77777777" w:rsidR="00BC7971" w:rsidRDefault="00BC7971" w:rsidP="00BC7971">
      <w:pPr>
        <w:pStyle w:val="Heading2"/>
      </w:pPr>
      <w:bookmarkStart w:id="434" w:name="_Toc196742037"/>
      <w:bookmarkStart w:id="435" w:name="_Toc196826948"/>
      <w:bookmarkEnd w:id="433"/>
      <w:r>
        <w:t>Prohibiting sexual harassment in other areas of life</w:t>
      </w:r>
      <w:bookmarkEnd w:id="434"/>
      <w:bookmarkEnd w:id="435"/>
    </w:p>
    <w:p w14:paraId="1CC29D3C" w14:textId="77777777" w:rsidR="00BC7971" w:rsidRDefault="00BC7971" w:rsidP="00BC7971">
      <w:pPr>
        <w:pStyle w:val="NormalAutoChapter"/>
        <w:tabs>
          <w:tab w:val="num" w:pos="3413"/>
        </w:tabs>
        <w:rPr>
          <w:lang w:eastAsia="en-US"/>
        </w:rPr>
      </w:pPr>
      <w:r>
        <w:rPr>
          <w:lang w:eastAsia="en-US"/>
        </w:rPr>
        <w:t xml:space="preserve">We heard some support for expanding the areas of life in which sexual harassment was prohibited. Options to consider included: </w:t>
      </w:r>
    </w:p>
    <w:p w14:paraId="7116BB52" w14:textId="77777777" w:rsidR="00BC7971" w:rsidRDefault="00BC7971" w:rsidP="00BC7971">
      <w:pPr>
        <w:pStyle w:val="Normalbullet"/>
      </w:pPr>
      <w:r>
        <w:t>prohibiting sexual harassment in any area of life, public or private</w:t>
      </w:r>
    </w:p>
    <w:p w14:paraId="101D1F4B" w14:textId="77777777" w:rsidR="00BC7971" w:rsidRDefault="00BC7971" w:rsidP="00BC7971">
      <w:pPr>
        <w:pStyle w:val="Normalbullet"/>
      </w:pPr>
      <w:r>
        <w:t>prohibiting sexual harassment in all areas of public life, and</w:t>
      </w:r>
    </w:p>
    <w:p w14:paraId="4846464E" w14:textId="77777777" w:rsidR="00BC7971" w:rsidRDefault="00BC7971" w:rsidP="00BC7971">
      <w:pPr>
        <w:pStyle w:val="Normalbullet"/>
      </w:pPr>
      <w:r>
        <w:t xml:space="preserve">expanding the areas of life protected from sexual harassment to cover all areas of life that are protected from discrimination under the </w:t>
      </w:r>
      <w:r w:rsidRPr="00C322F1">
        <w:rPr>
          <w:iCs/>
        </w:rPr>
        <w:t>ADA</w:t>
      </w:r>
      <w:r>
        <w:t>.</w:t>
      </w:r>
    </w:p>
    <w:p w14:paraId="4B03F1CE" w14:textId="77777777" w:rsidR="00BC7971" w:rsidRDefault="00BC7971" w:rsidP="00BC7971">
      <w:pPr>
        <w:pStyle w:val="NormalAutoChapter"/>
        <w:tabs>
          <w:tab w:val="num" w:pos="3413"/>
        </w:tabs>
        <w:rPr>
          <w:lang w:eastAsia="en-US"/>
        </w:rPr>
      </w:pPr>
      <w:r>
        <w:rPr>
          <w:lang w:eastAsia="en-US"/>
        </w:rPr>
        <w:t xml:space="preserve">Prohibiting sexual harassment in any area of life, public or private, would make it unlawful to sexually harass a person on the street or in the home. </w:t>
      </w:r>
      <w:r>
        <w:t xml:space="preserve">This is the approach taken in </w:t>
      </w:r>
      <w:r>
        <w:rPr>
          <w:lang w:eastAsia="en-US"/>
        </w:rPr>
        <w:t>Queensland and the Northern Territory (NT).</w:t>
      </w:r>
      <w:r>
        <w:rPr>
          <w:rStyle w:val="FootnoteReference"/>
          <w:lang w:eastAsia="en-US"/>
        </w:rPr>
        <w:footnoteReference w:id="1010"/>
      </w:r>
      <w:r>
        <w:rPr>
          <w:lang w:eastAsia="en-US"/>
        </w:rPr>
        <w:t xml:space="preserve"> In 2022, the QHRC concluded this was operating well.</w:t>
      </w:r>
      <w:r>
        <w:rPr>
          <w:rStyle w:val="FootnoteReference"/>
          <w:lang w:eastAsia="en-US"/>
        </w:rPr>
        <w:footnoteReference w:id="1011"/>
      </w:r>
      <w:r>
        <w:rPr>
          <w:lang w:eastAsia="en-US"/>
        </w:rPr>
        <w:t xml:space="preserve"> The ALRC also favoured this approach in its recent review of justice responses to sexual violence.</w:t>
      </w:r>
      <w:r>
        <w:rPr>
          <w:rStyle w:val="FootnoteReference"/>
          <w:lang w:eastAsia="en-US"/>
        </w:rPr>
        <w:footnoteReference w:id="1012"/>
      </w:r>
      <w:r>
        <w:rPr>
          <w:lang w:eastAsia="en-US"/>
        </w:rPr>
        <w:t xml:space="preserve"> </w:t>
      </w:r>
    </w:p>
    <w:p w14:paraId="71605302" w14:textId="77777777" w:rsidR="00BC7971" w:rsidRDefault="00BC7971" w:rsidP="00BC7971">
      <w:pPr>
        <w:pStyle w:val="NormalAutoChapter"/>
        <w:tabs>
          <w:tab w:val="num" w:pos="3413"/>
        </w:tabs>
        <w:rPr>
          <w:lang w:eastAsia="en-US"/>
        </w:rPr>
      </w:pPr>
      <w:r>
        <w:rPr>
          <w:lang w:eastAsia="en-US"/>
        </w:rPr>
        <w:t>Arguments in favour of this approach include that it would:</w:t>
      </w:r>
    </w:p>
    <w:p w14:paraId="175D7881" w14:textId="77777777" w:rsidR="00BC7971" w:rsidRDefault="00BC7971" w:rsidP="00BC7971">
      <w:pPr>
        <w:pStyle w:val="Normalbullet"/>
      </w:pPr>
      <w:r>
        <w:t xml:space="preserve">simplify and clarify the </w:t>
      </w:r>
      <w:r w:rsidRPr="00C322F1">
        <w:rPr>
          <w:iCs/>
        </w:rPr>
        <w:t>ADA</w:t>
      </w:r>
      <w:r>
        <w:t xml:space="preserve">, and </w:t>
      </w:r>
    </w:p>
    <w:p w14:paraId="77E49B3E" w14:textId="77777777" w:rsidR="00BC7971" w:rsidRDefault="00BC7971" w:rsidP="00BC7971">
      <w:pPr>
        <w:pStyle w:val="Normalbullet"/>
      </w:pPr>
      <w:r>
        <w:lastRenderedPageBreak/>
        <w:t xml:space="preserve">cover instances of sexual harassment that are pervasive but which the </w:t>
      </w:r>
      <w:r w:rsidRPr="00C322F1">
        <w:rPr>
          <w:iCs/>
        </w:rPr>
        <w:t>ADA</w:t>
      </w:r>
      <w:r>
        <w:t xml:space="preserve"> does not prohibit, including sexual harassment on the street.</w:t>
      </w:r>
      <w:r>
        <w:rPr>
          <w:rStyle w:val="FootnoteReference"/>
        </w:rPr>
        <w:footnoteReference w:id="1013"/>
      </w:r>
    </w:p>
    <w:p w14:paraId="18248413" w14:textId="77777777" w:rsidR="00BC7971" w:rsidRDefault="00BC7971" w:rsidP="00BC7971">
      <w:pPr>
        <w:pStyle w:val="NormalAutoChapter"/>
        <w:tabs>
          <w:tab w:val="num" w:pos="3413"/>
        </w:tabs>
        <w:rPr>
          <w:lang w:eastAsia="en-US"/>
        </w:rPr>
      </w:pPr>
      <w:r>
        <w:rPr>
          <w:lang w:eastAsia="en-US"/>
        </w:rPr>
        <w:t xml:space="preserve">It may also be considered appropriate that sexual harassment is unlawful no matter which area of life or type of relationship it occurs in. However, an argument against including areas of private life is that it may be inconsistent with the </w:t>
      </w:r>
      <w:r w:rsidRPr="00C322F1">
        <w:rPr>
          <w:iCs/>
          <w:lang w:eastAsia="en-US"/>
        </w:rPr>
        <w:t>ADA</w:t>
      </w:r>
      <w:r>
        <w:rPr>
          <w:lang w:eastAsia="en-US"/>
        </w:rPr>
        <w:t>’s current distinction between public and private areas of life, and limitation to the public sphere only.</w:t>
      </w:r>
      <w:r>
        <w:rPr>
          <w:rStyle w:val="FootnoteReference"/>
          <w:lang w:eastAsia="en-US"/>
        </w:rPr>
        <w:footnoteReference w:id="1014"/>
      </w:r>
      <w:r>
        <w:rPr>
          <w:lang w:eastAsia="en-US"/>
        </w:rPr>
        <w:t xml:space="preserve"> </w:t>
      </w:r>
    </w:p>
    <w:p w14:paraId="4BEB8BC4" w14:textId="77777777" w:rsidR="00BC7971" w:rsidRDefault="00BC7971" w:rsidP="00BC7971">
      <w:pPr>
        <w:pStyle w:val="NormalAutoChapter"/>
        <w:tabs>
          <w:tab w:val="num" w:pos="3413"/>
        </w:tabs>
        <w:rPr>
          <w:lang w:eastAsia="en-US"/>
        </w:rPr>
      </w:pPr>
      <w:r>
        <w:rPr>
          <w:lang w:eastAsia="en-US"/>
        </w:rPr>
        <w:t xml:space="preserve">A second option is to prohibit sexual harassment in all areas of public life. As with the first option, this would remove the need for the </w:t>
      </w:r>
      <w:r w:rsidRPr="00C322F1">
        <w:rPr>
          <w:iCs/>
          <w:lang w:eastAsia="en-US"/>
        </w:rPr>
        <w:t>ADA</w:t>
      </w:r>
      <w:r>
        <w:rPr>
          <w:lang w:eastAsia="en-US"/>
        </w:rPr>
        <w:t xml:space="preserve"> to specify areas of life or who is prohibited from sexually harassing who. This would be simpler than the current approach and may also eliminate any uncertainty about where harassment is unlawful.</w:t>
      </w:r>
      <w:r>
        <w:rPr>
          <w:rStyle w:val="FootnoteReference"/>
          <w:lang w:eastAsia="en-US"/>
        </w:rPr>
        <w:footnoteReference w:id="1015"/>
      </w:r>
      <w:r>
        <w:rPr>
          <w:lang w:eastAsia="en-US"/>
        </w:rPr>
        <w:t xml:space="preserve"> </w:t>
      </w:r>
    </w:p>
    <w:p w14:paraId="265DC741" w14:textId="77777777" w:rsidR="00BC7971" w:rsidRDefault="00BC7971" w:rsidP="00BC7971">
      <w:pPr>
        <w:pStyle w:val="NormalAutoChapter"/>
        <w:tabs>
          <w:tab w:val="num" w:pos="3413"/>
        </w:tabs>
        <w:rPr>
          <w:lang w:eastAsia="en-US"/>
        </w:rPr>
      </w:pPr>
      <w:r>
        <w:rPr>
          <w:lang w:eastAsia="en-US"/>
        </w:rPr>
        <w:t xml:space="preserve">A third option is to expand the areas of life protected from sexual harassment to cover all areas of life that are protected from discrimination under the </w:t>
      </w:r>
      <w:r w:rsidRPr="00C322F1">
        <w:rPr>
          <w:iCs/>
          <w:lang w:eastAsia="en-US"/>
        </w:rPr>
        <w:t>ADA</w:t>
      </w:r>
      <w:r>
        <w:rPr>
          <w:lang w:eastAsia="en-US"/>
        </w:rPr>
        <w:t>. For example, registered clubs are included in the areas of life protected from discrimination, but not sexual harassment.</w:t>
      </w:r>
      <w:r>
        <w:rPr>
          <w:rStyle w:val="FootnoteReference"/>
        </w:rPr>
        <w:footnoteReference w:id="1016"/>
      </w:r>
      <w:r>
        <w:t xml:space="preserve"> </w:t>
      </w:r>
    </w:p>
    <w:p w14:paraId="76B1D569" w14:textId="77777777" w:rsidR="00BC7971" w:rsidRDefault="00BC7971" w:rsidP="00BC7971">
      <w:pPr>
        <w:pStyle w:val="NormalAutoChapter"/>
        <w:tabs>
          <w:tab w:val="num" w:pos="3413"/>
        </w:tabs>
      </w:pPr>
      <w:r>
        <w:rPr>
          <w:lang w:eastAsia="en-US"/>
        </w:rPr>
        <w:t>Only NSW, South Australia (SA) and Western Australia (WA) do not expressly prohibit sexual harassment in clubs. However, SA prohibits sexual harassment by a “member of a governing body of an association”, which may extend to clubs.</w:t>
      </w:r>
      <w:r>
        <w:rPr>
          <w:rStyle w:val="FootnoteReference"/>
          <w:lang w:eastAsia="en-US"/>
        </w:rPr>
        <w:footnoteReference w:id="1017"/>
      </w:r>
      <w:r>
        <w:rPr>
          <w:lang w:eastAsia="en-US"/>
        </w:rPr>
        <w:t xml:space="preserve"> </w:t>
      </w:r>
    </w:p>
    <w:p w14:paraId="1F552451" w14:textId="77777777" w:rsidR="00BC7971" w:rsidRDefault="00BC7971" w:rsidP="00BC7971">
      <w:pPr>
        <w:pStyle w:val="NormalAutoChapter"/>
        <w:tabs>
          <w:tab w:val="num" w:pos="3413"/>
        </w:tabs>
      </w:pPr>
      <w:r>
        <w:rPr>
          <w:lang w:eastAsia="en-US"/>
        </w:rPr>
        <w:t>Further, WA may adopt the recommendation of the Law Reform Commission of Western Australia (LRCWA) to extend the prohibition against sexual harassment to all areas of public life that are protected from discrimination. The LRCWA considered that sexual harassment should not be tolerated in any of those areas.</w:t>
      </w:r>
      <w:r>
        <w:rPr>
          <w:rStyle w:val="FootnoteReference"/>
          <w:lang w:eastAsia="en-US"/>
        </w:rPr>
        <w:footnoteReference w:id="1018"/>
      </w:r>
      <w:r>
        <w:rPr>
          <w:lang w:eastAsia="en-US"/>
        </w:rPr>
        <w:t xml:space="preserve"> </w:t>
      </w:r>
    </w:p>
    <w:p w14:paraId="205F04FB" w14:textId="77777777" w:rsidR="00BC7971" w:rsidRDefault="00BC7971" w:rsidP="00BC7971">
      <w:pPr>
        <w:pStyle w:val="Recommendationheading"/>
      </w:pPr>
      <w:bookmarkStart w:id="436" w:name="_Hlk196305371"/>
      <w:r>
        <w:t>Question 9.5: Expanding the areas of life where sexual harassment is prohibited</w:t>
      </w:r>
    </w:p>
    <w:p w14:paraId="784EC495" w14:textId="77777777" w:rsidR="00BC7971" w:rsidRDefault="00BC7971" w:rsidP="00BC7971">
      <w:pPr>
        <w:pStyle w:val="Recommendationhanging1"/>
      </w:pPr>
      <w:r>
        <w:t>(1)</w:t>
      </w:r>
      <w:r>
        <w:tab/>
        <w:t>Should the ADA continue to limit the areas of life where sexual harassment is unlawful? Why or why not?</w:t>
      </w:r>
    </w:p>
    <w:p w14:paraId="00D87933" w14:textId="5010A699" w:rsidR="00BC7971" w:rsidRDefault="00BC7971" w:rsidP="00BC7971">
      <w:pPr>
        <w:pStyle w:val="Recommendationhanging1"/>
      </w:pPr>
      <w:r>
        <w:t>(2)</w:t>
      </w:r>
      <w:r>
        <w:tab/>
      </w:r>
      <w:r w:rsidR="000E2A12">
        <w:t xml:space="preserve">Should </w:t>
      </w:r>
      <w:r>
        <w:t xml:space="preserve">sexual harassment </w:t>
      </w:r>
      <w:r w:rsidR="000E2A12">
        <w:t>be</w:t>
      </w:r>
      <w:r>
        <w:t xml:space="preserve"> unlawful</w:t>
      </w:r>
      <w:r w:rsidR="000E2A12">
        <w:t xml:space="preserve"> in other areas of life? </w:t>
      </w:r>
      <w:r>
        <w:t>For example:</w:t>
      </w:r>
    </w:p>
    <w:p w14:paraId="0BAE50C1" w14:textId="29D4089C" w:rsidR="00BC7971" w:rsidRDefault="00BC7971" w:rsidP="00BC7971">
      <w:pPr>
        <w:pStyle w:val="Recommendationhanginga"/>
      </w:pPr>
      <w:r>
        <w:lastRenderedPageBreak/>
        <w:tab/>
        <w:t xml:space="preserve">(a) </w:t>
      </w:r>
      <w:r>
        <w:tab/>
        <w:t>areas of life that are protected from discrimination</w:t>
      </w:r>
    </w:p>
    <w:p w14:paraId="2213793C" w14:textId="77777777" w:rsidR="00EF3256" w:rsidRDefault="00BC7971" w:rsidP="00BC7971">
      <w:pPr>
        <w:pStyle w:val="Recommendationhanginga"/>
      </w:pPr>
      <w:r>
        <w:tab/>
        <w:t>(b)</w:t>
      </w:r>
      <w:r>
        <w:tab/>
      </w:r>
      <w:r w:rsidR="00C954D1">
        <w:t xml:space="preserve">all </w:t>
      </w:r>
      <w:r>
        <w:t>areas of public life</w:t>
      </w:r>
      <w:r w:rsidR="00EF3256">
        <w:t>, or</w:t>
      </w:r>
    </w:p>
    <w:p w14:paraId="395CAA92" w14:textId="5E927C38" w:rsidR="00BC7971" w:rsidRPr="002A29E1" w:rsidRDefault="00EF3256" w:rsidP="00EF3256">
      <w:pPr>
        <w:pStyle w:val="Recommendationhanginga"/>
      </w:pPr>
      <w:r>
        <w:tab/>
        <w:t xml:space="preserve">(c) </w:t>
      </w:r>
      <w:r w:rsidR="00A74C32">
        <w:tab/>
      </w:r>
      <w:r>
        <w:t>any area of life, public or private?</w:t>
      </w:r>
    </w:p>
    <w:p w14:paraId="330879B2" w14:textId="77777777" w:rsidR="00BC7971" w:rsidRPr="004E26F5" w:rsidRDefault="00BC7971" w:rsidP="00BC7971">
      <w:pPr>
        <w:pStyle w:val="Heading2"/>
      </w:pPr>
      <w:bookmarkStart w:id="437" w:name="_Toc196742038"/>
      <w:bookmarkStart w:id="438" w:name="_Toc196826949"/>
      <w:bookmarkEnd w:id="436"/>
      <w:r>
        <w:t>The private accommodation exception</w:t>
      </w:r>
      <w:bookmarkEnd w:id="437"/>
      <w:bookmarkEnd w:id="438"/>
      <w:r>
        <w:t xml:space="preserve"> </w:t>
      </w:r>
    </w:p>
    <w:p w14:paraId="67316AF1" w14:textId="77777777" w:rsidR="00BC7971" w:rsidRDefault="00BC7971" w:rsidP="00BC7971">
      <w:pPr>
        <w:pStyle w:val="NormalAutoChapter"/>
        <w:tabs>
          <w:tab w:val="num" w:pos="3413"/>
        </w:tabs>
        <w:rPr>
          <w:lang w:eastAsia="en-US"/>
        </w:rPr>
      </w:pPr>
      <w:r>
        <w:rPr>
          <w:lang w:eastAsia="en-US"/>
        </w:rPr>
        <w:t xml:space="preserve">The </w:t>
      </w:r>
      <w:r w:rsidRPr="00C322F1">
        <w:rPr>
          <w:iCs/>
          <w:lang w:eastAsia="en-US"/>
        </w:rPr>
        <w:t>ADA</w:t>
      </w:r>
      <w:r w:rsidRPr="00AC3FFA">
        <w:rPr>
          <w:i/>
          <w:iCs/>
          <w:lang w:eastAsia="en-US"/>
        </w:rPr>
        <w:t xml:space="preserve"> </w:t>
      </w:r>
      <w:r>
        <w:rPr>
          <w:lang w:eastAsia="en-US"/>
        </w:rPr>
        <w:t>prohibits sexually harassing someone while providing, or offering to provide, accommodation to them.</w:t>
      </w:r>
      <w:r>
        <w:rPr>
          <w:rStyle w:val="FootnoteReference"/>
          <w:lang w:eastAsia="en-US"/>
        </w:rPr>
        <w:footnoteReference w:id="1019"/>
      </w:r>
      <w:r>
        <w:rPr>
          <w:lang w:eastAsia="en-US"/>
        </w:rPr>
        <w:t xml:space="preserve"> However, this does not apply to accommodation in a private household.</w:t>
      </w:r>
      <w:r>
        <w:rPr>
          <w:rStyle w:val="FootnoteReference"/>
          <w:lang w:eastAsia="en-US"/>
        </w:rPr>
        <w:footnoteReference w:id="1020"/>
      </w:r>
    </w:p>
    <w:p w14:paraId="6DE0921D" w14:textId="77777777" w:rsidR="00BC7971" w:rsidRDefault="00BC7971" w:rsidP="00BC7971">
      <w:pPr>
        <w:pStyle w:val="NormalAutoChapter"/>
        <w:tabs>
          <w:tab w:val="num" w:pos="3413"/>
        </w:tabs>
        <w:rPr>
          <w:lang w:eastAsia="en-US"/>
        </w:rPr>
      </w:pPr>
      <w:r>
        <w:rPr>
          <w:lang w:eastAsia="en-US"/>
        </w:rPr>
        <w:t xml:space="preserve">Only NSW completely excludes private accommodation from the prohibition on sexual harassment. While the </w:t>
      </w:r>
      <w:r>
        <w:rPr>
          <w:i/>
          <w:iCs/>
          <w:noProof/>
        </w:rPr>
        <w:t>Sex Discrimination Act</w:t>
      </w:r>
      <w:r>
        <w:rPr>
          <w:lang w:eastAsia="en-US"/>
        </w:rPr>
        <w:t xml:space="preserve"> has an exception for private accommodation, it applies only where the private accommodation is being provided by a near relative.</w:t>
      </w:r>
      <w:r>
        <w:rPr>
          <w:rStyle w:val="FootnoteReference"/>
          <w:lang w:eastAsia="en-US"/>
        </w:rPr>
        <w:footnoteReference w:id="1021"/>
      </w:r>
      <w:r>
        <w:rPr>
          <w:lang w:eastAsia="en-US"/>
        </w:rPr>
        <w:t xml:space="preserve"> </w:t>
      </w:r>
    </w:p>
    <w:p w14:paraId="5B525852" w14:textId="77777777" w:rsidR="00BC7971" w:rsidRDefault="00BC7971" w:rsidP="00BC7971">
      <w:pPr>
        <w:pStyle w:val="NormalAutoChapter"/>
        <w:tabs>
          <w:tab w:val="num" w:pos="3413"/>
        </w:tabs>
        <w:rPr>
          <w:lang w:eastAsia="en-US"/>
        </w:rPr>
      </w:pPr>
      <w:r>
        <w:rPr>
          <w:lang w:eastAsia="en-US"/>
        </w:rPr>
        <w:t xml:space="preserve">The ADA’s sexual harassment </w:t>
      </w:r>
      <w:r>
        <w:t xml:space="preserve">exception is broader than the private accommodation exception that applies to discrimination (we discuss this in </w:t>
      </w:r>
      <w:r w:rsidRPr="009642AC">
        <w:t>chapter 6</w:t>
      </w:r>
      <w:r w:rsidRPr="009642AC">
        <w:rPr>
          <w:lang w:eastAsia="en-US"/>
        </w:rPr>
        <w:t>)</w:t>
      </w:r>
      <w:r w:rsidRPr="0003074A">
        <w:rPr>
          <w:lang w:eastAsia="en-US"/>
        </w:rPr>
        <w:t>. The discrimination exception only applies</w:t>
      </w:r>
      <w:r>
        <w:rPr>
          <w:lang w:eastAsia="en-US"/>
        </w:rPr>
        <w:t xml:space="preserve"> where:</w:t>
      </w:r>
    </w:p>
    <w:p w14:paraId="01133050" w14:textId="77777777" w:rsidR="00BC7971" w:rsidRDefault="00BC7971" w:rsidP="00BC7971">
      <w:pPr>
        <w:pStyle w:val="Normalbullet"/>
      </w:pPr>
      <w:r>
        <w:t xml:space="preserve">the person providing the accommodation is a near relative and intends to continue to reside at the premises, and </w:t>
      </w:r>
    </w:p>
    <w:p w14:paraId="58311D77" w14:textId="77777777" w:rsidR="00BC7971" w:rsidRDefault="00BC7971" w:rsidP="00BC7971">
      <w:pPr>
        <w:pStyle w:val="Normalbullet"/>
      </w:pPr>
      <w:r>
        <w:t>the accommodation provided is for no more than 6 people.</w:t>
      </w:r>
      <w:r>
        <w:rPr>
          <w:rStyle w:val="FootnoteReference"/>
        </w:rPr>
        <w:footnoteReference w:id="1022"/>
      </w:r>
    </w:p>
    <w:p w14:paraId="6F44451B" w14:textId="77777777" w:rsidR="00BC7971" w:rsidRDefault="00BC7971" w:rsidP="00BC7971">
      <w:pPr>
        <w:pStyle w:val="NormalAutoChapter"/>
        <w:tabs>
          <w:tab w:val="num" w:pos="3413"/>
        </w:tabs>
        <w:rPr>
          <w:lang w:eastAsia="en-US"/>
        </w:rPr>
      </w:pPr>
      <w:r>
        <w:rPr>
          <w:lang w:eastAsia="en-US"/>
        </w:rPr>
        <w:t>In 1999 the NSW Law Reform Commission recommended repealing the private accommodation exception for sexual harassment.</w:t>
      </w:r>
      <w:r>
        <w:rPr>
          <w:rStyle w:val="FootnoteReference"/>
          <w:lang w:eastAsia="en-US"/>
        </w:rPr>
        <w:footnoteReference w:id="1023"/>
      </w:r>
      <w:r>
        <w:rPr>
          <w:rStyle w:val="CommentReference"/>
          <w:rFonts w:ascii="Public Sans Light" w:hAnsi="Public Sans Light" w:cs="Times New Roman"/>
          <w:color w:val="auto"/>
          <w:lang w:eastAsia="en-US"/>
        </w:rPr>
        <w:t xml:space="preserve"> </w:t>
      </w:r>
    </w:p>
    <w:p w14:paraId="291C112D" w14:textId="77777777" w:rsidR="00BC7971" w:rsidRDefault="00BC7971" w:rsidP="00BC7971">
      <w:pPr>
        <w:pStyle w:val="NormalAutoChapter"/>
        <w:tabs>
          <w:tab w:val="num" w:pos="3413"/>
        </w:tabs>
        <w:rPr>
          <w:lang w:eastAsia="en-US"/>
        </w:rPr>
      </w:pPr>
      <w:r>
        <w:rPr>
          <w:lang w:eastAsia="en-US"/>
        </w:rPr>
        <w:t xml:space="preserve">We discuss other exceptions that apply across the </w:t>
      </w:r>
      <w:r w:rsidRPr="00C322F1">
        <w:rPr>
          <w:iCs/>
          <w:lang w:eastAsia="en-US"/>
        </w:rPr>
        <w:t>ADA</w:t>
      </w:r>
      <w:r>
        <w:rPr>
          <w:lang w:eastAsia="en-US"/>
        </w:rPr>
        <w:t xml:space="preserve">, including to the sexual harassment protections, in </w:t>
      </w:r>
      <w:r w:rsidRPr="00004B3E">
        <w:rPr>
          <w:lang w:eastAsia="en-US"/>
        </w:rPr>
        <w:t xml:space="preserve">chapter </w:t>
      </w:r>
      <w:r w:rsidRPr="009642AC">
        <w:rPr>
          <w:lang w:eastAsia="en-US"/>
        </w:rPr>
        <w:t>7.</w:t>
      </w:r>
    </w:p>
    <w:p w14:paraId="34CBA245" w14:textId="77777777" w:rsidR="00BC7971" w:rsidRDefault="00BC7971" w:rsidP="00BC7971">
      <w:pPr>
        <w:pStyle w:val="Recommendationheading"/>
      </w:pPr>
      <w:bookmarkStart w:id="439" w:name="_Hlk196305382"/>
      <w:r>
        <w:t>Question 9.6: The private accommodation exception</w:t>
      </w:r>
    </w:p>
    <w:p w14:paraId="031D1061" w14:textId="77777777" w:rsidR="00BC7971" w:rsidRDefault="00BC7971" w:rsidP="00BC7971">
      <w:pPr>
        <w:pStyle w:val="Recommendationnormal"/>
      </w:pPr>
      <w:r>
        <w:t>Should sexual harassment be prohibited in private accommodation? Why or why not? If an exception for private accommodation is required, how wide should it be?</w:t>
      </w:r>
    </w:p>
    <w:p w14:paraId="0D0A0E84" w14:textId="77777777" w:rsidR="00BC7971" w:rsidRDefault="00BC7971" w:rsidP="00BC7971">
      <w:pPr>
        <w:pStyle w:val="Heading1"/>
      </w:pPr>
      <w:bookmarkStart w:id="440" w:name="_Toc196742039"/>
      <w:bookmarkStart w:id="441" w:name="_Toc196826950"/>
      <w:bookmarkEnd w:id="439"/>
      <w:r>
        <w:lastRenderedPageBreak/>
        <w:t>Harassment based on protected attributes</w:t>
      </w:r>
      <w:bookmarkEnd w:id="440"/>
      <w:bookmarkEnd w:id="441"/>
    </w:p>
    <w:p w14:paraId="55DB970D" w14:textId="77777777" w:rsidR="00BC7971" w:rsidRDefault="00BC7971" w:rsidP="00BC7971">
      <w:pPr>
        <w:pStyle w:val="NormalAutoChapter"/>
        <w:tabs>
          <w:tab w:val="num" w:pos="3413"/>
        </w:tabs>
        <w:rPr>
          <w:lang w:eastAsia="en-US"/>
        </w:rPr>
      </w:pPr>
      <w:r>
        <w:rPr>
          <w:lang w:eastAsia="en-US"/>
        </w:rPr>
        <w:t xml:space="preserve">Harassing a person based on a protected attribute is not currently prohibited under the </w:t>
      </w:r>
      <w:r w:rsidRPr="001C3B93">
        <w:rPr>
          <w:iCs/>
          <w:lang w:eastAsia="en-US"/>
        </w:rPr>
        <w:t>ADA</w:t>
      </w:r>
      <w:r>
        <w:rPr>
          <w:lang w:eastAsia="en-US"/>
        </w:rPr>
        <w:t>. However, attribute-based harassment is prohibited elsewhere, including in Tasmania, the NT, WA and in some federal discrimination laws.</w:t>
      </w:r>
      <w:r>
        <w:rPr>
          <w:rStyle w:val="FootnoteReference"/>
          <w:lang w:eastAsia="en-US"/>
        </w:rPr>
        <w:footnoteReference w:id="1024"/>
      </w:r>
      <w:r>
        <w:rPr>
          <w:lang w:eastAsia="en-US"/>
        </w:rPr>
        <w:t xml:space="preserve"> </w:t>
      </w:r>
    </w:p>
    <w:p w14:paraId="643EA7ED" w14:textId="77777777" w:rsidR="00BC7971" w:rsidRDefault="00BC7971" w:rsidP="00BC7971">
      <w:pPr>
        <w:pStyle w:val="Heading2"/>
      </w:pPr>
      <w:bookmarkStart w:id="442" w:name="_Toc196742040"/>
      <w:bookmarkStart w:id="443" w:name="_Toc196826951"/>
      <w:r>
        <w:t>Arguments for and against new prohibitions</w:t>
      </w:r>
      <w:bookmarkEnd w:id="442"/>
      <w:bookmarkEnd w:id="443"/>
    </w:p>
    <w:p w14:paraId="52BD1453" w14:textId="77777777" w:rsidR="00BC7971" w:rsidRPr="00D247A6" w:rsidRDefault="00BC7971" w:rsidP="00BC7971">
      <w:pPr>
        <w:pStyle w:val="NormalAutoChapter"/>
        <w:tabs>
          <w:tab w:val="num" w:pos="3413"/>
        </w:tabs>
        <w:rPr>
          <w:color w:val="auto"/>
          <w:lang w:eastAsia="en-US"/>
        </w:rPr>
      </w:pPr>
      <w:r>
        <w:rPr>
          <w:color w:val="auto"/>
        </w:rPr>
        <w:t>Arguably, a</w:t>
      </w:r>
      <w:r w:rsidRPr="00D247A6">
        <w:rPr>
          <w:color w:val="auto"/>
          <w:lang w:eastAsia="en-US"/>
        </w:rPr>
        <w:t xml:space="preserve">ttribute-based harassment may already be prohibited by other means. </w:t>
      </w:r>
      <w:r>
        <w:rPr>
          <w:color w:val="auto"/>
          <w:lang w:eastAsia="en-US"/>
        </w:rPr>
        <w:t>There are instances where</w:t>
      </w:r>
      <w:r w:rsidRPr="00D247A6">
        <w:rPr>
          <w:color w:val="auto"/>
          <w:lang w:eastAsia="en-US"/>
        </w:rPr>
        <w:t xml:space="preserve"> this conduct may be considered:</w:t>
      </w:r>
    </w:p>
    <w:p w14:paraId="3AC19D34" w14:textId="77777777" w:rsidR="00BC7971" w:rsidRDefault="00BC7971" w:rsidP="00BC7971">
      <w:pPr>
        <w:pStyle w:val="Normalbullet"/>
      </w:pPr>
      <w:r w:rsidRPr="001118D2">
        <w:t>unlawful discrimination</w:t>
      </w:r>
      <w:r>
        <w:t xml:space="preserve"> (if for example, a person was treated less favourably based on a protected attribute)</w:t>
      </w:r>
      <w:r w:rsidRPr="001118D2">
        <w:rPr>
          <w:rStyle w:val="FootnoteReference"/>
        </w:rPr>
        <w:footnoteReference w:id="1025"/>
      </w:r>
      <w:r w:rsidRPr="001118D2">
        <w:t xml:space="preserve"> </w:t>
      </w:r>
    </w:p>
    <w:p w14:paraId="30B8A0B2" w14:textId="77777777" w:rsidR="00BC7971" w:rsidRDefault="00BC7971" w:rsidP="00BC7971">
      <w:pPr>
        <w:pStyle w:val="Normalbullet"/>
      </w:pPr>
      <w:r w:rsidRPr="00D247A6">
        <w:t>vilification</w:t>
      </w:r>
      <w:r>
        <w:t xml:space="preserve"> (if the conduct incited hatred or violence of people with that protected attribute)</w:t>
      </w:r>
      <w:r>
        <w:rPr>
          <w:rStyle w:val="FootnoteReference"/>
        </w:rPr>
        <w:footnoteReference w:id="1026"/>
      </w:r>
      <w:r>
        <w:t xml:space="preserve"> </w:t>
      </w:r>
    </w:p>
    <w:p w14:paraId="35F9871C" w14:textId="77777777" w:rsidR="00BC7971" w:rsidRDefault="00BC7971" w:rsidP="00BC7971">
      <w:pPr>
        <w:pStyle w:val="Normalbullet"/>
      </w:pPr>
      <w:r>
        <w:t>intimidation (including for example, if the conduct caused the person to fear for their safety),</w:t>
      </w:r>
      <w:r>
        <w:rPr>
          <w:rStyle w:val="FootnoteReference"/>
          <w:noProof/>
        </w:rPr>
        <w:footnoteReference w:id="1027"/>
      </w:r>
      <w:r>
        <w:rPr>
          <w:noProof/>
        </w:rPr>
        <w:t xml:space="preserve"> or</w:t>
      </w:r>
    </w:p>
    <w:p w14:paraId="40C10AB9" w14:textId="77777777" w:rsidR="00BC7971" w:rsidRDefault="00BC7971" w:rsidP="00BC7971">
      <w:pPr>
        <w:pStyle w:val="Normalbullet"/>
      </w:pPr>
      <w:r>
        <w:t>workplace bullying (if the conduct created a risk to health and safety).</w:t>
      </w:r>
      <w:r>
        <w:rPr>
          <w:rStyle w:val="FootnoteReference"/>
        </w:rPr>
        <w:footnoteReference w:id="1028"/>
      </w:r>
    </w:p>
    <w:p w14:paraId="48C534F9" w14:textId="77777777" w:rsidR="00BC7971" w:rsidRDefault="00BC7971" w:rsidP="00BC7971">
      <w:pPr>
        <w:pStyle w:val="NormalAutoChapter"/>
        <w:tabs>
          <w:tab w:val="num" w:pos="3413"/>
        </w:tabs>
        <w:rPr>
          <w:lang w:eastAsia="en-US"/>
        </w:rPr>
      </w:pPr>
      <w:r>
        <w:rPr>
          <w:lang w:eastAsia="en-US"/>
        </w:rPr>
        <w:t xml:space="preserve">However, an attribute-based approach to harassment may make it </w:t>
      </w:r>
      <w:r>
        <w:t>easier for people who are subjected to offensive, intimidating and humiliating treatment, based on their attributes, to make a complaint. Currently, they would need to make a discrimination or vilification complaint. But not all attribute-based harassment meets the threshold of discrimination or vilification.</w:t>
      </w:r>
    </w:p>
    <w:p w14:paraId="508DFF29" w14:textId="77777777" w:rsidR="00BC7971" w:rsidRDefault="00BC7971" w:rsidP="00BC7971">
      <w:pPr>
        <w:pStyle w:val="NormalAutoChapter"/>
        <w:tabs>
          <w:tab w:val="num" w:pos="3413"/>
        </w:tabs>
        <w:rPr>
          <w:lang w:eastAsia="en-US"/>
        </w:rPr>
      </w:pPr>
      <w:r>
        <w:rPr>
          <w:lang w:eastAsia="en-US"/>
        </w:rPr>
        <w:t>Expressly prohibiting attribute-based harassment may better reflect the reality of people’s experiences of harassment.</w:t>
      </w:r>
      <w:r>
        <w:rPr>
          <w:rStyle w:val="FootnoteReference"/>
          <w:lang w:eastAsia="en-US"/>
        </w:rPr>
        <w:footnoteReference w:id="1029"/>
      </w:r>
      <w:r>
        <w:rPr>
          <w:lang w:eastAsia="en-US"/>
        </w:rPr>
        <w:t xml:space="preserve"> For example, a person of colour may experience sexual and racial harassment in the same conduct. Currently, they would need to pursue a sexual harassment claim and a separate race discrimination claim. They may decide it is easier to only pursue one claim or to not make a complaint. If the ADA prohibited attribute-based harassment, they may only need to satisfy one test. </w:t>
      </w:r>
    </w:p>
    <w:p w14:paraId="7282A567" w14:textId="77777777" w:rsidR="00BC7971" w:rsidRDefault="00BC7971" w:rsidP="00BC7971">
      <w:pPr>
        <w:pStyle w:val="Heading2"/>
      </w:pPr>
      <w:bookmarkStart w:id="445" w:name="_Toc196742041"/>
      <w:bookmarkStart w:id="446" w:name="_Toc196826952"/>
      <w:r>
        <w:lastRenderedPageBreak/>
        <w:t>Conduct that could be considered attribute-based harassment</w:t>
      </w:r>
      <w:bookmarkEnd w:id="445"/>
      <w:bookmarkEnd w:id="446"/>
    </w:p>
    <w:p w14:paraId="191054A2" w14:textId="77777777" w:rsidR="00BC7971" w:rsidRDefault="00BC7971" w:rsidP="00BC7971">
      <w:pPr>
        <w:pStyle w:val="NormalAutoChapter"/>
        <w:tabs>
          <w:tab w:val="num" w:pos="3413"/>
        </w:tabs>
        <w:rPr>
          <w:lang w:eastAsia="en-US"/>
        </w:rPr>
      </w:pPr>
      <w:r>
        <w:rPr>
          <w:lang w:eastAsia="en-US"/>
        </w:rPr>
        <w:t>The type of conduct covered in various states, territories and federally differs. Tasmania has the broadest model, covering conduct that offends, humiliates, intimidates, insults or ridicules a person. This applies to both sexual harassment and attribute-based harassment. The only difference between attribute-based harassment and sexual harassment in Tasmania is that sexual harassment must be sexual in nature.</w:t>
      </w:r>
      <w:r>
        <w:rPr>
          <w:rStyle w:val="FootnoteReference"/>
          <w:lang w:eastAsia="en-US"/>
        </w:rPr>
        <w:footnoteReference w:id="1030"/>
      </w:r>
      <w:r>
        <w:rPr>
          <w:lang w:eastAsia="en-US"/>
        </w:rPr>
        <w:t xml:space="preserve"> </w:t>
      </w:r>
    </w:p>
    <w:p w14:paraId="228B9A34" w14:textId="77777777" w:rsidR="00BC7971" w:rsidRDefault="00BC7971" w:rsidP="00BC7971">
      <w:pPr>
        <w:pStyle w:val="NormalAutoChapter"/>
        <w:tabs>
          <w:tab w:val="num" w:pos="3413"/>
        </w:tabs>
        <w:rPr>
          <w:lang w:eastAsia="en-US"/>
        </w:rPr>
      </w:pPr>
      <w:r>
        <w:rPr>
          <w:lang w:eastAsia="en-US"/>
        </w:rPr>
        <w:t xml:space="preserve">Part of the Tasmanian test is that </w:t>
      </w:r>
      <w:r>
        <w:t>a reasonable person would have anticipated that the complainant would be offended, humiliated, intimidated, insulted or ridiculed.</w:t>
      </w:r>
      <w:r>
        <w:rPr>
          <w:rStyle w:val="FootnoteReference"/>
        </w:rPr>
        <w:footnoteReference w:id="1031"/>
      </w:r>
    </w:p>
    <w:p w14:paraId="60A77E14" w14:textId="77777777" w:rsidR="00BC7971" w:rsidRDefault="00BC7971" w:rsidP="00BC7971">
      <w:pPr>
        <w:pStyle w:val="NormalAutoChapter"/>
        <w:tabs>
          <w:tab w:val="num" w:pos="3413"/>
        </w:tabs>
        <w:rPr>
          <w:lang w:eastAsia="en-US"/>
        </w:rPr>
      </w:pPr>
      <w:r>
        <w:rPr>
          <w:lang w:eastAsia="en-US"/>
        </w:rPr>
        <w:t>Other places cover a narrower range of conduct. WA limits attribute-based harassment to threats, abuse, insults or taunts.</w:t>
      </w:r>
      <w:r>
        <w:rPr>
          <w:rStyle w:val="FootnoteReference"/>
          <w:lang w:eastAsia="en-US"/>
        </w:rPr>
        <w:footnoteReference w:id="1032"/>
      </w:r>
      <w:r>
        <w:rPr>
          <w:lang w:eastAsia="en-US"/>
        </w:rPr>
        <w:t xml:space="preserve"> Also, WA and the NT treat attribute-based harassment as a form of discrimination. This means complainants must establish that they were disadvantaged or treated less favourably because of the harassment.</w:t>
      </w:r>
      <w:r>
        <w:rPr>
          <w:rStyle w:val="FootnoteReference"/>
          <w:lang w:eastAsia="en-US"/>
        </w:rPr>
        <w:footnoteReference w:id="1033"/>
      </w:r>
      <w:r>
        <w:rPr>
          <w:lang w:eastAsia="en-US"/>
        </w:rPr>
        <w:t xml:space="preserve"> This is a higher standard than the objective “reasonable person” standard used in Tasmania and for sexual harassment in the </w:t>
      </w:r>
      <w:r w:rsidRPr="00C322F1">
        <w:rPr>
          <w:iCs/>
          <w:lang w:eastAsia="en-US"/>
        </w:rPr>
        <w:t>ADA</w:t>
      </w:r>
      <w:r>
        <w:rPr>
          <w:lang w:eastAsia="en-US"/>
        </w:rPr>
        <w:t xml:space="preserve">. </w:t>
      </w:r>
    </w:p>
    <w:p w14:paraId="149CA028" w14:textId="77777777" w:rsidR="00BC7971" w:rsidRDefault="00BC7971" w:rsidP="00BC7971">
      <w:pPr>
        <w:pStyle w:val="NormalAutoChapter"/>
        <w:tabs>
          <w:tab w:val="num" w:pos="3413"/>
        </w:tabs>
        <w:rPr>
          <w:lang w:eastAsia="en-US"/>
        </w:rPr>
      </w:pPr>
      <w:r>
        <w:t>The LRCWA recommended removing the requirement to establish disadvantage. It recommended adopting an objective standard.</w:t>
      </w:r>
      <w:r>
        <w:rPr>
          <w:rStyle w:val="FootnoteReference"/>
        </w:rPr>
        <w:footnoteReference w:id="1034"/>
      </w:r>
      <w:r>
        <w:t xml:space="preserve"> It considered this would make it clearer that harassment is unacceptable.</w:t>
      </w:r>
      <w:r>
        <w:rPr>
          <w:rStyle w:val="FootnoteReference"/>
        </w:rPr>
        <w:footnoteReference w:id="1035"/>
      </w:r>
    </w:p>
    <w:p w14:paraId="57B8DEAB" w14:textId="77777777" w:rsidR="00BC7971" w:rsidRDefault="00BC7971" w:rsidP="00BC7971">
      <w:pPr>
        <w:pStyle w:val="NormalAutoChapter"/>
        <w:tabs>
          <w:tab w:val="num" w:pos="3413"/>
        </w:tabs>
        <w:rPr>
          <w:lang w:eastAsia="en-US"/>
        </w:rPr>
      </w:pPr>
      <w:r>
        <w:rPr>
          <w:lang w:eastAsia="en-US"/>
        </w:rPr>
        <w:t xml:space="preserve">The </w:t>
      </w:r>
      <w:r w:rsidRPr="00A07D20">
        <w:rPr>
          <w:i/>
          <w:iCs/>
          <w:lang w:eastAsia="en-US"/>
        </w:rPr>
        <w:t>Disability Discrimination Act</w:t>
      </w:r>
      <w:r>
        <w:rPr>
          <w:lang w:eastAsia="en-US"/>
        </w:rPr>
        <w:t xml:space="preserve"> does not define harassment. It has been interpreted narrowly by the courts, requiring repetitive and serious conduct.</w:t>
      </w:r>
      <w:r>
        <w:rPr>
          <w:rStyle w:val="FootnoteReference"/>
          <w:lang w:eastAsia="en-US"/>
        </w:rPr>
        <w:footnoteReference w:id="1036"/>
      </w:r>
      <w:r>
        <w:rPr>
          <w:lang w:eastAsia="en-US"/>
        </w:rPr>
        <w:t xml:space="preserve"> The</w:t>
      </w:r>
      <w:r w:rsidRPr="002D12CA">
        <w:rPr>
          <w:lang w:eastAsia="en-US"/>
        </w:rPr>
        <w:t xml:space="preserve"> </w:t>
      </w:r>
      <w:r>
        <w:rPr>
          <w:lang w:eastAsia="en-US"/>
        </w:rPr>
        <w:t xml:space="preserve">Royal Commission into Violence, Abuse, Neglect and Exploitation of People with Disability (Disability Royal Commission) found that the </w:t>
      </w:r>
      <w:r w:rsidRPr="00A07D20">
        <w:rPr>
          <w:i/>
          <w:iCs/>
          <w:lang w:eastAsia="en-US"/>
        </w:rPr>
        <w:t>Disability Discrimination Act</w:t>
      </w:r>
      <w:r>
        <w:rPr>
          <w:lang w:eastAsia="en-US"/>
        </w:rPr>
        <w:t xml:space="preserve"> has been ineffective in preventing harassment, with no </w:t>
      </w:r>
      <w:r>
        <w:t>successful claims since 2000.</w:t>
      </w:r>
      <w:r>
        <w:rPr>
          <w:rStyle w:val="FootnoteReference"/>
          <w:lang w:eastAsia="en-US"/>
        </w:rPr>
        <w:footnoteReference w:id="1037"/>
      </w:r>
      <w:r>
        <w:rPr>
          <w:lang w:eastAsia="en-US"/>
        </w:rPr>
        <w:t xml:space="preserve">  </w:t>
      </w:r>
    </w:p>
    <w:p w14:paraId="6A43328A" w14:textId="77777777" w:rsidR="00BC7971" w:rsidRDefault="00BC7971" w:rsidP="00BC7971">
      <w:pPr>
        <w:pStyle w:val="NormalAutoChapter"/>
        <w:tabs>
          <w:tab w:val="num" w:pos="3413"/>
        </w:tabs>
      </w:pPr>
      <w:r>
        <w:lastRenderedPageBreak/>
        <w:t xml:space="preserve">The </w:t>
      </w:r>
      <w:r w:rsidRPr="00A07D20">
        <w:rPr>
          <w:i/>
          <w:iCs/>
        </w:rPr>
        <w:t>Sex Discrimination Act</w:t>
      </w:r>
      <w:r>
        <w:t xml:space="preserve"> requires the conduct to be “demeaning”. As discussed earlier in the chapter, this has been criticised as unnecessary.</w:t>
      </w:r>
      <w:r>
        <w:rPr>
          <w:rStyle w:val="FootnoteReference"/>
          <w:lang w:eastAsia="en-US"/>
        </w:rPr>
        <w:footnoteReference w:id="1038"/>
      </w:r>
      <w:r>
        <w:t xml:space="preserve"> The </w:t>
      </w:r>
      <w:r w:rsidRPr="00A07D20">
        <w:rPr>
          <w:i/>
          <w:iCs/>
        </w:rPr>
        <w:t>Sex Discrimination Act</w:t>
      </w:r>
      <w:r>
        <w:t xml:space="preserve"> is the only discrimination law that lists factors to be considered for attribute-based harassment. These include:</w:t>
      </w:r>
    </w:p>
    <w:p w14:paraId="2EF6D1F8" w14:textId="77777777" w:rsidR="00BC7971" w:rsidRDefault="00BC7971" w:rsidP="00BC7971">
      <w:pPr>
        <w:pStyle w:val="Normalbullet"/>
      </w:pPr>
      <w:r>
        <w:t>the attributes of the complainant</w:t>
      </w:r>
    </w:p>
    <w:p w14:paraId="4DE1D7E8" w14:textId="77777777" w:rsidR="00BC7971" w:rsidRDefault="00BC7971" w:rsidP="00BC7971">
      <w:pPr>
        <w:pStyle w:val="Normalbullet"/>
      </w:pPr>
      <w:r>
        <w:t>any power imbalance in the relationship between the parties</w:t>
      </w:r>
    </w:p>
    <w:p w14:paraId="6C24BDB0" w14:textId="77777777" w:rsidR="00BC7971" w:rsidRDefault="00BC7971" w:rsidP="00BC7971">
      <w:pPr>
        <w:pStyle w:val="Normalbullet"/>
      </w:pPr>
      <w:r>
        <w:t>the seriousness of the conduct, and</w:t>
      </w:r>
    </w:p>
    <w:p w14:paraId="588E040B" w14:textId="77777777" w:rsidR="00BC7971" w:rsidRDefault="00BC7971" w:rsidP="00BC7971">
      <w:pPr>
        <w:pStyle w:val="Normalbullet"/>
      </w:pPr>
      <w:r>
        <w:t>whether the conduct was repeated.</w:t>
      </w:r>
      <w:r>
        <w:rPr>
          <w:rStyle w:val="FootnoteReference"/>
        </w:rPr>
        <w:footnoteReference w:id="1039"/>
      </w:r>
    </w:p>
    <w:p w14:paraId="5B3E049E" w14:textId="77777777" w:rsidR="00BC7971" w:rsidRDefault="00BC7971" w:rsidP="00BC7971">
      <w:pPr>
        <w:pStyle w:val="Heading2"/>
      </w:pPr>
      <w:bookmarkStart w:id="447" w:name="_Toc196742042"/>
      <w:bookmarkStart w:id="448" w:name="_Toc196826953"/>
      <w:r>
        <w:t>Harassment on the ground of other attributes and areas of life</w:t>
      </w:r>
      <w:bookmarkEnd w:id="447"/>
      <w:bookmarkEnd w:id="448"/>
      <w:r>
        <w:t xml:space="preserve"> </w:t>
      </w:r>
    </w:p>
    <w:p w14:paraId="75440D71" w14:textId="77777777" w:rsidR="00BC7971" w:rsidRDefault="00BC7971" w:rsidP="00BC7971">
      <w:pPr>
        <w:pStyle w:val="NormalAutoChapter"/>
        <w:tabs>
          <w:tab w:val="num" w:pos="3413"/>
        </w:tabs>
        <w:rPr>
          <w:lang w:eastAsia="en-US"/>
        </w:rPr>
      </w:pPr>
      <w:r>
        <w:rPr>
          <w:lang w:eastAsia="en-US"/>
        </w:rPr>
        <w:t xml:space="preserve">Australian discrimination laws take different approaches to which attributes are protected from harassment and in which areas of life. Some align the attributes and areas with discrimination, while others are more limited. </w:t>
      </w:r>
    </w:p>
    <w:p w14:paraId="4EC4A568" w14:textId="77777777" w:rsidR="00BC7971" w:rsidRDefault="00BC7971" w:rsidP="00BC7971">
      <w:pPr>
        <w:pStyle w:val="NormalAutoChapter"/>
        <w:tabs>
          <w:tab w:val="num" w:pos="3413"/>
        </w:tabs>
        <w:rPr>
          <w:lang w:eastAsia="en-US"/>
        </w:rPr>
      </w:pPr>
      <w:r>
        <w:rPr>
          <w:lang w:eastAsia="en-US"/>
        </w:rPr>
        <w:t>One approach is to protect the same attributes and the same areas of life from both discrimination and harassment. Only the NT takes this approach.</w:t>
      </w:r>
      <w:r>
        <w:rPr>
          <w:rStyle w:val="FootnoteReference"/>
          <w:lang w:eastAsia="en-US"/>
        </w:rPr>
        <w:footnoteReference w:id="1040"/>
      </w:r>
      <w:r>
        <w:rPr>
          <w:lang w:eastAsia="en-US"/>
        </w:rPr>
        <w:t xml:space="preserve"> Tasmania and </w:t>
      </w:r>
      <w:r>
        <w:t xml:space="preserve">the federal </w:t>
      </w:r>
      <w:r w:rsidRPr="00DE1C10">
        <w:rPr>
          <w:i/>
          <w:iCs/>
        </w:rPr>
        <w:t>Sex Discrimination Act</w:t>
      </w:r>
      <w:r>
        <w:t xml:space="preserve"> protect the same areas of life (but not attributes) from both harassment and discrimination. </w:t>
      </w:r>
    </w:p>
    <w:p w14:paraId="690A5C46" w14:textId="77777777" w:rsidR="00BC7971" w:rsidRDefault="00BC7971" w:rsidP="00BC7971">
      <w:pPr>
        <w:pStyle w:val="NormalAutoChapter"/>
        <w:tabs>
          <w:tab w:val="num" w:pos="3413"/>
        </w:tabs>
        <w:rPr>
          <w:lang w:eastAsia="en-US"/>
        </w:rPr>
      </w:pPr>
      <w:r>
        <w:t xml:space="preserve">A benefit of aligning the areas and attributes may be that it could be easier to understand when harassment and discrimination were unlawful, and it could promote consistency across the </w:t>
      </w:r>
      <w:r w:rsidRPr="00C322F1">
        <w:rPr>
          <w:iCs/>
        </w:rPr>
        <w:t>ADA</w:t>
      </w:r>
      <w:r>
        <w:t>.</w:t>
      </w:r>
    </w:p>
    <w:p w14:paraId="4D82CCEF" w14:textId="77777777" w:rsidR="00BC7971" w:rsidRDefault="00BC7971" w:rsidP="00BC7971">
      <w:pPr>
        <w:pStyle w:val="NormalAutoChapter"/>
        <w:tabs>
          <w:tab w:val="num" w:pos="3413"/>
        </w:tabs>
      </w:pPr>
      <w:r>
        <w:t xml:space="preserve">However, some discrimination laws only protect selected attributes from harassment. The extent of the protection varies: </w:t>
      </w:r>
    </w:p>
    <w:p w14:paraId="2DFCCF0E" w14:textId="77777777" w:rsidR="00BC7971" w:rsidRDefault="00BC7971" w:rsidP="00BC7971">
      <w:pPr>
        <w:pStyle w:val="Normalbullet"/>
      </w:pPr>
      <w:r>
        <w:t>In Tasmania, most attributes protected from discrimination are also protected from harassment. The exceptions are industrial activity, political and religious beliefs and activities, irrelevant criminal and medical records, and associations with people who have these or other protected attributes.</w:t>
      </w:r>
      <w:r>
        <w:rPr>
          <w:rStyle w:val="FootnoteReference"/>
        </w:rPr>
        <w:footnoteReference w:id="1041"/>
      </w:r>
    </w:p>
    <w:p w14:paraId="56A02AF2" w14:textId="77777777" w:rsidR="00BC7971" w:rsidRDefault="00BC7971" w:rsidP="00BC7971">
      <w:pPr>
        <w:pStyle w:val="Normalbullet"/>
      </w:pPr>
      <w:r>
        <w:t>Federal discrimination law protects two attributes from harassment: sex and disability.</w:t>
      </w:r>
      <w:r>
        <w:rPr>
          <w:rStyle w:val="FootnoteReference"/>
        </w:rPr>
        <w:footnoteReference w:id="1042"/>
      </w:r>
      <w:r>
        <w:t xml:space="preserve">  </w:t>
      </w:r>
    </w:p>
    <w:p w14:paraId="599C5E1A" w14:textId="77777777" w:rsidR="00BC7971" w:rsidRDefault="00BC7971" w:rsidP="00BC7971">
      <w:pPr>
        <w:pStyle w:val="Normalbullet"/>
      </w:pPr>
      <w:r>
        <w:t>By contrast, WA only protects against harassment based on race.</w:t>
      </w:r>
      <w:r>
        <w:rPr>
          <w:rStyle w:val="FootnoteReference"/>
          <w:szCs w:val="16"/>
        </w:rPr>
        <w:footnoteReference w:id="1043"/>
      </w:r>
    </w:p>
    <w:p w14:paraId="5ED303A1" w14:textId="77777777" w:rsidR="00BC7971" w:rsidRDefault="00BC7971" w:rsidP="00BC7971">
      <w:pPr>
        <w:pStyle w:val="NormalAutoChapter"/>
        <w:tabs>
          <w:tab w:val="num" w:pos="3413"/>
        </w:tabs>
        <w:rPr>
          <w:lang w:eastAsia="en-US"/>
        </w:rPr>
      </w:pPr>
      <w:r>
        <w:rPr>
          <w:lang w:eastAsia="en-US"/>
        </w:rPr>
        <w:lastRenderedPageBreak/>
        <w:t>A</w:t>
      </w:r>
      <w:r>
        <w:t xml:space="preserve"> concern with prohibiting harassment based on some attributes and not others is that it may suggest that harassing behaviour is sometimes acceptable.</w:t>
      </w:r>
      <w:r>
        <w:rPr>
          <w:rStyle w:val="FootnoteReference"/>
        </w:rPr>
        <w:footnoteReference w:id="1044"/>
      </w:r>
    </w:p>
    <w:p w14:paraId="603F1ED0" w14:textId="77777777" w:rsidR="00BC7971" w:rsidRDefault="00BC7971" w:rsidP="00BC7971">
      <w:pPr>
        <w:pStyle w:val="NormalAutoChapter"/>
        <w:tabs>
          <w:tab w:val="num" w:pos="3413"/>
        </w:tabs>
      </w:pPr>
      <w:r>
        <w:rPr>
          <w:lang w:eastAsia="en-US"/>
        </w:rPr>
        <w:t xml:space="preserve">Some discrimination laws only protect against harassment in limited areas of life. </w:t>
      </w:r>
      <w:r>
        <w:t xml:space="preserve">WA and the </w:t>
      </w:r>
      <w:r w:rsidRPr="00551251">
        <w:rPr>
          <w:i/>
          <w:iCs/>
        </w:rPr>
        <w:t>Disability Discrimination Act</w:t>
      </w:r>
      <w:r>
        <w:t xml:space="preserve"> only prohibit harassment in three areas of life. This approach has been criticised. For example, the LRCWA considered that racial harassment should not be tolerated in any area of </w:t>
      </w:r>
      <w:proofErr w:type="gramStart"/>
      <w:r>
        <w:t>life, and</w:t>
      </w:r>
      <w:proofErr w:type="gramEnd"/>
      <w:r>
        <w:t xml:space="preserve"> recommended extending the prohibition to all areas of public life protected by its Act.</w:t>
      </w:r>
      <w:r>
        <w:rPr>
          <w:rStyle w:val="FootnoteReference"/>
        </w:rPr>
        <w:footnoteReference w:id="1045"/>
      </w:r>
      <w:r>
        <w:t xml:space="preserve"> Similarly, the Disability Royal Commission considered that the limited scope of the disability harassment provision is one reason why it has been ineffective.</w:t>
      </w:r>
      <w:r>
        <w:rPr>
          <w:rStyle w:val="FootnoteReference"/>
        </w:rPr>
        <w:footnoteReference w:id="1046"/>
      </w:r>
      <w:r>
        <w:t xml:space="preserve"> </w:t>
      </w:r>
    </w:p>
    <w:p w14:paraId="708DFDE8" w14:textId="77777777" w:rsidR="00BC7971" w:rsidRDefault="00BC7971" w:rsidP="00BC7971">
      <w:pPr>
        <w:pStyle w:val="Recommendationheading"/>
      </w:pPr>
      <w:r>
        <w:t xml:space="preserve">Question 9.7: Attribute-based harassment </w:t>
      </w:r>
    </w:p>
    <w:p w14:paraId="1252A026" w14:textId="77777777" w:rsidR="00BC7971" w:rsidRDefault="00BC7971" w:rsidP="00BC7971">
      <w:pPr>
        <w:pStyle w:val="Recommendationnormal"/>
      </w:pPr>
      <w:r>
        <w:t xml:space="preserve">If the ADA was to prohibit attribute-based harassment, which attributes and areas should it cover? </w:t>
      </w:r>
      <w:bookmarkEnd w:id="407"/>
    </w:p>
    <w:p w14:paraId="7BF60604" w14:textId="77777777" w:rsidR="006C7CE0" w:rsidRDefault="006C7CE0" w:rsidP="00F41119">
      <w:pPr>
        <w:sectPr w:rsidR="006C7CE0" w:rsidSect="00744F61">
          <w:footnotePr>
            <w:numRestart w:val="eachSect"/>
          </w:footnotePr>
          <w:pgSz w:w="11906" w:h="16838" w:code="9"/>
          <w:pgMar w:top="1701" w:right="1304" w:bottom="1021" w:left="1304" w:header="567" w:footer="567" w:gutter="0"/>
          <w:cols w:space="708"/>
          <w:docGrid w:linePitch="360"/>
        </w:sectPr>
      </w:pPr>
    </w:p>
    <w:p w14:paraId="5DC1DF9A" w14:textId="77777777" w:rsidR="009E3F78" w:rsidRDefault="009E3F78" w:rsidP="009E3F78">
      <w:pPr>
        <w:pStyle w:val="ChapterHeading"/>
      </w:pPr>
      <w:bookmarkStart w:id="449" w:name="_Toc196826954"/>
      <w:bookmarkStart w:id="450" w:name="_Hlk188443707"/>
      <w:r>
        <w:lastRenderedPageBreak/>
        <w:t>Other unlawful acts and liability</w:t>
      </w:r>
      <w:bookmarkEnd w:id="449"/>
    </w:p>
    <w:p w14:paraId="71AC053D" w14:textId="77777777" w:rsidR="009E3F78" w:rsidRDefault="009E3F78" w:rsidP="009E3F78">
      <w:pPr>
        <w:pStyle w:val="InBriefHeading"/>
        <w:spacing w:after="0"/>
        <w:contextualSpacing w:val="0"/>
      </w:pPr>
      <w:r>
        <w:t>In brief</w:t>
      </w:r>
    </w:p>
    <w:p w14:paraId="6F51DD62" w14:textId="77777777" w:rsidR="009E3F78" w:rsidRDefault="009E3F78" w:rsidP="009E3F78">
      <w:pPr>
        <w:pStyle w:val="InBriefText"/>
        <w:spacing w:before="0"/>
      </w:pPr>
      <w:r>
        <w:t xml:space="preserve">The </w:t>
      </w:r>
      <w:r w:rsidRPr="007B7F78">
        <w:rPr>
          <w:i/>
          <w:iCs/>
        </w:rPr>
        <w:t>Anti-Discrimination Act 1977</w:t>
      </w:r>
      <w:r>
        <w:t xml:space="preserve"> (NSW) (</w:t>
      </w:r>
      <w:r w:rsidRPr="002C702F">
        <w:t>ADA</w:t>
      </w:r>
      <w:r>
        <w:t xml:space="preserve">) prohibits other behaviour, including victimisation and unlawful advertisements. We invite comment on the ADA’s approach to these unlawful acts. We also seek your views on how liability for unlawful conduct operates under the </w:t>
      </w:r>
      <w:r w:rsidRPr="002C702F">
        <w:t>ADA</w:t>
      </w:r>
      <w:r>
        <w:t xml:space="preserve">. This includes whether the use of artificial intelligence in automated decision-making challenges current understandings of liability. </w:t>
      </w:r>
    </w:p>
    <w:p w14:paraId="32A6EBEB" w14:textId="379FE814" w:rsidR="009E3F78" w:rsidRPr="00B55200" w:rsidRDefault="009E3F78" w:rsidP="009E3F78">
      <w:pPr>
        <w:pStyle w:val="TOC2"/>
        <w:rPr>
          <w:rFonts w:eastAsiaTheme="minorEastAsia" w:cstheme="minorBidi"/>
          <w:b w:val="0"/>
          <w:color w:val="auto"/>
          <w:kern w:val="2"/>
          <w:sz w:val="24"/>
          <w:u w:val="none"/>
          <w:lang w:eastAsia="en-AU"/>
          <w14:ligatures w14:val="standardContextual"/>
        </w:rPr>
      </w:pPr>
      <w:r>
        <w:fldChar w:fldCharType="begin"/>
      </w:r>
      <w:r>
        <w:instrText xml:space="preserve"> TOC \h \z \t "Heading 1,2,Heading 2,3,Heading - Major,1,Heading default,1,Title page 1,1" </w:instrText>
      </w:r>
      <w:r>
        <w:fldChar w:fldCharType="separate"/>
      </w:r>
      <w:hyperlink w:anchor="_Toc196738198" w:history="1">
        <w:r w:rsidRPr="00B55200">
          <w:rPr>
            <w:rStyle w:val="Hyperlink"/>
            <w:rFonts w:ascii="Public Sans" w:hAnsi="Public Sans"/>
          </w:rPr>
          <w:t>Victimisation</w:t>
        </w:r>
        <w:r w:rsidRPr="00B55200">
          <w:rPr>
            <w:webHidden/>
          </w:rPr>
          <w:tab/>
        </w:r>
        <w:r w:rsidRPr="00B55200">
          <w:rPr>
            <w:webHidden/>
          </w:rPr>
          <w:fldChar w:fldCharType="begin"/>
        </w:r>
        <w:r w:rsidRPr="00B55200">
          <w:rPr>
            <w:webHidden/>
          </w:rPr>
          <w:instrText xml:space="preserve"> PAGEREF _Toc196738198 \h </w:instrText>
        </w:r>
        <w:r w:rsidRPr="00B55200">
          <w:rPr>
            <w:webHidden/>
          </w:rPr>
        </w:r>
        <w:r w:rsidRPr="00B55200">
          <w:rPr>
            <w:webHidden/>
          </w:rPr>
          <w:fldChar w:fldCharType="separate"/>
        </w:r>
        <w:r w:rsidR="00F44BFC">
          <w:rPr>
            <w:webHidden/>
          </w:rPr>
          <w:t>215</w:t>
        </w:r>
        <w:r w:rsidRPr="00B55200">
          <w:rPr>
            <w:webHidden/>
          </w:rPr>
          <w:fldChar w:fldCharType="end"/>
        </w:r>
      </w:hyperlink>
    </w:p>
    <w:p w14:paraId="48B55ED4" w14:textId="1DF4ADF0" w:rsidR="009E3F78" w:rsidRPr="00B55200" w:rsidRDefault="009E3F78" w:rsidP="009E3F78">
      <w:pPr>
        <w:pStyle w:val="TOC3"/>
        <w:rPr>
          <w:rFonts w:eastAsiaTheme="minorEastAsia" w:cstheme="minorBidi"/>
          <w:color w:val="auto"/>
          <w:kern w:val="2"/>
          <w:sz w:val="24"/>
          <w:u w:val="none"/>
          <w:lang w:eastAsia="en-AU"/>
          <w14:ligatures w14:val="standardContextual"/>
        </w:rPr>
      </w:pPr>
      <w:hyperlink w:anchor="_Toc196738199" w:history="1">
        <w:r w:rsidRPr="00B55200">
          <w:rPr>
            <w:rStyle w:val="Hyperlink"/>
            <w:rFonts w:ascii="Public Sans" w:hAnsi="Public Sans"/>
          </w:rPr>
          <w:t>When victimisation occurs</w:t>
        </w:r>
        <w:r w:rsidRPr="00B55200">
          <w:rPr>
            <w:webHidden/>
          </w:rPr>
          <w:tab/>
        </w:r>
        <w:r w:rsidRPr="00B55200">
          <w:rPr>
            <w:webHidden/>
          </w:rPr>
          <w:fldChar w:fldCharType="begin"/>
        </w:r>
        <w:r w:rsidRPr="00B55200">
          <w:rPr>
            <w:webHidden/>
          </w:rPr>
          <w:instrText xml:space="preserve"> PAGEREF _Toc196738199 \h </w:instrText>
        </w:r>
        <w:r w:rsidRPr="00B55200">
          <w:rPr>
            <w:webHidden/>
          </w:rPr>
        </w:r>
        <w:r w:rsidRPr="00B55200">
          <w:rPr>
            <w:webHidden/>
          </w:rPr>
          <w:fldChar w:fldCharType="separate"/>
        </w:r>
        <w:r w:rsidR="00F44BFC">
          <w:rPr>
            <w:webHidden/>
          </w:rPr>
          <w:t>216</w:t>
        </w:r>
        <w:r w:rsidRPr="00B55200">
          <w:rPr>
            <w:webHidden/>
          </w:rPr>
          <w:fldChar w:fldCharType="end"/>
        </w:r>
      </w:hyperlink>
    </w:p>
    <w:p w14:paraId="7103B74A" w14:textId="74295CCB" w:rsidR="009E3F78" w:rsidRPr="00B55200" w:rsidRDefault="009E3F78" w:rsidP="009E3F78">
      <w:pPr>
        <w:pStyle w:val="TOC3"/>
        <w:rPr>
          <w:rFonts w:eastAsiaTheme="minorEastAsia" w:cstheme="minorBidi"/>
          <w:color w:val="auto"/>
          <w:kern w:val="2"/>
          <w:sz w:val="24"/>
          <w:u w:val="none"/>
          <w:lang w:eastAsia="en-AU"/>
          <w14:ligatures w14:val="standardContextual"/>
        </w:rPr>
      </w:pPr>
      <w:hyperlink w:anchor="_Toc196738200" w:history="1">
        <w:r w:rsidRPr="00B55200">
          <w:rPr>
            <w:rStyle w:val="Hyperlink"/>
            <w:rFonts w:ascii="Public Sans" w:hAnsi="Public Sans"/>
          </w:rPr>
          <w:t>Options to expand or clarify the coverage of this prohibition</w:t>
        </w:r>
        <w:r w:rsidRPr="00B55200">
          <w:rPr>
            <w:webHidden/>
          </w:rPr>
          <w:tab/>
        </w:r>
        <w:r w:rsidRPr="00B55200">
          <w:rPr>
            <w:webHidden/>
          </w:rPr>
          <w:fldChar w:fldCharType="begin"/>
        </w:r>
        <w:r w:rsidRPr="00B55200">
          <w:rPr>
            <w:webHidden/>
          </w:rPr>
          <w:instrText xml:space="preserve"> PAGEREF _Toc196738200 \h </w:instrText>
        </w:r>
        <w:r w:rsidRPr="00B55200">
          <w:rPr>
            <w:webHidden/>
          </w:rPr>
        </w:r>
        <w:r w:rsidRPr="00B55200">
          <w:rPr>
            <w:webHidden/>
          </w:rPr>
          <w:fldChar w:fldCharType="separate"/>
        </w:r>
        <w:r w:rsidR="00F44BFC">
          <w:rPr>
            <w:webHidden/>
          </w:rPr>
          <w:t>216</w:t>
        </w:r>
        <w:r w:rsidRPr="00B55200">
          <w:rPr>
            <w:webHidden/>
          </w:rPr>
          <w:fldChar w:fldCharType="end"/>
        </w:r>
      </w:hyperlink>
    </w:p>
    <w:p w14:paraId="369B8EA4" w14:textId="4BAEC8ED" w:rsidR="009E3F78" w:rsidRPr="00B55200" w:rsidRDefault="009E3F78" w:rsidP="009E3F78">
      <w:pPr>
        <w:pStyle w:val="TOC2"/>
        <w:rPr>
          <w:rFonts w:eastAsiaTheme="minorEastAsia" w:cstheme="minorBidi"/>
          <w:b w:val="0"/>
          <w:color w:val="auto"/>
          <w:kern w:val="2"/>
          <w:sz w:val="24"/>
          <w:u w:val="none"/>
          <w:lang w:eastAsia="en-AU"/>
          <w14:ligatures w14:val="standardContextual"/>
        </w:rPr>
      </w:pPr>
      <w:hyperlink w:anchor="_Toc196738201" w:history="1">
        <w:r w:rsidRPr="00B55200">
          <w:rPr>
            <w:rStyle w:val="Hyperlink"/>
            <w:rFonts w:ascii="Public Sans" w:hAnsi="Public Sans"/>
          </w:rPr>
          <w:t>Unlawful advertisements</w:t>
        </w:r>
        <w:r w:rsidRPr="00B55200">
          <w:rPr>
            <w:webHidden/>
          </w:rPr>
          <w:tab/>
        </w:r>
        <w:r w:rsidRPr="00B55200">
          <w:rPr>
            <w:webHidden/>
          </w:rPr>
          <w:fldChar w:fldCharType="begin"/>
        </w:r>
        <w:r w:rsidRPr="00B55200">
          <w:rPr>
            <w:webHidden/>
          </w:rPr>
          <w:instrText xml:space="preserve"> PAGEREF _Toc196738201 \h </w:instrText>
        </w:r>
        <w:r w:rsidRPr="00B55200">
          <w:rPr>
            <w:webHidden/>
          </w:rPr>
        </w:r>
        <w:r w:rsidRPr="00B55200">
          <w:rPr>
            <w:webHidden/>
          </w:rPr>
          <w:fldChar w:fldCharType="separate"/>
        </w:r>
        <w:r w:rsidR="00F44BFC">
          <w:rPr>
            <w:webHidden/>
          </w:rPr>
          <w:t>218</w:t>
        </w:r>
        <w:r w:rsidRPr="00B55200">
          <w:rPr>
            <w:webHidden/>
          </w:rPr>
          <w:fldChar w:fldCharType="end"/>
        </w:r>
      </w:hyperlink>
    </w:p>
    <w:p w14:paraId="08BBEDB1" w14:textId="57009F08" w:rsidR="009E3F78" w:rsidRPr="00B55200" w:rsidRDefault="009E3F78" w:rsidP="009E3F78">
      <w:pPr>
        <w:pStyle w:val="TOC2"/>
        <w:rPr>
          <w:rFonts w:eastAsiaTheme="minorEastAsia" w:cstheme="minorBidi"/>
          <w:b w:val="0"/>
          <w:color w:val="auto"/>
          <w:kern w:val="2"/>
          <w:sz w:val="24"/>
          <w:u w:val="none"/>
          <w:lang w:eastAsia="en-AU"/>
          <w14:ligatures w14:val="standardContextual"/>
        </w:rPr>
      </w:pPr>
      <w:hyperlink w:anchor="_Toc196738202" w:history="1">
        <w:r w:rsidRPr="00B55200">
          <w:rPr>
            <w:rStyle w:val="Hyperlink"/>
            <w:rFonts w:ascii="Public Sans" w:hAnsi="Public Sans"/>
          </w:rPr>
          <w:t>Liability for unlawful behaviour</w:t>
        </w:r>
        <w:r w:rsidRPr="00B55200">
          <w:rPr>
            <w:webHidden/>
          </w:rPr>
          <w:tab/>
        </w:r>
        <w:r w:rsidRPr="00B55200">
          <w:rPr>
            <w:webHidden/>
          </w:rPr>
          <w:fldChar w:fldCharType="begin"/>
        </w:r>
        <w:r w:rsidRPr="00B55200">
          <w:rPr>
            <w:webHidden/>
          </w:rPr>
          <w:instrText xml:space="preserve"> PAGEREF _Toc196738202 \h </w:instrText>
        </w:r>
        <w:r w:rsidRPr="00B55200">
          <w:rPr>
            <w:webHidden/>
          </w:rPr>
        </w:r>
        <w:r w:rsidRPr="00B55200">
          <w:rPr>
            <w:webHidden/>
          </w:rPr>
          <w:fldChar w:fldCharType="separate"/>
        </w:r>
        <w:r w:rsidR="00F44BFC">
          <w:rPr>
            <w:webHidden/>
          </w:rPr>
          <w:t>218</w:t>
        </w:r>
        <w:r w:rsidRPr="00B55200">
          <w:rPr>
            <w:webHidden/>
          </w:rPr>
          <w:fldChar w:fldCharType="end"/>
        </w:r>
      </w:hyperlink>
    </w:p>
    <w:p w14:paraId="2C9A570D" w14:textId="6C8F512D" w:rsidR="009E3F78" w:rsidRPr="00B55200" w:rsidRDefault="009E3F78" w:rsidP="009E3F78">
      <w:pPr>
        <w:pStyle w:val="TOC3"/>
        <w:rPr>
          <w:rFonts w:eastAsiaTheme="minorEastAsia" w:cstheme="minorBidi"/>
          <w:color w:val="auto"/>
          <w:kern w:val="2"/>
          <w:sz w:val="24"/>
          <w:u w:val="none"/>
          <w:lang w:eastAsia="en-AU"/>
          <w14:ligatures w14:val="standardContextual"/>
        </w:rPr>
      </w:pPr>
      <w:hyperlink w:anchor="_Toc196738203" w:history="1">
        <w:r w:rsidRPr="00B55200">
          <w:rPr>
            <w:rStyle w:val="Hyperlink"/>
            <w:rFonts w:ascii="Public Sans" w:hAnsi="Public Sans"/>
          </w:rPr>
          <w:t>Forms of liability</w:t>
        </w:r>
        <w:r w:rsidRPr="00B55200">
          <w:rPr>
            <w:webHidden/>
          </w:rPr>
          <w:tab/>
        </w:r>
        <w:r w:rsidRPr="00B55200">
          <w:rPr>
            <w:webHidden/>
          </w:rPr>
          <w:fldChar w:fldCharType="begin"/>
        </w:r>
        <w:r w:rsidRPr="00B55200">
          <w:rPr>
            <w:webHidden/>
          </w:rPr>
          <w:instrText xml:space="preserve"> PAGEREF _Toc196738203 \h </w:instrText>
        </w:r>
        <w:r w:rsidRPr="00B55200">
          <w:rPr>
            <w:webHidden/>
          </w:rPr>
        </w:r>
        <w:r w:rsidRPr="00B55200">
          <w:rPr>
            <w:webHidden/>
          </w:rPr>
          <w:fldChar w:fldCharType="separate"/>
        </w:r>
        <w:r w:rsidR="00F44BFC">
          <w:rPr>
            <w:webHidden/>
          </w:rPr>
          <w:t>219</w:t>
        </w:r>
        <w:r w:rsidRPr="00B55200">
          <w:rPr>
            <w:webHidden/>
          </w:rPr>
          <w:fldChar w:fldCharType="end"/>
        </w:r>
      </w:hyperlink>
    </w:p>
    <w:p w14:paraId="380A4698" w14:textId="55D64002" w:rsidR="009E3F78" w:rsidRPr="00B55200" w:rsidRDefault="009E3F78" w:rsidP="009E3F78">
      <w:pPr>
        <w:pStyle w:val="TOC3"/>
        <w:rPr>
          <w:rFonts w:eastAsiaTheme="minorEastAsia" w:cstheme="minorBidi"/>
          <w:color w:val="auto"/>
          <w:kern w:val="2"/>
          <w:sz w:val="24"/>
          <w:u w:val="none"/>
          <w:lang w:eastAsia="en-AU"/>
          <w14:ligatures w14:val="standardContextual"/>
        </w:rPr>
      </w:pPr>
      <w:hyperlink w:anchor="_Toc196738204" w:history="1">
        <w:r w:rsidRPr="00B55200">
          <w:rPr>
            <w:rStyle w:val="Hyperlink"/>
            <w:rFonts w:ascii="Public Sans" w:hAnsi="Public Sans"/>
          </w:rPr>
          <w:t>Exceptions for employers or agents</w:t>
        </w:r>
        <w:r w:rsidRPr="00B55200">
          <w:rPr>
            <w:webHidden/>
          </w:rPr>
          <w:tab/>
        </w:r>
        <w:r w:rsidRPr="00B55200">
          <w:rPr>
            <w:webHidden/>
          </w:rPr>
          <w:fldChar w:fldCharType="begin"/>
        </w:r>
        <w:r w:rsidRPr="00B55200">
          <w:rPr>
            <w:webHidden/>
          </w:rPr>
          <w:instrText xml:space="preserve"> PAGEREF _Toc196738204 \h </w:instrText>
        </w:r>
        <w:r w:rsidRPr="00B55200">
          <w:rPr>
            <w:webHidden/>
          </w:rPr>
        </w:r>
        <w:r w:rsidRPr="00B55200">
          <w:rPr>
            <w:webHidden/>
          </w:rPr>
          <w:fldChar w:fldCharType="separate"/>
        </w:r>
        <w:r w:rsidR="00F44BFC">
          <w:rPr>
            <w:webHidden/>
          </w:rPr>
          <w:t>220</w:t>
        </w:r>
        <w:r w:rsidRPr="00B55200">
          <w:rPr>
            <w:webHidden/>
          </w:rPr>
          <w:fldChar w:fldCharType="end"/>
        </w:r>
      </w:hyperlink>
    </w:p>
    <w:p w14:paraId="7D4309E2" w14:textId="37641F10" w:rsidR="009E3F78" w:rsidRPr="00B55200" w:rsidRDefault="009E3F78" w:rsidP="009E3F78">
      <w:pPr>
        <w:pStyle w:val="TOC3"/>
        <w:rPr>
          <w:rFonts w:eastAsiaTheme="minorEastAsia" w:cstheme="minorBidi"/>
          <w:color w:val="auto"/>
          <w:kern w:val="2"/>
          <w:sz w:val="24"/>
          <w:u w:val="none"/>
          <w:lang w:eastAsia="en-AU"/>
          <w14:ligatures w14:val="standardContextual"/>
        </w:rPr>
      </w:pPr>
      <w:hyperlink w:anchor="_Toc196738205" w:history="1">
        <w:r w:rsidRPr="00B55200">
          <w:rPr>
            <w:rStyle w:val="Hyperlink"/>
            <w:rFonts w:ascii="Public Sans" w:hAnsi="Public Sans"/>
          </w:rPr>
          <w:t>Liability and artificial intelligence</w:t>
        </w:r>
        <w:r w:rsidRPr="00B55200">
          <w:rPr>
            <w:webHidden/>
          </w:rPr>
          <w:tab/>
        </w:r>
        <w:r w:rsidRPr="00B55200">
          <w:rPr>
            <w:webHidden/>
          </w:rPr>
          <w:fldChar w:fldCharType="begin"/>
        </w:r>
        <w:r w:rsidRPr="00B55200">
          <w:rPr>
            <w:webHidden/>
          </w:rPr>
          <w:instrText xml:space="preserve"> PAGEREF _Toc196738205 \h </w:instrText>
        </w:r>
        <w:r w:rsidRPr="00B55200">
          <w:rPr>
            <w:webHidden/>
          </w:rPr>
        </w:r>
        <w:r w:rsidRPr="00B55200">
          <w:rPr>
            <w:webHidden/>
          </w:rPr>
          <w:fldChar w:fldCharType="separate"/>
        </w:r>
        <w:r w:rsidR="00F44BFC">
          <w:rPr>
            <w:webHidden/>
          </w:rPr>
          <w:t>222</w:t>
        </w:r>
        <w:r w:rsidRPr="00B55200">
          <w:rPr>
            <w:webHidden/>
          </w:rPr>
          <w:fldChar w:fldCharType="end"/>
        </w:r>
      </w:hyperlink>
    </w:p>
    <w:p w14:paraId="0FDF2D0C" w14:textId="77777777" w:rsidR="009E3F78" w:rsidRDefault="009E3F78" w:rsidP="009E3F78">
      <w:pPr>
        <w:pStyle w:val="TOC4"/>
      </w:pPr>
      <w:r>
        <w:rPr>
          <w:rFonts w:ascii="Arial Bold" w:hAnsi="Arial Bold"/>
        </w:rPr>
        <w:fldChar w:fldCharType="end"/>
      </w:r>
    </w:p>
    <w:p w14:paraId="7FCFE844" w14:textId="77777777" w:rsidR="009E3F78" w:rsidRDefault="009E3F78" w:rsidP="009E3F78">
      <w:pPr>
        <w:pStyle w:val="NormalAutoChapter"/>
        <w:rPr>
          <w:noProof/>
        </w:rPr>
      </w:pPr>
      <w:r>
        <w:rPr>
          <w:noProof/>
        </w:rPr>
        <w:t xml:space="preserve">In previous chapters, we consider the prohibitions against discrimination, vilification and sexual harassment under the </w:t>
      </w:r>
      <w:r w:rsidRPr="00CA3C97">
        <w:rPr>
          <w:i/>
          <w:iCs/>
          <w:noProof/>
        </w:rPr>
        <w:t>Anti-Discrimination Act 1977</w:t>
      </w:r>
      <w:r>
        <w:rPr>
          <w:noProof/>
        </w:rPr>
        <w:t xml:space="preserve"> (NSW) (ADA). The ADA also makes it unlawful to: </w:t>
      </w:r>
    </w:p>
    <w:p w14:paraId="660E80C5" w14:textId="77777777" w:rsidR="009E3F78" w:rsidRDefault="009E3F78" w:rsidP="009E3F78">
      <w:pPr>
        <w:pStyle w:val="Normalbullet"/>
        <w:rPr>
          <w:noProof/>
        </w:rPr>
      </w:pPr>
      <w:r>
        <w:rPr>
          <w:noProof/>
        </w:rPr>
        <w:t xml:space="preserve">victimise someone for taking action under the </w:t>
      </w:r>
      <w:r w:rsidRPr="00CB0B7B">
        <w:rPr>
          <w:noProof/>
        </w:rPr>
        <w:t>ADA</w:t>
      </w:r>
      <w:r>
        <w:rPr>
          <w:noProof/>
        </w:rPr>
        <w:t xml:space="preserve">, or </w:t>
      </w:r>
    </w:p>
    <w:p w14:paraId="556F005F" w14:textId="77777777" w:rsidR="009E3F78" w:rsidRDefault="009E3F78" w:rsidP="009E3F78">
      <w:pPr>
        <w:pStyle w:val="Normalbullet"/>
        <w:rPr>
          <w:noProof/>
        </w:rPr>
      </w:pPr>
      <w:r>
        <w:rPr>
          <w:noProof/>
        </w:rPr>
        <w:t xml:space="preserve">publish advertisements that contravene the </w:t>
      </w:r>
      <w:r w:rsidRPr="00CB0B7B">
        <w:rPr>
          <w:noProof/>
        </w:rPr>
        <w:t>ADA</w:t>
      </w:r>
      <w:r>
        <w:rPr>
          <w:noProof/>
        </w:rPr>
        <w:t xml:space="preserve">. </w:t>
      </w:r>
    </w:p>
    <w:p w14:paraId="1E6E318D" w14:textId="77777777" w:rsidR="009E3F78" w:rsidRDefault="009E3F78" w:rsidP="009E3F78">
      <w:pPr>
        <w:pStyle w:val="NormalAutoChapter"/>
        <w:rPr>
          <w:noProof/>
        </w:rPr>
      </w:pPr>
      <w:r>
        <w:rPr>
          <w:noProof/>
        </w:rPr>
        <w:t xml:space="preserve">In this chapter, we outline what is covered by these forms of unlawful conduct and the defences that apply to them. We ask if any changes should be made. </w:t>
      </w:r>
    </w:p>
    <w:p w14:paraId="046FBD6D" w14:textId="77777777" w:rsidR="009E3F78" w:rsidRDefault="009E3F78" w:rsidP="009E3F78">
      <w:pPr>
        <w:pStyle w:val="NormalAutoChapter"/>
        <w:rPr>
          <w:noProof/>
        </w:rPr>
      </w:pPr>
      <w:r>
        <w:rPr>
          <w:noProof/>
        </w:rPr>
        <w:t xml:space="preserve">We also discuss who may be held liable for unlawful conduct under the </w:t>
      </w:r>
      <w:r w:rsidRPr="004E585F">
        <w:rPr>
          <w:noProof/>
        </w:rPr>
        <w:t>ADA</w:t>
      </w:r>
      <w:r w:rsidRPr="00CB0B7B">
        <w:rPr>
          <w:i/>
          <w:iCs/>
          <w:noProof/>
        </w:rPr>
        <w:t xml:space="preserve"> </w:t>
      </w:r>
      <w:r w:rsidRPr="00664A99">
        <w:rPr>
          <w:noProof/>
        </w:rPr>
        <w:t>and in what circumstances.</w:t>
      </w:r>
      <w:r>
        <w:rPr>
          <w:noProof/>
        </w:rPr>
        <w:t xml:space="preserve"> We ask whether the growing use of artificial intelligence (AI) in decision-making challenges establised understandings of liability and, if so, how this could be addressed. </w:t>
      </w:r>
    </w:p>
    <w:p w14:paraId="4DC2B1D9" w14:textId="77777777" w:rsidR="009E3F78" w:rsidRDefault="009E3F78" w:rsidP="009E3F78">
      <w:pPr>
        <w:pStyle w:val="Heading1"/>
        <w:rPr>
          <w:noProof/>
        </w:rPr>
      </w:pPr>
      <w:bookmarkStart w:id="451" w:name="_Toc196738198"/>
      <w:bookmarkStart w:id="452" w:name="_Toc196826955"/>
      <w:r>
        <w:rPr>
          <w:noProof/>
        </w:rPr>
        <w:t>Victimisation</w:t>
      </w:r>
      <w:bookmarkEnd w:id="451"/>
      <w:bookmarkEnd w:id="452"/>
      <w:r>
        <w:rPr>
          <w:noProof/>
        </w:rPr>
        <w:t xml:space="preserve"> </w:t>
      </w:r>
    </w:p>
    <w:p w14:paraId="412DB4F6" w14:textId="77777777" w:rsidR="009E3F78" w:rsidRDefault="009E3F78" w:rsidP="009E3F78">
      <w:pPr>
        <w:pStyle w:val="NormalAutoChapter"/>
        <w:rPr>
          <w:noProof/>
        </w:rPr>
      </w:pPr>
      <w:r>
        <w:rPr>
          <w:noProof/>
        </w:rPr>
        <w:t xml:space="preserve">Victimisation occurs where someone experiences retribution or further disadvantage because they exercise their rights under the </w:t>
      </w:r>
      <w:r w:rsidRPr="00C15D28">
        <w:rPr>
          <w:noProof/>
        </w:rPr>
        <w:t>AD</w:t>
      </w:r>
      <w:r>
        <w:rPr>
          <w:noProof/>
        </w:rPr>
        <w:t xml:space="preserve">A. One example of exercising rights under the </w:t>
      </w:r>
      <w:r w:rsidRPr="00C15D28">
        <w:rPr>
          <w:noProof/>
        </w:rPr>
        <w:t>ADA</w:t>
      </w:r>
      <w:r>
        <w:rPr>
          <w:noProof/>
        </w:rPr>
        <w:t xml:space="preserve"> is making a discrimination complaint.</w:t>
      </w:r>
    </w:p>
    <w:p w14:paraId="1184271F" w14:textId="77777777" w:rsidR="009E3F78" w:rsidRDefault="009E3F78" w:rsidP="009E3F78">
      <w:pPr>
        <w:pStyle w:val="Heading2"/>
        <w:rPr>
          <w:noProof/>
        </w:rPr>
      </w:pPr>
      <w:bookmarkStart w:id="453" w:name="_Toc196738199"/>
      <w:bookmarkStart w:id="454" w:name="_Toc196826956"/>
      <w:r>
        <w:rPr>
          <w:noProof/>
        </w:rPr>
        <w:lastRenderedPageBreak/>
        <w:t>When victimisation occurs</w:t>
      </w:r>
      <w:bookmarkEnd w:id="453"/>
      <w:bookmarkEnd w:id="454"/>
    </w:p>
    <w:p w14:paraId="15DD9D5E" w14:textId="77777777" w:rsidR="009E3F78" w:rsidRDefault="009E3F78" w:rsidP="009E3F78">
      <w:pPr>
        <w:pStyle w:val="NormalAutoChapter"/>
        <w:rPr>
          <w:noProof/>
        </w:rPr>
      </w:pPr>
      <w:bookmarkStart w:id="455" w:name="_Hlk192854241"/>
      <w:r>
        <w:rPr>
          <w:noProof/>
        </w:rPr>
        <w:t>Someone would be victimised under the ADA if they were subjected to any “detriment” because they had:</w:t>
      </w:r>
    </w:p>
    <w:p w14:paraId="71EACF1A" w14:textId="77777777" w:rsidR="009E3F78" w:rsidRDefault="009E3F78" w:rsidP="009E3F78">
      <w:pPr>
        <w:pStyle w:val="Normalbullet"/>
        <w:rPr>
          <w:noProof/>
        </w:rPr>
      </w:pPr>
      <w:r>
        <w:rPr>
          <w:noProof/>
        </w:rPr>
        <w:t xml:space="preserve">brought proceedings under the </w:t>
      </w:r>
      <w:r w:rsidRPr="00C15D28">
        <w:rPr>
          <w:noProof/>
        </w:rPr>
        <w:t>ADA</w:t>
      </w:r>
    </w:p>
    <w:p w14:paraId="5817FBE0" w14:textId="77777777" w:rsidR="009E3F78" w:rsidRDefault="009E3F78" w:rsidP="009E3F78">
      <w:pPr>
        <w:pStyle w:val="Normalbullet"/>
        <w:rPr>
          <w:noProof/>
        </w:rPr>
      </w:pPr>
      <w:bookmarkStart w:id="456" w:name="_Hlk192854416"/>
      <w:r>
        <w:rPr>
          <w:noProof/>
        </w:rPr>
        <w:t xml:space="preserve">given evidence or information in connection with proceedings under the </w:t>
      </w:r>
      <w:r w:rsidRPr="00C15D28">
        <w:rPr>
          <w:noProof/>
        </w:rPr>
        <w:t>ADA</w:t>
      </w:r>
    </w:p>
    <w:p w14:paraId="2B269BB7" w14:textId="77777777" w:rsidR="009E3F78" w:rsidRDefault="009E3F78" w:rsidP="009E3F78">
      <w:pPr>
        <w:pStyle w:val="Normalbullet"/>
        <w:rPr>
          <w:noProof/>
        </w:rPr>
      </w:pPr>
      <w:r>
        <w:rPr>
          <w:noProof/>
        </w:rPr>
        <w:t xml:space="preserve">alleged that someone had done something that contravened the </w:t>
      </w:r>
      <w:r w:rsidRPr="00C15D28">
        <w:rPr>
          <w:noProof/>
        </w:rPr>
        <w:t>ADA</w:t>
      </w:r>
      <w:r>
        <w:rPr>
          <w:noProof/>
        </w:rPr>
        <w:t>, or</w:t>
      </w:r>
    </w:p>
    <w:p w14:paraId="03307F12" w14:textId="77777777" w:rsidR="009E3F78" w:rsidRDefault="009E3F78" w:rsidP="009E3F78">
      <w:pPr>
        <w:pStyle w:val="Normalbullet"/>
        <w:rPr>
          <w:noProof/>
        </w:rPr>
      </w:pPr>
      <w:r>
        <w:rPr>
          <w:noProof/>
        </w:rPr>
        <w:t xml:space="preserve">otherwise done anything under or by reference to the </w:t>
      </w:r>
      <w:r w:rsidRPr="00C15D28">
        <w:rPr>
          <w:noProof/>
        </w:rPr>
        <w:t>ADA</w:t>
      </w:r>
      <w:r>
        <w:rPr>
          <w:noProof/>
        </w:rPr>
        <w:t>.</w:t>
      </w:r>
    </w:p>
    <w:bookmarkEnd w:id="455"/>
    <w:bookmarkEnd w:id="456"/>
    <w:p w14:paraId="768782DE" w14:textId="77777777" w:rsidR="009E3F78" w:rsidRDefault="009E3F78" w:rsidP="009E3F78">
      <w:pPr>
        <w:pStyle w:val="NormalAutoChapter"/>
        <w:rPr>
          <w:noProof/>
        </w:rPr>
      </w:pPr>
      <w:r>
        <w:rPr>
          <w:noProof/>
        </w:rPr>
        <w:t>Victimisation also occurs when someone is subjected to a detriment because the respondent knew that they intended to do any of these things, or suspected they had done them.</w:t>
      </w:r>
      <w:r>
        <w:rPr>
          <w:rStyle w:val="FootnoteReference"/>
          <w:noProof/>
        </w:rPr>
        <w:footnoteReference w:id="1047"/>
      </w:r>
    </w:p>
    <w:p w14:paraId="47B47ABB" w14:textId="77777777" w:rsidR="009E3F78" w:rsidRDefault="009E3F78" w:rsidP="009E3F78">
      <w:pPr>
        <w:pStyle w:val="NormalAutoChapter"/>
        <w:rPr>
          <w:noProof/>
        </w:rPr>
      </w:pPr>
      <w:r>
        <w:rPr>
          <w:noProof/>
        </w:rPr>
        <w:t>A “detriment” means any form of “disadvantage”,</w:t>
      </w:r>
      <w:r>
        <w:rPr>
          <w:rStyle w:val="FootnoteReference"/>
          <w:noProof/>
        </w:rPr>
        <w:footnoteReference w:id="1048"/>
      </w:r>
      <w:r>
        <w:rPr>
          <w:noProof/>
        </w:rPr>
        <w:t xml:space="preserve"> loss, damage or injury.</w:t>
      </w:r>
      <w:r>
        <w:rPr>
          <w:rStyle w:val="FootnoteReference"/>
          <w:noProof/>
        </w:rPr>
        <w:footnoteReference w:id="1049"/>
      </w:r>
      <w:r>
        <w:rPr>
          <w:noProof/>
        </w:rPr>
        <w:t xml:space="preserve"> The detriment needs to be of some substance and not merely trivial.</w:t>
      </w:r>
      <w:r>
        <w:rPr>
          <w:rStyle w:val="FootnoteReference"/>
          <w:noProof/>
        </w:rPr>
        <w:footnoteReference w:id="1050"/>
      </w:r>
      <w:r>
        <w:rPr>
          <w:noProof/>
        </w:rPr>
        <w:t xml:space="preserve"> Examples include being: </w:t>
      </w:r>
    </w:p>
    <w:p w14:paraId="71D5410E" w14:textId="77777777" w:rsidR="009E3F78" w:rsidRDefault="009E3F78" w:rsidP="009E3F78">
      <w:pPr>
        <w:pStyle w:val="Normalbullet"/>
        <w:rPr>
          <w:noProof/>
        </w:rPr>
      </w:pPr>
      <w:r>
        <w:rPr>
          <w:noProof/>
        </w:rPr>
        <w:t>dismissed from a role at work</w:t>
      </w:r>
      <w:r>
        <w:rPr>
          <w:rStyle w:val="FootnoteReference"/>
          <w:noProof/>
        </w:rPr>
        <w:footnoteReference w:id="1051"/>
      </w:r>
    </w:p>
    <w:p w14:paraId="1D2DB039" w14:textId="77777777" w:rsidR="009E3F78" w:rsidRDefault="009E3F78" w:rsidP="009E3F78">
      <w:pPr>
        <w:pStyle w:val="Normalbullet"/>
        <w:rPr>
          <w:noProof/>
        </w:rPr>
      </w:pPr>
      <w:r>
        <w:rPr>
          <w:noProof/>
        </w:rPr>
        <w:t>denied opportunities at work</w:t>
      </w:r>
      <w:r>
        <w:rPr>
          <w:rStyle w:val="FootnoteReference"/>
          <w:noProof/>
        </w:rPr>
        <w:footnoteReference w:id="1052"/>
      </w:r>
      <w:r>
        <w:rPr>
          <w:noProof/>
        </w:rPr>
        <w:t xml:space="preserve">  </w:t>
      </w:r>
    </w:p>
    <w:p w14:paraId="7CCE312D" w14:textId="77777777" w:rsidR="009E3F78" w:rsidRDefault="009E3F78" w:rsidP="009E3F78">
      <w:pPr>
        <w:pStyle w:val="Normalbullet"/>
        <w:rPr>
          <w:noProof/>
        </w:rPr>
      </w:pPr>
      <w:r>
        <w:rPr>
          <w:noProof/>
        </w:rPr>
        <w:t>excluded from a community social group,</w:t>
      </w:r>
      <w:r>
        <w:rPr>
          <w:rStyle w:val="FootnoteReference"/>
          <w:noProof/>
        </w:rPr>
        <w:footnoteReference w:id="1053"/>
      </w:r>
      <w:r>
        <w:rPr>
          <w:noProof/>
        </w:rPr>
        <w:t xml:space="preserve"> and</w:t>
      </w:r>
    </w:p>
    <w:p w14:paraId="0D418D94" w14:textId="77777777" w:rsidR="009E3F78" w:rsidRDefault="009E3F78" w:rsidP="009E3F78">
      <w:pPr>
        <w:pStyle w:val="Normalbullet"/>
        <w:rPr>
          <w:noProof/>
        </w:rPr>
      </w:pPr>
      <w:r>
        <w:rPr>
          <w:noProof/>
        </w:rPr>
        <w:t>exposed to public humiliation or abuse.</w:t>
      </w:r>
      <w:r>
        <w:rPr>
          <w:rStyle w:val="FootnoteReference"/>
          <w:noProof/>
        </w:rPr>
        <w:footnoteReference w:id="1054"/>
      </w:r>
      <w:r>
        <w:rPr>
          <w:noProof/>
        </w:rPr>
        <w:t xml:space="preserve"> </w:t>
      </w:r>
    </w:p>
    <w:p w14:paraId="26E10E8E" w14:textId="77777777" w:rsidR="009E3F78" w:rsidRDefault="009E3F78" w:rsidP="009E3F78">
      <w:pPr>
        <w:pStyle w:val="NormalAutoChapter"/>
        <w:rPr>
          <w:noProof/>
        </w:rPr>
      </w:pPr>
      <w:r>
        <w:rPr>
          <w:noProof/>
        </w:rPr>
        <w:t xml:space="preserve">It is a defence if the allegation made under the </w:t>
      </w:r>
      <w:r w:rsidRPr="009245D8">
        <w:rPr>
          <w:noProof/>
        </w:rPr>
        <w:t>ADA</w:t>
      </w:r>
      <w:r w:rsidRPr="0048475A">
        <w:rPr>
          <w:i/>
          <w:iCs/>
          <w:noProof/>
        </w:rPr>
        <w:t xml:space="preserve"> </w:t>
      </w:r>
      <w:r>
        <w:rPr>
          <w:noProof/>
        </w:rPr>
        <w:t>(for which someone believed they were being victimised) was false and not made in good faith.</w:t>
      </w:r>
      <w:r>
        <w:rPr>
          <w:rStyle w:val="FootnoteReference"/>
          <w:noProof/>
        </w:rPr>
        <w:footnoteReference w:id="1055"/>
      </w:r>
      <w:r>
        <w:rPr>
          <w:noProof/>
        </w:rPr>
        <w:t xml:space="preserve"> </w:t>
      </w:r>
    </w:p>
    <w:p w14:paraId="22F8225F" w14:textId="77777777" w:rsidR="009E3F78" w:rsidRDefault="009E3F78" w:rsidP="009E3F78">
      <w:pPr>
        <w:pStyle w:val="Heading2"/>
        <w:rPr>
          <w:noProof/>
        </w:rPr>
      </w:pPr>
      <w:bookmarkStart w:id="457" w:name="_Toc196738200"/>
      <w:bookmarkStart w:id="458" w:name="_Toc196826957"/>
      <w:r>
        <w:rPr>
          <w:noProof/>
        </w:rPr>
        <w:t>Options to expand or clarify the coverage of this prohibition</w:t>
      </w:r>
      <w:bookmarkEnd w:id="457"/>
      <w:bookmarkEnd w:id="458"/>
    </w:p>
    <w:p w14:paraId="244B669D" w14:textId="77777777" w:rsidR="009E3F78" w:rsidRDefault="009E3F78" w:rsidP="009E3F78">
      <w:pPr>
        <w:pStyle w:val="NormalAutoChapter"/>
        <w:rPr>
          <w:noProof/>
        </w:rPr>
      </w:pPr>
      <w:r>
        <w:rPr>
          <w:noProof/>
        </w:rPr>
        <w:t xml:space="preserve">There are questions about whether the prohibition against victimisation should more clearly cover two other scenarios. </w:t>
      </w:r>
    </w:p>
    <w:p w14:paraId="7BAC4F2D" w14:textId="77777777" w:rsidR="009E3F78" w:rsidRDefault="009E3F78" w:rsidP="009E3F78">
      <w:pPr>
        <w:pStyle w:val="Heading3"/>
        <w:rPr>
          <w:noProof/>
        </w:rPr>
      </w:pPr>
      <w:r>
        <w:rPr>
          <w:noProof/>
        </w:rPr>
        <w:lastRenderedPageBreak/>
        <w:t xml:space="preserve">Threats to victimise </w:t>
      </w:r>
    </w:p>
    <w:p w14:paraId="1C666FC1" w14:textId="77777777" w:rsidR="009E3F78" w:rsidRDefault="009E3F78" w:rsidP="009E3F78">
      <w:pPr>
        <w:pStyle w:val="NormalAutoChapter"/>
        <w:rPr>
          <w:noProof/>
        </w:rPr>
      </w:pPr>
      <w:r>
        <w:rPr>
          <w:noProof/>
        </w:rPr>
        <w:t xml:space="preserve">The first scenario is where a person threatens to victimise someone. The </w:t>
      </w:r>
      <w:r w:rsidRPr="003B587A">
        <w:rPr>
          <w:noProof/>
        </w:rPr>
        <w:t xml:space="preserve">ADA </w:t>
      </w:r>
      <w:r>
        <w:rPr>
          <w:noProof/>
        </w:rPr>
        <w:t>appears to require someone alleging victimisation to prove that a detriment has already occurred. By contrast, most other Australian anti-victimisation laws expressly cover threats to victimise someone.</w:t>
      </w:r>
      <w:r>
        <w:rPr>
          <w:rStyle w:val="FootnoteReference"/>
          <w:noProof/>
        </w:rPr>
        <w:footnoteReference w:id="1056"/>
      </w:r>
      <w:r>
        <w:rPr>
          <w:noProof/>
        </w:rPr>
        <w:t xml:space="preserve"> </w:t>
      </w:r>
    </w:p>
    <w:p w14:paraId="20DA0313" w14:textId="77777777" w:rsidR="009E3F78" w:rsidRDefault="009E3F78" w:rsidP="009E3F78">
      <w:pPr>
        <w:pStyle w:val="NormalAutoChapter"/>
        <w:rPr>
          <w:noProof/>
        </w:rPr>
      </w:pPr>
      <w:r>
        <w:rPr>
          <w:noProof/>
        </w:rPr>
        <w:t xml:space="preserve">In 1999, the NSW Law Reform Commission (NSWLRC) thought that the </w:t>
      </w:r>
      <w:r w:rsidRPr="00654BDC">
        <w:rPr>
          <w:noProof/>
        </w:rPr>
        <w:t xml:space="preserve">ADA </w:t>
      </w:r>
      <w:r>
        <w:rPr>
          <w:noProof/>
        </w:rPr>
        <w:t>should clearly prohibit any conduct, actual or threatened, which would undermine its purposes, which include enabling people to bring complaints. The NSWLRC recommended that the ADA expressly cover a situation where the respondent threatened to victimise someone.</w:t>
      </w:r>
      <w:r>
        <w:rPr>
          <w:rStyle w:val="FootnoteReference"/>
          <w:noProof/>
        </w:rPr>
        <w:footnoteReference w:id="1057"/>
      </w:r>
    </w:p>
    <w:p w14:paraId="66B4C013" w14:textId="77777777" w:rsidR="009E3F78" w:rsidRDefault="009E3F78" w:rsidP="009E3F78">
      <w:pPr>
        <w:pStyle w:val="Heading3"/>
        <w:rPr>
          <w:noProof/>
        </w:rPr>
      </w:pPr>
      <w:r>
        <w:rPr>
          <w:noProof/>
        </w:rPr>
        <w:t>Victimisation that occurs for two or more reasons</w:t>
      </w:r>
    </w:p>
    <w:p w14:paraId="3F398061" w14:textId="77777777" w:rsidR="009E3F78" w:rsidRDefault="009E3F78" w:rsidP="009E3F78">
      <w:pPr>
        <w:pStyle w:val="NormalAutoChapter"/>
        <w:rPr>
          <w:noProof/>
        </w:rPr>
      </w:pPr>
      <w:r>
        <w:rPr>
          <w:noProof/>
        </w:rPr>
        <w:t>The second scenario is where someone was victimised for two or more reasons. For instance, they were victimised both for bringing an action under the</w:t>
      </w:r>
      <w:r w:rsidRPr="00D00F5C">
        <w:rPr>
          <w:noProof/>
        </w:rPr>
        <w:t xml:space="preserve"> ADA</w:t>
      </w:r>
      <w:r>
        <w:rPr>
          <w:noProof/>
        </w:rPr>
        <w:t xml:space="preserve"> and for other reasons unrelated to the ADA. Currently, the ADA does not clearly include this in the test for victimisation. </w:t>
      </w:r>
    </w:p>
    <w:p w14:paraId="1BFEDD29" w14:textId="77777777" w:rsidR="009E3F78" w:rsidRDefault="009E3F78" w:rsidP="009E3F78">
      <w:pPr>
        <w:pStyle w:val="NormalAutoChapter"/>
        <w:rPr>
          <w:noProof/>
        </w:rPr>
      </w:pPr>
      <w:r>
        <w:rPr>
          <w:noProof/>
        </w:rPr>
        <w:t xml:space="preserve">By contrast, the </w:t>
      </w:r>
      <w:r w:rsidRPr="00AB30AD">
        <w:rPr>
          <w:noProof/>
        </w:rPr>
        <w:t>ADA</w:t>
      </w:r>
      <w:r w:rsidRPr="000B10F9">
        <w:rPr>
          <w:noProof/>
        </w:rPr>
        <w:t xml:space="preserve"> </w:t>
      </w:r>
      <w:r>
        <w:rPr>
          <w:noProof/>
        </w:rPr>
        <w:t>is clearer when it comes to unlawful discrimination. If an act was done for two or more reasons, and one reason was unlawful discrimination, the act is taken to be done for a discriminatory reason. This applies even if this was not the dominant or substantial reason.</w:t>
      </w:r>
      <w:r>
        <w:rPr>
          <w:rStyle w:val="FootnoteReference"/>
          <w:noProof/>
        </w:rPr>
        <w:footnoteReference w:id="1058"/>
      </w:r>
      <w:r>
        <w:rPr>
          <w:noProof/>
        </w:rPr>
        <w:t xml:space="preserve"> </w:t>
      </w:r>
    </w:p>
    <w:p w14:paraId="1B773228" w14:textId="77777777" w:rsidR="009E3F78" w:rsidRDefault="009E3F78" w:rsidP="009E3F78">
      <w:pPr>
        <w:pStyle w:val="NormalAutoChapter"/>
        <w:rPr>
          <w:noProof/>
        </w:rPr>
      </w:pPr>
      <w:r>
        <w:rPr>
          <w:noProof/>
        </w:rPr>
        <w:t xml:space="preserve">However, where a person victimises someone for two or more reasons, it has been found to be sufficient that one of the “real, genuine or true reasons” for doing so was that the person was pursuing a right under the </w:t>
      </w:r>
      <w:r w:rsidRPr="00DC722E">
        <w:rPr>
          <w:noProof/>
        </w:rPr>
        <w:t>ADA</w:t>
      </w:r>
      <w:r>
        <w:rPr>
          <w:noProof/>
        </w:rPr>
        <w:t>.</w:t>
      </w:r>
      <w:r>
        <w:rPr>
          <w:rStyle w:val="FootnoteReference"/>
          <w:noProof/>
        </w:rPr>
        <w:footnoteReference w:id="1059"/>
      </w:r>
      <w:r>
        <w:rPr>
          <w:noProof/>
        </w:rPr>
        <w:t xml:space="preserve"> </w:t>
      </w:r>
    </w:p>
    <w:p w14:paraId="46CBEE37" w14:textId="77777777" w:rsidR="009E3F78" w:rsidRDefault="009E3F78" w:rsidP="009E3F78">
      <w:pPr>
        <w:pStyle w:val="Recommendationheading"/>
        <w:rPr>
          <w:noProof/>
        </w:rPr>
      </w:pPr>
      <w:r>
        <w:rPr>
          <w:noProof/>
        </w:rPr>
        <w:t>Question 10.1: Victimisation</w:t>
      </w:r>
    </w:p>
    <w:p w14:paraId="187E8AFA" w14:textId="77777777" w:rsidR="009E3F78" w:rsidRDefault="009E3F78" w:rsidP="009E3F78">
      <w:pPr>
        <w:pStyle w:val="Recommendationhanging1"/>
      </w:pPr>
      <w:r w:rsidRPr="00491945">
        <w:t>(1</w:t>
      </w:r>
      <w:r>
        <w:t>)</w:t>
      </w:r>
      <w:r>
        <w:tab/>
        <w:t>Should the prohibition of victimisation in the ADA expressly extend to situations where a person threatens to victimise someone? Why or why not?</w:t>
      </w:r>
    </w:p>
    <w:p w14:paraId="49A647E0" w14:textId="77777777" w:rsidR="009E3F78" w:rsidRDefault="009E3F78" w:rsidP="009E3F78">
      <w:pPr>
        <w:pStyle w:val="Recommendationhanging1"/>
      </w:pPr>
      <w:r>
        <w:t>(2)</w:t>
      </w:r>
      <w:r>
        <w:tab/>
        <w:t>Should the ADA provide that victimisation is unlawful even if it was done for two or more reasons? If so, how best could this be achieved?</w:t>
      </w:r>
    </w:p>
    <w:p w14:paraId="0B2038EA" w14:textId="77777777" w:rsidR="009E3F78" w:rsidRDefault="009E3F78" w:rsidP="009E3F78">
      <w:pPr>
        <w:pStyle w:val="Heading1"/>
      </w:pPr>
      <w:bookmarkStart w:id="460" w:name="_Toc196738201"/>
      <w:bookmarkStart w:id="461" w:name="_Toc196826958"/>
      <w:r>
        <w:lastRenderedPageBreak/>
        <w:t>Unlawful advertisements</w:t>
      </w:r>
      <w:bookmarkEnd w:id="460"/>
      <w:bookmarkEnd w:id="461"/>
      <w:r>
        <w:t xml:space="preserve"> </w:t>
      </w:r>
    </w:p>
    <w:p w14:paraId="6E3428FE" w14:textId="77777777" w:rsidR="009E3F78" w:rsidRDefault="009E3F78" w:rsidP="009E3F78">
      <w:pPr>
        <w:pStyle w:val="NormalAutoChapter"/>
      </w:pPr>
      <w:r>
        <w:t xml:space="preserve">It is unlawful to publish, or cause to be published, an advertisement that indicates an intention to do something that is unlawful under the </w:t>
      </w:r>
      <w:r w:rsidRPr="00B45DB6">
        <w:t>ADA</w:t>
      </w:r>
      <w:r>
        <w:t xml:space="preserve">. </w:t>
      </w:r>
    </w:p>
    <w:p w14:paraId="62159D1F" w14:textId="77777777" w:rsidR="009E3F78" w:rsidRDefault="009E3F78" w:rsidP="009E3F78">
      <w:pPr>
        <w:pStyle w:val="NormalAutoChapter"/>
      </w:pPr>
      <w:r>
        <w:t>An “advertisement” includes any notice, sign, label, circular and any similar thing. It also includes anything that is not in writing, but which conveys a message because of the form or context in which it appears. The prohibition covers publishing the advertisement by any means, including in a newspaper or periodical, by radio or television broadcast, or in a film.</w:t>
      </w:r>
      <w:r>
        <w:rPr>
          <w:rStyle w:val="FootnoteReference"/>
        </w:rPr>
        <w:footnoteReference w:id="1060"/>
      </w:r>
    </w:p>
    <w:p w14:paraId="72398A0C" w14:textId="77777777" w:rsidR="009E3F78" w:rsidRDefault="009E3F78" w:rsidP="009E3F78">
      <w:pPr>
        <w:pStyle w:val="NormalAutoChapter"/>
      </w:pPr>
      <w:r>
        <w:t>The maximum penalty for contravening this section is 50 penalty units ($5500) for a body corporate or 10 penalty units ($1100) in any other case.</w:t>
      </w:r>
      <w:r>
        <w:rPr>
          <w:rStyle w:val="FootnoteReference"/>
        </w:rPr>
        <w:footnoteReference w:id="1061"/>
      </w:r>
      <w:r>
        <w:t xml:space="preserve"> </w:t>
      </w:r>
    </w:p>
    <w:p w14:paraId="2471DBC2" w14:textId="77777777" w:rsidR="009E3F78" w:rsidRDefault="009E3F78" w:rsidP="009E3F78">
      <w:pPr>
        <w:pStyle w:val="NormalAutoChapter"/>
      </w:pPr>
      <w:r>
        <w:t>One issue is whether there should be a defence to this form of unlawful conduct. Under the ADA, it is a defence if a person believed on reasonable grounds that the publication of the advertisement was not an offence.</w:t>
      </w:r>
      <w:r>
        <w:rPr>
          <w:rStyle w:val="FootnoteReference"/>
        </w:rPr>
        <w:footnoteReference w:id="1062"/>
      </w:r>
      <w:r>
        <w:t xml:space="preserve"> </w:t>
      </w:r>
    </w:p>
    <w:p w14:paraId="3F085C72" w14:textId="77777777" w:rsidR="009E3F78" w:rsidRDefault="009E3F78" w:rsidP="009E3F78">
      <w:pPr>
        <w:pStyle w:val="NormalAutoChapter"/>
      </w:pPr>
      <w:r>
        <w:t>Only South Australia has a similar defence.</w:t>
      </w:r>
      <w:r>
        <w:rPr>
          <w:rStyle w:val="FootnoteReference"/>
        </w:rPr>
        <w:footnoteReference w:id="1063"/>
      </w:r>
      <w:r>
        <w:t xml:space="preserve"> Queensland and Victoria have defences that the person took reasonable precautions and exercised due diligence to prevent publication.</w:t>
      </w:r>
      <w:r>
        <w:rPr>
          <w:rStyle w:val="FootnoteReference"/>
        </w:rPr>
        <w:footnoteReference w:id="1064"/>
      </w:r>
      <w:r>
        <w:t xml:space="preserve"> Other Australian discrimination laws do not provide any defences to publishing something unlawful.</w:t>
      </w:r>
      <w:r>
        <w:rPr>
          <w:rStyle w:val="FootnoteReference"/>
        </w:rPr>
        <w:footnoteReference w:id="1065"/>
      </w:r>
    </w:p>
    <w:p w14:paraId="3ECF5961" w14:textId="77777777" w:rsidR="009E3F78" w:rsidRDefault="009E3F78" w:rsidP="009E3F78">
      <w:pPr>
        <w:pStyle w:val="Recommendationheading"/>
        <w:rPr>
          <w:noProof/>
        </w:rPr>
      </w:pPr>
      <w:r>
        <w:rPr>
          <w:noProof/>
        </w:rPr>
        <w:t>Question 10.2: Advertisements</w:t>
      </w:r>
    </w:p>
    <w:p w14:paraId="33A4C185" w14:textId="77777777" w:rsidR="009E3F78" w:rsidRDefault="009E3F78" w:rsidP="009E3F78">
      <w:pPr>
        <w:pStyle w:val="Recommendationnormal"/>
      </w:pPr>
      <w:r>
        <w:t xml:space="preserve">Should it be a defence </w:t>
      </w:r>
      <w:r w:rsidRPr="000970B4">
        <w:t xml:space="preserve">to </w:t>
      </w:r>
      <w:r>
        <w:t>publishing an unlawful advertisement that the person reasonably believed publication was not unlawful? Why or why not?</w:t>
      </w:r>
    </w:p>
    <w:p w14:paraId="52A0D8A4" w14:textId="77777777" w:rsidR="009E3F78" w:rsidRDefault="009E3F78" w:rsidP="009E3F78">
      <w:pPr>
        <w:pStyle w:val="Heading1"/>
      </w:pPr>
      <w:bookmarkStart w:id="462" w:name="_Toc196738202"/>
      <w:bookmarkStart w:id="463" w:name="_Toc196826959"/>
      <w:r>
        <w:t>Liability for unlawful behaviour</w:t>
      </w:r>
      <w:bookmarkEnd w:id="462"/>
      <w:bookmarkEnd w:id="463"/>
    </w:p>
    <w:p w14:paraId="7FA3F6CC" w14:textId="77777777" w:rsidR="009E3F78" w:rsidRDefault="009E3F78" w:rsidP="009E3F78">
      <w:pPr>
        <w:pStyle w:val="NormalAutoChapter"/>
      </w:pPr>
      <w:r>
        <w:t xml:space="preserve">To establish a breach of the ADA, a complainant must identify who engaged in or did the wrongful act. </w:t>
      </w:r>
      <w:r w:rsidRPr="00FE72E3">
        <w:t>D</w:t>
      </w:r>
      <w:r>
        <w:t>uty holders under the ADA include employers, partners, educational authorities, and people who provide services or accommodation. These duty holders may be individuals, partnerships, corporations, associations or government agencies.</w:t>
      </w:r>
    </w:p>
    <w:p w14:paraId="503FED8A" w14:textId="77777777" w:rsidR="009E3F78" w:rsidRDefault="009E3F78" w:rsidP="009E3F78">
      <w:pPr>
        <w:pStyle w:val="NormalAutoChapter"/>
      </w:pPr>
      <w:r>
        <w:lastRenderedPageBreak/>
        <w:t xml:space="preserve">It is often possible to identify who engaged in certain conduct or made decisions. However, sometimes it can be difficult to identify the duty holder who is legally responsible under the ADA. </w:t>
      </w:r>
    </w:p>
    <w:p w14:paraId="3F88A3AB" w14:textId="77777777" w:rsidR="009E3F78" w:rsidRDefault="009E3F78" w:rsidP="009E3F78">
      <w:pPr>
        <w:pStyle w:val="Heading2"/>
      </w:pPr>
      <w:bookmarkStart w:id="464" w:name="_Toc196738203"/>
      <w:bookmarkStart w:id="465" w:name="_Toc196826960"/>
      <w:r>
        <w:t>Forms of liability</w:t>
      </w:r>
      <w:bookmarkEnd w:id="464"/>
      <w:bookmarkEnd w:id="465"/>
      <w:r>
        <w:t xml:space="preserve"> </w:t>
      </w:r>
    </w:p>
    <w:p w14:paraId="77FBBD78" w14:textId="77777777" w:rsidR="009E3F78" w:rsidRDefault="009E3F78" w:rsidP="009E3F78">
      <w:pPr>
        <w:pStyle w:val="NormalAutoChapter"/>
      </w:pPr>
      <w:r>
        <w:t>There are several ways a duty holder may be liable for conduct or decisions that breached the ADA. These forms of liability are:</w:t>
      </w:r>
    </w:p>
    <w:p w14:paraId="0FA0A972" w14:textId="77777777" w:rsidR="009E3F78" w:rsidRDefault="009E3F78" w:rsidP="009E3F78">
      <w:pPr>
        <w:pStyle w:val="Normalbullet"/>
      </w:pPr>
      <w:r>
        <w:t>direct or personal liability</w:t>
      </w:r>
    </w:p>
    <w:p w14:paraId="21912FD7" w14:textId="77777777" w:rsidR="009E3F78" w:rsidRDefault="009E3F78" w:rsidP="009E3F78">
      <w:pPr>
        <w:pStyle w:val="Normalbullet"/>
      </w:pPr>
      <w:r>
        <w:t xml:space="preserve">vicarious liability </w:t>
      </w:r>
    </w:p>
    <w:p w14:paraId="59E51223" w14:textId="77777777" w:rsidR="009E3F78" w:rsidRDefault="009E3F78" w:rsidP="009E3F78">
      <w:pPr>
        <w:pStyle w:val="Normalbullet"/>
      </w:pPr>
      <w:r>
        <w:t>joint and several liability, and</w:t>
      </w:r>
    </w:p>
    <w:p w14:paraId="43F5AA0C" w14:textId="77777777" w:rsidR="009E3F78" w:rsidRDefault="009E3F78" w:rsidP="009E3F78">
      <w:pPr>
        <w:pStyle w:val="Normalbullet"/>
      </w:pPr>
      <w:r>
        <w:t>accessorial liability.</w:t>
      </w:r>
    </w:p>
    <w:p w14:paraId="42896653" w14:textId="77777777" w:rsidR="009E3F78" w:rsidRDefault="009E3F78" w:rsidP="009E3F78">
      <w:pPr>
        <w:pStyle w:val="NormalAutoChapter"/>
      </w:pPr>
      <w:r>
        <w:t>One way is if an individual is a duty holder, and they engage in conduct that is prohibited by the ADA. The individual would be personally liable or responsible for their actions. This is direct or personal liability.</w:t>
      </w:r>
    </w:p>
    <w:p w14:paraId="2C27616F" w14:textId="77777777" w:rsidR="009E3F78" w:rsidRDefault="009E3F78" w:rsidP="009E3F78">
      <w:pPr>
        <w:pStyle w:val="NormalAutoChapter"/>
      </w:pPr>
      <w:r>
        <w:t>Another way is if the duty holder is an employer, educational authority or government. The conduct of individuals may be treated as the conduct of the employer, educational authority or government. In this instance, the duty holder may be held:</w:t>
      </w:r>
    </w:p>
    <w:p w14:paraId="7DD1ACA6" w14:textId="77777777" w:rsidR="009E3F78" w:rsidRDefault="009E3F78" w:rsidP="009E3F78">
      <w:pPr>
        <w:pStyle w:val="Normalbullet"/>
      </w:pPr>
      <w:r>
        <w:t>directly liable for the conduct of an individual, generally where the individual was an officer, director, principal, agent or employee, or</w:t>
      </w:r>
    </w:p>
    <w:p w14:paraId="6FD94786" w14:textId="77777777" w:rsidR="009E3F78" w:rsidRDefault="009E3F78" w:rsidP="009E3F78">
      <w:pPr>
        <w:pStyle w:val="Normalbullet"/>
      </w:pPr>
      <w:r>
        <w:t>vicariously liable under the ADA for the acts of an agent</w:t>
      </w:r>
      <w:r>
        <w:rPr>
          <w:rStyle w:val="FootnoteReference"/>
        </w:rPr>
        <w:footnoteReference w:id="1066"/>
      </w:r>
      <w:r>
        <w:t xml:space="preserve"> or employee</w:t>
      </w:r>
      <w:r>
        <w:rPr>
          <w:rStyle w:val="FootnoteReference"/>
        </w:rPr>
        <w:footnoteReference w:id="1067"/>
      </w:r>
      <w:r>
        <w:t>, unless they can prove a defence (we discuss this in the next section).</w:t>
      </w:r>
    </w:p>
    <w:p w14:paraId="7D99DD2E" w14:textId="77777777" w:rsidR="009E3F78" w:rsidRDefault="009E3F78" w:rsidP="009E3F78">
      <w:pPr>
        <w:pStyle w:val="NormalAutoChapter"/>
      </w:pPr>
      <w:r>
        <w:t>In some circumstances, the individual employee or agent and the employer or principal are both liable.</w:t>
      </w:r>
      <w:r>
        <w:rPr>
          <w:rStyle w:val="FootnoteReference"/>
        </w:rPr>
        <w:footnoteReference w:id="1068"/>
      </w:r>
      <w:r>
        <w:t xml:space="preserve"> This is joint and several liability.</w:t>
      </w:r>
    </w:p>
    <w:p w14:paraId="12C73782" w14:textId="77777777" w:rsidR="009E3F78" w:rsidRDefault="009E3F78" w:rsidP="009E3F78">
      <w:pPr>
        <w:pStyle w:val="NormalAutoChapter"/>
      </w:pPr>
      <w:r>
        <w:t>Finally, any person who caused, instructed, induced, aided or permitted another person to do an act that was unlawful under the ADA will be liable.</w:t>
      </w:r>
      <w:r>
        <w:rPr>
          <w:rStyle w:val="FootnoteReference"/>
        </w:rPr>
        <w:footnoteReference w:id="1069"/>
      </w:r>
      <w:r>
        <w:t xml:space="preserve"> This is accessorial liability.</w:t>
      </w:r>
    </w:p>
    <w:p w14:paraId="7FA92B33" w14:textId="77777777" w:rsidR="009E3F78" w:rsidRDefault="009E3F78" w:rsidP="009E3F78">
      <w:pPr>
        <w:pStyle w:val="NormalAutoChapter"/>
        <w:rPr>
          <w:lang w:eastAsia="en-US"/>
        </w:rPr>
      </w:pPr>
      <w:r>
        <w:rPr>
          <w:lang w:eastAsia="en-US"/>
        </w:rPr>
        <w:t>To establish accessorial liability, a complainant must prove:</w:t>
      </w:r>
    </w:p>
    <w:p w14:paraId="17EB2D7B" w14:textId="77777777" w:rsidR="009E3F78" w:rsidRDefault="009E3F78" w:rsidP="009E3F78">
      <w:pPr>
        <w:pStyle w:val="Normalbullet"/>
      </w:pPr>
      <w:r>
        <w:t>a breach of the ADA occurred by a person (person A)</w:t>
      </w:r>
    </w:p>
    <w:p w14:paraId="343C752B" w14:textId="77777777" w:rsidR="009E3F78" w:rsidRDefault="009E3F78" w:rsidP="009E3F78">
      <w:pPr>
        <w:pStyle w:val="Normalbullet"/>
      </w:pPr>
      <w:r>
        <w:t xml:space="preserve">another person (person B) had reason to think the breach would occur </w:t>
      </w:r>
    </w:p>
    <w:p w14:paraId="0E67AFEA" w14:textId="77777777" w:rsidR="009E3F78" w:rsidRDefault="009E3F78" w:rsidP="009E3F78">
      <w:pPr>
        <w:pStyle w:val="Normalbullet"/>
      </w:pPr>
      <w:r>
        <w:lastRenderedPageBreak/>
        <w:t>person B had the power to prevent it, and</w:t>
      </w:r>
    </w:p>
    <w:p w14:paraId="3AD46DD0" w14:textId="77777777" w:rsidR="009E3F78" w:rsidRDefault="009E3F78" w:rsidP="009E3F78">
      <w:pPr>
        <w:pStyle w:val="Normalbullet"/>
      </w:pPr>
      <w:r>
        <w:t>it was what person B did or failed to do that permitted the breach by person A.</w:t>
      </w:r>
      <w:r>
        <w:rPr>
          <w:rStyle w:val="FootnoteReference"/>
        </w:rPr>
        <w:footnoteReference w:id="1070"/>
      </w:r>
    </w:p>
    <w:p w14:paraId="02859B2F" w14:textId="77777777" w:rsidR="009E3F78" w:rsidRDefault="009E3F78" w:rsidP="009E3F78">
      <w:pPr>
        <w:pStyle w:val="NormalAutoChapter"/>
        <w:rPr>
          <w:lang w:eastAsia="en-US"/>
        </w:rPr>
      </w:pPr>
      <w:r>
        <w:rPr>
          <w:lang w:eastAsia="en-US"/>
        </w:rPr>
        <w:t>A person may be liable in an accessorial way for conduct they could have prevented, or where they assisted, directly or indirectly, a duty holder to do an unlawful act. This includes a person who knowingly places someone in a situation where there is a real possibility that unlawful conduct will occur.</w:t>
      </w:r>
      <w:r>
        <w:rPr>
          <w:rStyle w:val="FootnoteReference"/>
          <w:lang w:eastAsia="en-US"/>
        </w:rPr>
        <w:footnoteReference w:id="1071"/>
      </w:r>
      <w:r>
        <w:rPr>
          <w:lang w:eastAsia="en-US"/>
        </w:rPr>
        <w:t xml:space="preserve"> </w:t>
      </w:r>
    </w:p>
    <w:p w14:paraId="5A9F0CA6" w14:textId="77777777" w:rsidR="009E3F78" w:rsidRDefault="009E3F78" w:rsidP="009E3F78">
      <w:pPr>
        <w:pStyle w:val="NormalAutoChapter"/>
        <w:rPr>
          <w:lang w:eastAsia="en-US"/>
        </w:rPr>
      </w:pPr>
      <w:r>
        <w:rPr>
          <w:lang w:eastAsia="en-US"/>
        </w:rPr>
        <w:t>Accessorial liability can also be a way of holding an employee liable for unlawful discrimination against a fellow employee. For example, in one case a complainant succeeded in claims of unlawful discrimination against her employer and her supervisor. The employer was found to have breached the ADA. Further, the supervisor was found to have caused the employer to discriminate, resulting in a finding that the supervisor was liable in an accessorial way. The Tribunal then treated the employer and supervisor as jointly and severally liable.</w:t>
      </w:r>
      <w:r>
        <w:rPr>
          <w:rStyle w:val="FootnoteReference"/>
          <w:lang w:eastAsia="en-US"/>
        </w:rPr>
        <w:footnoteReference w:id="1072"/>
      </w:r>
      <w:r>
        <w:rPr>
          <w:lang w:eastAsia="en-US"/>
        </w:rPr>
        <w:t xml:space="preserve"> </w:t>
      </w:r>
    </w:p>
    <w:p w14:paraId="22B52D73" w14:textId="77777777" w:rsidR="009E3F78" w:rsidRDefault="009E3F78" w:rsidP="009E3F78">
      <w:pPr>
        <w:pStyle w:val="NormalAutoChapter"/>
      </w:pPr>
      <w:r>
        <w:t>These forms of liability do not override exceptions under the ADA or other immunities from liability. For example, the immunity of judicial officers performing their functions.</w:t>
      </w:r>
      <w:r>
        <w:rPr>
          <w:rStyle w:val="FootnoteReference"/>
          <w:iCs/>
          <w:lang w:eastAsia="en-US"/>
        </w:rPr>
        <w:footnoteReference w:id="1073"/>
      </w:r>
      <w:r>
        <w:t xml:space="preserve"> </w:t>
      </w:r>
    </w:p>
    <w:p w14:paraId="1B9D69E6" w14:textId="77777777" w:rsidR="009E3F78" w:rsidRDefault="009E3F78" w:rsidP="009E3F78">
      <w:pPr>
        <w:pStyle w:val="Recommendationheading"/>
        <w:rPr>
          <w:noProof/>
        </w:rPr>
      </w:pPr>
      <w:r>
        <w:rPr>
          <w:noProof/>
        </w:rPr>
        <w:t>Question 10.3: The forms of liability</w:t>
      </w:r>
    </w:p>
    <w:p w14:paraId="00F45D39" w14:textId="77777777" w:rsidR="009E3F78" w:rsidRDefault="009E3F78" w:rsidP="009E3F78">
      <w:pPr>
        <w:pStyle w:val="Recommendationnormal"/>
      </w:pPr>
      <w:r>
        <w:t xml:space="preserve">What, if any, concerns or issues are raised by the ADA’s approach to the various forms of liability? </w:t>
      </w:r>
    </w:p>
    <w:p w14:paraId="39A8FDD1" w14:textId="77777777" w:rsidR="009E3F78" w:rsidRDefault="009E3F78" w:rsidP="009E3F78">
      <w:pPr>
        <w:pStyle w:val="Heading2"/>
        <w:tabs>
          <w:tab w:val="left" w:pos="3820"/>
        </w:tabs>
      </w:pPr>
      <w:bookmarkStart w:id="469" w:name="_Toc196738204"/>
      <w:bookmarkStart w:id="470" w:name="_Toc196826961"/>
      <w:r>
        <w:t>Exceptions for employers or agents</w:t>
      </w:r>
      <w:bookmarkEnd w:id="469"/>
      <w:bookmarkEnd w:id="470"/>
      <w:r>
        <w:tab/>
      </w:r>
    </w:p>
    <w:p w14:paraId="231E17EA" w14:textId="77777777" w:rsidR="009E3F78" w:rsidRDefault="009E3F78" w:rsidP="009E3F78">
      <w:pPr>
        <w:pStyle w:val="NormalAutoChapter"/>
      </w:pPr>
      <w:r w:rsidRPr="003761A5">
        <w:rPr>
          <w:iCs/>
          <w:lang w:eastAsia="en-US"/>
        </w:rPr>
        <w:t>The ADA provides two defences for employers or principals.</w:t>
      </w:r>
      <w:r>
        <w:rPr>
          <w:iCs/>
          <w:lang w:eastAsia="en-US"/>
        </w:rPr>
        <w:t xml:space="preserve"> </w:t>
      </w:r>
      <w:r>
        <w:t xml:space="preserve">The onus is on the employer or principal to prove that </w:t>
      </w:r>
      <w:proofErr w:type="gramStart"/>
      <w:r>
        <w:t>they</w:t>
      </w:r>
      <w:proofErr w:type="gramEnd"/>
      <w:r>
        <w:t xml:space="preserve"> either:</w:t>
      </w:r>
    </w:p>
    <w:p w14:paraId="54883AE8" w14:textId="77777777" w:rsidR="009E3F78" w:rsidRPr="00994FEE" w:rsidRDefault="009E3F78" w:rsidP="009E3F78">
      <w:pPr>
        <w:pStyle w:val="Normalbullet"/>
      </w:pPr>
      <w:r>
        <w:t xml:space="preserve">took all reasonable steps to prevent the agent or employee from breaching the ADA, or </w:t>
      </w:r>
    </w:p>
    <w:p w14:paraId="0948BA64" w14:textId="77777777" w:rsidR="009E3F78" w:rsidRDefault="009E3F78" w:rsidP="009E3F78">
      <w:pPr>
        <w:pStyle w:val="Normalbullet"/>
      </w:pPr>
      <w:r>
        <w:t>did not authorise the agent or employee to do the act.</w:t>
      </w:r>
      <w:r>
        <w:rPr>
          <w:rStyle w:val="FootnoteReference"/>
        </w:rPr>
        <w:footnoteReference w:id="1074"/>
      </w:r>
    </w:p>
    <w:p w14:paraId="46233537" w14:textId="77777777" w:rsidR="009E3F78" w:rsidRPr="00913154" w:rsidRDefault="009E3F78" w:rsidP="009E3F78">
      <w:pPr>
        <w:pStyle w:val="NormalAutoChapter"/>
      </w:pPr>
      <w:r>
        <w:rPr>
          <w:iCs/>
          <w:lang w:eastAsia="en-US"/>
        </w:rPr>
        <w:t>The “reasonable steps” exception to vicarious liability is common to all Australian discrimination laws.</w:t>
      </w:r>
      <w:r>
        <w:rPr>
          <w:rStyle w:val="FootnoteReference"/>
          <w:iCs/>
          <w:lang w:eastAsia="en-US"/>
        </w:rPr>
        <w:footnoteReference w:id="1075"/>
      </w:r>
      <w:r>
        <w:rPr>
          <w:iCs/>
          <w:lang w:eastAsia="en-US"/>
        </w:rPr>
        <w:t xml:space="preserve"> This exception </w:t>
      </w:r>
      <w:r w:rsidRPr="00E71BFE">
        <w:rPr>
          <w:iCs/>
          <w:lang w:eastAsia="en-US"/>
        </w:rPr>
        <w:t xml:space="preserve">was </w:t>
      </w:r>
      <w:r>
        <w:rPr>
          <w:iCs/>
          <w:lang w:eastAsia="en-US"/>
        </w:rPr>
        <w:t>added</w:t>
      </w:r>
      <w:r w:rsidRPr="00E71BFE">
        <w:rPr>
          <w:iCs/>
          <w:lang w:eastAsia="en-US"/>
        </w:rPr>
        <w:t xml:space="preserve"> to the </w:t>
      </w:r>
      <w:r w:rsidRPr="00716974">
        <w:rPr>
          <w:iCs/>
          <w:lang w:eastAsia="en-US"/>
        </w:rPr>
        <w:t>ADA</w:t>
      </w:r>
      <w:r w:rsidRPr="00E71BFE">
        <w:rPr>
          <w:iCs/>
          <w:lang w:eastAsia="en-US"/>
        </w:rPr>
        <w:t xml:space="preserve"> at the same time as the prohibition on sexual harassment. </w:t>
      </w:r>
      <w:r>
        <w:rPr>
          <w:iCs/>
          <w:lang w:eastAsia="en-US"/>
        </w:rPr>
        <w:t xml:space="preserve">The purpose was </w:t>
      </w:r>
      <w:r w:rsidRPr="00E71BFE">
        <w:rPr>
          <w:iCs/>
          <w:lang w:eastAsia="en-US"/>
        </w:rPr>
        <w:t xml:space="preserve">to align </w:t>
      </w:r>
      <w:r>
        <w:rPr>
          <w:iCs/>
          <w:lang w:eastAsia="en-US"/>
        </w:rPr>
        <w:t xml:space="preserve">the ADA </w:t>
      </w:r>
      <w:r w:rsidRPr="00E71BFE">
        <w:rPr>
          <w:iCs/>
          <w:lang w:eastAsia="en-US"/>
        </w:rPr>
        <w:t xml:space="preserve">with the </w:t>
      </w:r>
      <w:r w:rsidRPr="00E71BFE">
        <w:rPr>
          <w:i/>
          <w:lang w:eastAsia="en-US"/>
        </w:rPr>
        <w:t xml:space="preserve">Sex </w:t>
      </w:r>
      <w:r w:rsidRPr="00E71BFE">
        <w:rPr>
          <w:i/>
          <w:lang w:eastAsia="en-US"/>
        </w:rPr>
        <w:lastRenderedPageBreak/>
        <w:t>Discrimination Act 1984</w:t>
      </w:r>
      <w:r w:rsidRPr="00E71BFE">
        <w:rPr>
          <w:iCs/>
          <w:lang w:eastAsia="en-US"/>
        </w:rPr>
        <w:t xml:space="preserve"> (Cth), and to encourage employers to adopt sexual harassment grievance handling policies and procedures.</w:t>
      </w:r>
      <w:r>
        <w:rPr>
          <w:rStyle w:val="FootnoteReference"/>
          <w:iCs/>
          <w:lang w:eastAsia="en-US"/>
        </w:rPr>
        <w:footnoteReference w:id="1076"/>
      </w:r>
      <w:r w:rsidRPr="00E71BFE">
        <w:rPr>
          <w:iCs/>
          <w:lang w:eastAsia="en-US"/>
        </w:rPr>
        <w:t xml:space="preserve"> </w:t>
      </w:r>
    </w:p>
    <w:p w14:paraId="4FBD633C" w14:textId="77777777" w:rsidR="009E3F78" w:rsidRPr="0099590F" w:rsidRDefault="009E3F78" w:rsidP="009E3F78">
      <w:pPr>
        <w:pStyle w:val="NormalAutoChapter"/>
      </w:pPr>
      <w:r w:rsidRPr="00E71BFE">
        <w:rPr>
          <w:iCs/>
          <w:lang w:eastAsia="en-US"/>
        </w:rPr>
        <w:t xml:space="preserve">What steps are “reasonable” may depend on the resources and circumstances of the principal or agent. </w:t>
      </w:r>
      <w:r>
        <w:rPr>
          <w:iCs/>
          <w:lang w:eastAsia="en-US"/>
        </w:rPr>
        <w:t>A l</w:t>
      </w:r>
      <w:r w:rsidRPr="00E71BFE">
        <w:rPr>
          <w:iCs/>
          <w:lang w:eastAsia="en-US"/>
        </w:rPr>
        <w:t>arge compan</w:t>
      </w:r>
      <w:r>
        <w:rPr>
          <w:iCs/>
          <w:lang w:eastAsia="en-US"/>
        </w:rPr>
        <w:t xml:space="preserve">y may be required to take more steps </w:t>
      </w:r>
      <w:r w:rsidRPr="00E71BFE">
        <w:rPr>
          <w:iCs/>
          <w:lang w:eastAsia="en-US"/>
        </w:rPr>
        <w:t>than a small company.</w:t>
      </w:r>
      <w:r>
        <w:rPr>
          <w:rStyle w:val="FootnoteReference"/>
          <w:iCs/>
          <w:lang w:eastAsia="en-US"/>
        </w:rPr>
        <w:footnoteReference w:id="1077"/>
      </w:r>
      <w:r w:rsidRPr="00E71BFE">
        <w:rPr>
          <w:iCs/>
          <w:lang w:eastAsia="en-US"/>
        </w:rPr>
        <w:t xml:space="preserve"> </w:t>
      </w:r>
    </w:p>
    <w:p w14:paraId="2F94CFFC" w14:textId="77777777" w:rsidR="009E3F78" w:rsidRPr="0090282A" w:rsidRDefault="009E3F78" w:rsidP="009E3F78">
      <w:pPr>
        <w:pStyle w:val="NormalAutoChapter"/>
      </w:pPr>
      <w:r w:rsidRPr="00D74D17">
        <w:t>The employer or principal must take “all” reasonable steps, not just “some” reasonable steps.</w:t>
      </w:r>
      <w:r>
        <w:rPr>
          <w:rStyle w:val="FootnoteReference"/>
          <w:iCs/>
          <w:lang w:eastAsia="en-US"/>
        </w:rPr>
        <w:footnoteReference w:id="1078"/>
      </w:r>
      <w:r w:rsidRPr="00D74D17">
        <w:t xml:space="preserve"> For instance, the mere existence of a policy or training addressing the unlawful behaviour is not necessarily enough. </w:t>
      </w:r>
      <w:r>
        <w:t>The policy or training must be adequate, implemented and brought to the attention of the employee or agent.</w:t>
      </w:r>
      <w:r>
        <w:rPr>
          <w:rStyle w:val="FootnoteReference"/>
          <w:iCs/>
          <w:lang w:eastAsia="en-US"/>
        </w:rPr>
        <w:footnoteReference w:id="1079"/>
      </w:r>
      <w:r>
        <w:t xml:space="preserve">  </w:t>
      </w:r>
    </w:p>
    <w:p w14:paraId="7AFBD28E" w14:textId="77777777" w:rsidR="009E3F78" w:rsidRDefault="009E3F78" w:rsidP="009E3F78">
      <w:pPr>
        <w:pStyle w:val="NormalAutoChapter"/>
      </w:pPr>
      <w:r>
        <w:t xml:space="preserve">However, the </w:t>
      </w:r>
      <w:r w:rsidRPr="000E7399">
        <w:t>ADA</w:t>
      </w:r>
      <w:r>
        <w:t xml:space="preserve"> is the only discrimination law in Australia that includes an exception relating to unauthorised acts. Whether an act was “authorised” has been interpreted broadly:</w:t>
      </w:r>
    </w:p>
    <w:p w14:paraId="29C993E3" w14:textId="77777777" w:rsidR="009E3F78" w:rsidRDefault="009E3F78" w:rsidP="009E3F78">
      <w:pPr>
        <w:pStyle w:val="Normalbullet"/>
      </w:pPr>
      <w:r>
        <w:t>an act has been considered authorised if the principal or employer was aware it was likely to occur and took no action,</w:t>
      </w:r>
      <w:r>
        <w:rPr>
          <w:rStyle w:val="FootnoteReference"/>
        </w:rPr>
        <w:footnoteReference w:id="1080"/>
      </w:r>
      <w:r>
        <w:t xml:space="preserve"> and</w:t>
      </w:r>
    </w:p>
    <w:p w14:paraId="353B4082" w14:textId="77777777" w:rsidR="009E3F78" w:rsidRPr="00627DC6" w:rsidRDefault="009E3F78" w:rsidP="009E3F78">
      <w:pPr>
        <w:pStyle w:val="Normalbullet"/>
      </w:pPr>
      <w:r>
        <w:t>a principal or employer must prove they did not authorise the conduct “at any time”, not just after the unlawful act occurred.</w:t>
      </w:r>
      <w:r>
        <w:rPr>
          <w:rStyle w:val="FootnoteReference"/>
        </w:rPr>
        <w:footnoteReference w:id="1081"/>
      </w:r>
    </w:p>
    <w:p w14:paraId="3D269B49" w14:textId="77777777" w:rsidR="009E3F78" w:rsidRDefault="009E3F78" w:rsidP="009E3F78">
      <w:pPr>
        <w:pStyle w:val="NormalAutoChapter"/>
      </w:pPr>
      <w:r>
        <w:t xml:space="preserve">In its 1999 review of the ADA, </w:t>
      </w:r>
      <w:r w:rsidRPr="002B58A1">
        <w:rPr>
          <w:rFonts w:eastAsia="Segoe UI"/>
          <w:lang w:val="en-US"/>
        </w:rPr>
        <w:t xml:space="preserve">the NSWLRC </w:t>
      </w:r>
      <w:r>
        <w:rPr>
          <w:rFonts w:eastAsia="Segoe UI"/>
          <w:lang w:val="en-US"/>
        </w:rPr>
        <w:t>recommended that the “</w:t>
      </w:r>
      <w:proofErr w:type="spellStart"/>
      <w:r>
        <w:rPr>
          <w:rFonts w:eastAsia="Segoe UI"/>
          <w:lang w:val="en-US"/>
        </w:rPr>
        <w:t>unauthorised</w:t>
      </w:r>
      <w:proofErr w:type="spellEnd"/>
      <w:r>
        <w:rPr>
          <w:rFonts w:eastAsia="Segoe UI"/>
          <w:lang w:val="en-US"/>
        </w:rPr>
        <w:t xml:space="preserve"> act” exception be removed</w:t>
      </w:r>
      <w:r w:rsidRPr="002B58A1">
        <w:rPr>
          <w:rFonts w:eastAsia="Segoe UI"/>
          <w:i/>
          <w:iCs/>
          <w:lang w:val="en-US"/>
        </w:rPr>
        <w:t>.</w:t>
      </w:r>
      <w:r w:rsidRPr="002B58A1">
        <w:rPr>
          <w:rFonts w:eastAsia="Segoe UI"/>
          <w:lang w:val="en-US"/>
        </w:rPr>
        <w:t xml:space="preserve"> </w:t>
      </w:r>
      <w:r>
        <w:rPr>
          <w:rFonts w:eastAsia="Segoe UI"/>
          <w:lang w:val="en-US"/>
        </w:rPr>
        <w:t xml:space="preserve">It said </w:t>
      </w:r>
      <w:r w:rsidRPr="002B58A1">
        <w:rPr>
          <w:rFonts w:eastAsia="Segoe UI"/>
          <w:lang w:val="en-US"/>
        </w:rPr>
        <w:t xml:space="preserve">that the “reasonable steps” </w:t>
      </w:r>
      <w:r>
        <w:rPr>
          <w:rFonts w:eastAsia="Segoe UI"/>
          <w:lang w:val="en-US"/>
        </w:rPr>
        <w:t>exception</w:t>
      </w:r>
      <w:r w:rsidRPr="002B58A1">
        <w:rPr>
          <w:rFonts w:eastAsia="Segoe UI"/>
          <w:lang w:val="en-US"/>
        </w:rPr>
        <w:t xml:space="preserve"> was sufficient and “achieved a practical approach” to the issue of </w:t>
      </w:r>
      <w:r>
        <w:rPr>
          <w:rFonts w:eastAsia="Segoe UI"/>
          <w:lang w:val="en-US"/>
        </w:rPr>
        <w:t>attributed</w:t>
      </w:r>
      <w:r w:rsidRPr="002B58A1">
        <w:rPr>
          <w:rFonts w:eastAsia="Segoe UI"/>
          <w:lang w:val="en-US"/>
        </w:rPr>
        <w:t xml:space="preserve"> liability.</w:t>
      </w:r>
      <w:r>
        <w:rPr>
          <w:rStyle w:val="FootnoteReference"/>
          <w:rFonts w:eastAsia="Segoe UI"/>
          <w:lang w:val="en-US"/>
        </w:rPr>
        <w:footnoteReference w:id="1082"/>
      </w:r>
    </w:p>
    <w:p w14:paraId="0D20141E" w14:textId="77777777" w:rsidR="009E3F78" w:rsidRDefault="009E3F78" w:rsidP="009E3F78">
      <w:pPr>
        <w:pStyle w:val="Recommendationheading"/>
        <w:rPr>
          <w:noProof/>
        </w:rPr>
      </w:pPr>
      <w:r>
        <w:rPr>
          <w:noProof/>
        </w:rPr>
        <w:t>Question 10.4: The exceptions for liability</w:t>
      </w:r>
    </w:p>
    <w:p w14:paraId="22B07926" w14:textId="77777777" w:rsidR="009E3F78" w:rsidRDefault="009E3F78" w:rsidP="009E3F78">
      <w:pPr>
        <w:pStyle w:val="Recommendationnormal"/>
      </w:pPr>
      <w:r w:rsidRPr="00C06C5D">
        <w:t xml:space="preserve">Should the ADA continue to provide two </w:t>
      </w:r>
      <w:r>
        <w:t>exception</w:t>
      </w:r>
      <w:r w:rsidRPr="00C06C5D">
        <w:t>s to vicarious liability (that is, the “reasonable steps” and “unauthorised acts” exceptions)? Or is a single “reasonable steps” exception sufficient</w:t>
      </w:r>
      <w:r>
        <w:t>?</w:t>
      </w:r>
    </w:p>
    <w:p w14:paraId="67246DC2" w14:textId="77777777" w:rsidR="009E3F78" w:rsidRDefault="009E3F78" w:rsidP="009E3F78">
      <w:pPr>
        <w:pStyle w:val="Heading2"/>
      </w:pPr>
      <w:bookmarkStart w:id="472" w:name="_Toc196738205"/>
      <w:bookmarkStart w:id="473" w:name="_Toc196826962"/>
      <w:r>
        <w:lastRenderedPageBreak/>
        <w:t>Liability and artificial intelligence</w:t>
      </w:r>
      <w:bookmarkEnd w:id="472"/>
      <w:bookmarkEnd w:id="473"/>
    </w:p>
    <w:p w14:paraId="7B93AC33" w14:textId="77777777" w:rsidR="009E3F78" w:rsidRDefault="009E3F78" w:rsidP="009E3F78">
      <w:pPr>
        <w:pStyle w:val="NormalAutoChapter"/>
        <w:rPr>
          <w:lang w:eastAsia="en-US"/>
        </w:rPr>
      </w:pPr>
      <w:r>
        <w:rPr>
          <w:lang w:eastAsia="en-US"/>
        </w:rPr>
        <w:t>Another issue is how liability operates when it comes to automated decision-making by AI. AI is being increasingly used to make decisions that affect people’s rights, including in government services and recruitment processes.</w:t>
      </w:r>
      <w:r>
        <w:rPr>
          <w:rStyle w:val="FootnoteReference"/>
          <w:lang w:eastAsia="en-US"/>
        </w:rPr>
        <w:footnoteReference w:id="1083"/>
      </w:r>
      <w:r>
        <w:rPr>
          <w:lang w:eastAsia="en-US"/>
        </w:rPr>
        <w:t xml:space="preserve"> This can result in discrimination where, for example, the data used to train the computer program was biased.</w:t>
      </w:r>
      <w:r>
        <w:rPr>
          <w:rStyle w:val="FootnoteReference"/>
          <w:lang w:eastAsia="en-US"/>
        </w:rPr>
        <w:footnoteReference w:id="1084"/>
      </w:r>
      <w:r>
        <w:rPr>
          <w:lang w:eastAsia="en-US"/>
        </w:rPr>
        <w:t xml:space="preserve"> </w:t>
      </w:r>
    </w:p>
    <w:p w14:paraId="6B4222FA" w14:textId="77777777" w:rsidR="009E3F78" w:rsidRDefault="009E3F78" w:rsidP="009E3F78">
      <w:pPr>
        <w:pStyle w:val="NormalAutoChapter"/>
        <w:rPr>
          <w:lang w:eastAsia="en-US"/>
        </w:rPr>
      </w:pPr>
      <w:r>
        <w:rPr>
          <w:lang w:eastAsia="en-US"/>
        </w:rPr>
        <w:t xml:space="preserve">Decisions made by AI technologies can have limited human involvement. This could make it difficult to assign liability for any resulting unlawful discrimination. </w:t>
      </w:r>
    </w:p>
    <w:p w14:paraId="6344B3CC" w14:textId="77777777" w:rsidR="009E3F78" w:rsidRDefault="009E3F78" w:rsidP="009E3F78">
      <w:pPr>
        <w:pStyle w:val="NormalAutoChapter"/>
        <w:rPr>
          <w:lang w:eastAsia="en-US"/>
        </w:rPr>
      </w:pPr>
      <w:r>
        <w:rPr>
          <w:lang w:eastAsia="en-US"/>
        </w:rPr>
        <w:t>One option to address this issue could be to amend the ADA to clarify the law on attributing acts to an individual or body corporate. For instance, the ADA could provide that decisions made by a computer program used by an individual or body corporate would be attributed to that individual or body corporate. Similar provisions exist in other Australian laws.</w:t>
      </w:r>
      <w:r>
        <w:rPr>
          <w:rStyle w:val="FootnoteReference"/>
          <w:lang w:eastAsia="en-US"/>
        </w:rPr>
        <w:footnoteReference w:id="1085"/>
      </w:r>
    </w:p>
    <w:p w14:paraId="5DB2975D" w14:textId="77777777" w:rsidR="009E3F78" w:rsidRDefault="009E3F78" w:rsidP="009E3F78">
      <w:pPr>
        <w:pStyle w:val="NormalAutoChapter"/>
        <w:rPr>
          <w:lang w:eastAsia="en-US"/>
        </w:rPr>
      </w:pPr>
      <w:r>
        <w:rPr>
          <w:lang w:eastAsia="en-US"/>
        </w:rPr>
        <w:t>The onus would then be on the individual or body corporate to prove a defence. For example, a defence could include that they took all reasonable steps to prevent the unlawful conduct, such as an audit of the computer program. If the individual or body corporate was found liable, those who developed or sold the product could also be found liable for causing or assisting the employer to discriminate.</w:t>
      </w:r>
      <w:r>
        <w:rPr>
          <w:rStyle w:val="FootnoteReference"/>
          <w:lang w:eastAsia="en-US"/>
        </w:rPr>
        <w:footnoteReference w:id="1086"/>
      </w:r>
      <w:r>
        <w:rPr>
          <w:lang w:eastAsia="en-US"/>
        </w:rPr>
        <w:t xml:space="preserve"> We discuss accessorial liability above.</w:t>
      </w:r>
    </w:p>
    <w:p w14:paraId="2765A719" w14:textId="77777777" w:rsidR="009E3F78" w:rsidRDefault="009E3F78" w:rsidP="009E3F78">
      <w:pPr>
        <w:pStyle w:val="Recommendationheading"/>
      </w:pPr>
      <w:r>
        <w:t>Question 10.5: Liability and artificial intelligence</w:t>
      </w:r>
    </w:p>
    <w:p w14:paraId="01C83B89" w14:textId="77777777" w:rsidR="009E3F78" w:rsidRPr="00DE4B9D" w:rsidRDefault="009E3F78" w:rsidP="009E3F78">
      <w:pPr>
        <w:pStyle w:val="Recommendationnormal"/>
      </w:pPr>
      <w:r>
        <w:t xml:space="preserve">Does the use of AI challenge the ADA’s approach to liability? If so, how could the ADA be amended to address this? </w:t>
      </w:r>
      <w:bookmarkEnd w:id="450"/>
    </w:p>
    <w:p w14:paraId="7BEA4863" w14:textId="77777777" w:rsidR="00DF3FCE" w:rsidRDefault="00DF3FCE" w:rsidP="00F41119">
      <w:pPr>
        <w:sectPr w:rsidR="00DF3FCE" w:rsidSect="00744F61">
          <w:headerReference w:type="even" r:id="rId38"/>
          <w:footnotePr>
            <w:numRestart w:val="eachSect"/>
          </w:footnotePr>
          <w:pgSz w:w="11906" w:h="16838" w:code="9"/>
          <w:pgMar w:top="1701" w:right="1304" w:bottom="1021" w:left="1304" w:header="567" w:footer="567" w:gutter="0"/>
          <w:cols w:space="708"/>
          <w:docGrid w:linePitch="360"/>
        </w:sectPr>
      </w:pPr>
    </w:p>
    <w:p w14:paraId="4BA348AB" w14:textId="77777777" w:rsidR="004A000C" w:rsidRDefault="004A000C" w:rsidP="004A000C">
      <w:pPr>
        <w:pStyle w:val="ChapterHeading"/>
      </w:pPr>
      <w:bookmarkStart w:id="474" w:name="_Toc196826963"/>
      <w:bookmarkStart w:id="475" w:name="_Hlk175928090"/>
      <w:bookmarkStart w:id="476" w:name="_Hlk185330614"/>
      <w:r>
        <w:lastRenderedPageBreak/>
        <w:t>Promoting substantive equality</w:t>
      </w:r>
      <w:bookmarkEnd w:id="474"/>
    </w:p>
    <w:p w14:paraId="5227A661" w14:textId="77777777" w:rsidR="004A000C" w:rsidRDefault="004A000C" w:rsidP="004A000C">
      <w:pPr>
        <w:pStyle w:val="InBriefHeading"/>
        <w:spacing w:after="0"/>
      </w:pPr>
      <w:r>
        <w:t>In brief</w:t>
      </w:r>
    </w:p>
    <w:p w14:paraId="5626C468" w14:textId="77777777" w:rsidR="004A000C" w:rsidRPr="00D4286B" w:rsidRDefault="004A000C" w:rsidP="004A000C">
      <w:pPr>
        <w:pStyle w:val="InBriefText"/>
        <w:spacing w:before="0"/>
      </w:pPr>
      <w:r>
        <w:t xml:space="preserve">We consider a range of mechanisms to promote substantive equality: adjustments, special measures and positive duties to prevent discrimination and other unlawful conduct. We invite views on whether (and if so, how) these mechanisms should be part of the </w:t>
      </w:r>
      <w:r w:rsidRPr="00FF05F9">
        <w:rPr>
          <w:i/>
          <w:iCs/>
        </w:rPr>
        <w:t xml:space="preserve">Anti-Discrimination Act 1977 </w:t>
      </w:r>
      <w:r w:rsidRPr="00FF05F9">
        <w:t>(NSW).</w:t>
      </w:r>
    </w:p>
    <w:p w14:paraId="2849BC93" w14:textId="5F1ABF90" w:rsidR="004A000C" w:rsidRPr="00B55200" w:rsidRDefault="004A000C" w:rsidP="004A000C">
      <w:pPr>
        <w:pStyle w:val="TOC2"/>
        <w:rPr>
          <w:rFonts w:eastAsiaTheme="minorEastAsia" w:cstheme="minorBidi"/>
          <w:b w:val="0"/>
          <w:color w:val="auto"/>
          <w:kern w:val="2"/>
          <w:sz w:val="24"/>
          <w:u w:val="none"/>
          <w:lang w:eastAsia="en-AU"/>
          <w14:ligatures w14:val="standardContextual"/>
        </w:rPr>
      </w:pPr>
      <w:r>
        <w:fldChar w:fldCharType="begin"/>
      </w:r>
      <w:r>
        <w:instrText xml:space="preserve"> TOC \h \z \t "Heading 1,2,Heading 2,3,Heading - Major,1,Heading default,1,Title page 1,1" </w:instrText>
      </w:r>
      <w:r>
        <w:fldChar w:fldCharType="separate"/>
      </w:r>
      <w:hyperlink w:anchor="_Toc196748902" w:history="1">
        <w:r w:rsidRPr="00B55200">
          <w:rPr>
            <w:rStyle w:val="Hyperlink"/>
            <w:rFonts w:ascii="Public Sans" w:hAnsi="Public Sans"/>
          </w:rPr>
          <w:t>Adjustments</w:t>
        </w:r>
        <w:r w:rsidRPr="00B55200">
          <w:rPr>
            <w:webHidden/>
          </w:rPr>
          <w:tab/>
        </w:r>
        <w:r w:rsidRPr="00B55200">
          <w:rPr>
            <w:webHidden/>
          </w:rPr>
          <w:fldChar w:fldCharType="begin"/>
        </w:r>
        <w:r w:rsidRPr="00B55200">
          <w:rPr>
            <w:webHidden/>
          </w:rPr>
          <w:instrText xml:space="preserve"> PAGEREF _Toc196748902 \h </w:instrText>
        </w:r>
        <w:r w:rsidRPr="00B55200">
          <w:rPr>
            <w:webHidden/>
          </w:rPr>
        </w:r>
        <w:r w:rsidRPr="00B55200">
          <w:rPr>
            <w:webHidden/>
          </w:rPr>
          <w:fldChar w:fldCharType="separate"/>
        </w:r>
        <w:r w:rsidR="00F44BFC">
          <w:rPr>
            <w:webHidden/>
          </w:rPr>
          <w:t>224</w:t>
        </w:r>
        <w:r w:rsidRPr="00B55200">
          <w:rPr>
            <w:webHidden/>
          </w:rPr>
          <w:fldChar w:fldCharType="end"/>
        </w:r>
      </w:hyperlink>
    </w:p>
    <w:p w14:paraId="2FD4115F" w14:textId="02DF6952" w:rsidR="004A000C" w:rsidRPr="00B55200" w:rsidRDefault="004A000C" w:rsidP="004A000C">
      <w:pPr>
        <w:pStyle w:val="TOC3"/>
        <w:rPr>
          <w:rFonts w:eastAsiaTheme="minorEastAsia" w:cstheme="minorBidi"/>
          <w:color w:val="auto"/>
          <w:kern w:val="2"/>
          <w:sz w:val="24"/>
          <w:u w:val="none"/>
          <w:lang w:eastAsia="en-AU"/>
          <w14:ligatures w14:val="standardContextual"/>
        </w:rPr>
      </w:pPr>
      <w:hyperlink w:anchor="_Toc196748903" w:history="1">
        <w:r w:rsidRPr="00B55200">
          <w:rPr>
            <w:rStyle w:val="Hyperlink"/>
            <w:rFonts w:ascii="Public Sans" w:hAnsi="Public Sans"/>
          </w:rPr>
          <w:t>The current model in the ADA</w:t>
        </w:r>
        <w:r w:rsidRPr="00B55200">
          <w:rPr>
            <w:webHidden/>
          </w:rPr>
          <w:tab/>
        </w:r>
        <w:r w:rsidRPr="00B55200">
          <w:rPr>
            <w:webHidden/>
          </w:rPr>
          <w:fldChar w:fldCharType="begin"/>
        </w:r>
        <w:r w:rsidRPr="00B55200">
          <w:rPr>
            <w:webHidden/>
          </w:rPr>
          <w:instrText xml:space="preserve"> PAGEREF _Toc196748903 \h </w:instrText>
        </w:r>
        <w:r w:rsidRPr="00B55200">
          <w:rPr>
            <w:webHidden/>
          </w:rPr>
        </w:r>
        <w:r w:rsidRPr="00B55200">
          <w:rPr>
            <w:webHidden/>
          </w:rPr>
          <w:fldChar w:fldCharType="separate"/>
        </w:r>
        <w:r w:rsidR="00F44BFC">
          <w:rPr>
            <w:webHidden/>
          </w:rPr>
          <w:t>224</w:t>
        </w:r>
        <w:r w:rsidRPr="00B55200">
          <w:rPr>
            <w:webHidden/>
          </w:rPr>
          <w:fldChar w:fldCharType="end"/>
        </w:r>
      </w:hyperlink>
    </w:p>
    <w:p w14:paraId="75AB254D" w14:textId="32AA10BD" w:rsidR="004A000C" w:rsidRPr="00B55200" w:rsidRDefault="004A000C" w:rsidP="004A000C">
      <w:pPr>
        <w:pStyle w:val="TOC3"/>
        <w:rPr>
          <w:rFonts w:eastAsiaTheme="minorEastAsia" w:cstheme="minorBidi"/>
          <w:color w:val="auto"/>
          <w:kern w:val="2"/>
          <w:sz w:val="24"/>
          <w:u w:val="none"/>
          <w:lang w:eastAsia="en-AU"/>
          <w14:ligatures w14:val="standardContextual"/>
        </w:rPr>
      </w:pPr>
      <w:hyperlink w:anchor="_Toc196748904" w:history="1">
        <w:r w:rsidRPr="00B55200">
          <w:rPr>
            <w:rStyle w:val="Hyperlink"/>
            <w:rFonts w:ascii="Public Sans" w:hAnsi="Public Sans"/>
          </w:rPr>
          <w:t>Models for a new requirement to provide adjustments</w:t>
        </w:r>
        <w:r w:rsidRPr="00B55200">
          <w:rPr>
            <w:webHidden/>
          </w:rPr>
          <w:tab/>
        </w:r>
        <w:r w:rsidRPr="00B55200">
          <w:rPr>
            <w:webHidden/>
          </w:rPr>
          <w:fldChar w:fldCharType="begin"/>
        </w:r>
        <w:r w:rsidRPr="00B55200">
          <w:rPr>
            <w:webHidden/>
          </w:rPr>
          <w:instrText xml:space="preserve"> PAGEREF _Toc196748904 \h </w:instrText>
        </w:r>
        <w:r w:rsidRPr="00B55200">
          <w:rPr>
            <w:webHidden/>
          </w:rPr>
        </w:r>
        <w:r w:rsidRPr="00B55200">
          <w:rPr>
            <w:webHidden/>
          </w:rPr>
          <w:fldChar w:fldCharType="separate"/>
        </w:r>
        <w:r w:rsidR="00F44BFC">
          <w:rPr>
            <w:webHidden/>
          </w:rPr>
          <w:t>225</w:t>
        </w:r>
        <w:r w:rsidRPr="00B55200">
          <w:rPr>
            <w:webHidden/>
          </w:rPr>
          <w:fldChar w:fldCharType="end"/>
        </w:r>
      </w:hyperlink>
    </w:p>
    <w:p w14:paraId="41C2F93A" w14:textId="5A7DB179" w:rsidR="004A000C" w:rsidRPr="00B55200" w:rsidRDefault="004A000C" w:rsidP="004A000C">
      <w:pPr>
        <w:pStyle w:val="TOC3"/>
        <w:rPr>
          <w:rFonts w:eastAsiaTheme="minorEastAsia" w:cstheme="minorBidi"/>
          <w:color w:val="auto"/>
          <w:kern w:val="2"/>
          <w:sz w:val="24"/>
          <w:u w:val="none"/>
          <w:lang w:eastAsia="en-AU"/>
          <w14:ligatures w14:val="standardContextual"/>
        </w:rPr>
      </w:pPr>
      <w:hyperlink w:anchor="_Toc196748905" w:history="1">
        <w:r w:rsidRPr="00B55200">
          <w:rPr>
            <w:rStyle w:val="Hyperlink"/>
            <w:rFonts w:ascii="Public Sans" w:hAnsi="Public Sans"/>
          </w:rPr>
          <w:t>Attributes that could be covered</w:t>
        </w:r>
        <w:r w:rsidRPr="00B55200">
          <w:rPr>
            <w:webHidden/>
          </w:rPr>
          <w:tab/>
        </w:r>
        <w:r w:rsidRPr="00B55200">
          <w:rPr>
            <w:webHidden/>
          </w:rPr>
          <w:fldChar w:fldCharType="begin"/>
        </w:r>
        <w:r w:rsidRPr="00B55200">
          <w:rPr>
            <w:webHidden/>
          </w:rPr>
          <w:instrText xml:space="preserve"> PAGEREF _Toc196748905 \h </w:instrText>
        </w:r>
        <w:r w:rsidRPr="00B55200">
          <w:rPr>
            <w:webHidden/>
          </w:rPr>
        </w:r>
        <w:r w:rsidRPr="00B55200">
          <w:rPr>
            <w:webHidden/>
          </w:rPr>
          <w:fldChar w:fldCharType="separate"/>
        </w:r>
        <w:r w:rsidR="00F44BFC">
          <w:rPr>
            <w:webHidden/>
          </w:rPr>
          <w:t>227</w:t>
        </w:r>
        <w:r w:rsidRPr="00B55200">
          <w:rPr>
            <w:webHidden/>
          </w:rPr>
          <w:fldChar w:fldCharType="end"/>
        </w:r>
      </w:hyperlink>
    </w:p>
    <w:p w14:paraId="6FE00274" w14:textId="784D51C9" w:rsidR="004A000C" w:rsidRPr="00B55200" w:rsidRDefault="004A000C" w:rsidP="004A000C">
      <w:pPr>
        <w:pStyle w:val="TOC2"/>
        <w:rPr>
          <w:rFonts w:eastAsiaTheme="minorEastAsia" w:cstheme="minorBidi"/>
          <w:b w:val="0"/>
          <w:color w:val="auto"/>
          <w:kern w:val="2"/>
          <w:sz w:val="24"/>
          <w:u w:val="none"/>
          <w:lang w:eastAsia="en-AU"/>
          <w14:ligatures w14:val="standardContextual"/>
        </w:rPr>
      </w:pPr>
      <w:hyperlink w:anchor="_Toc196748906" w:history="1">
        <w:r w:rsidRPr="00B55200">
          <w:rPr>
            <w:rStyle w:val="Hyperlink"/>
            <w:rFonts w:ascii="Public Sans" w:hAnsi="Public Sans"/>
          </w:rPr>
          <w:t>Special measures</w:t>
        </w:r>
        <w:r w:rsidRPr="00B55200">
          <w:rPr>
            <w:webHidden/>
          </w:rPr>
          <w:tab/>
        </w:r>
        <w:r w:rsidRPr="00B55200">
          <w:rPr>
            <w:webHidden/>
          </w:rPr>
          <w:fldChar w:fldCharType="begin"/>
        </w:r>
        <w:r w:rsidRPr="00B55200">
          <w:rPr>
            <w:webHidden/>
          </w:rPr>
          <w:instrText xml:space="preserve"> PAGEREF _Toc196748906 \h </w:instrText>
        </w:r>
        <w:r w:rsidRPr="00B55200">
          <w:rPr>
            <w:webHidden/>
          </w:rPr>
        </w:r>
        <w:r w:rsidRPr="00B55200">
          <w:rPr>
            <w:webHidden/>
          </w:rPr>
          <w:fldChar w:fldCharType="separate"/>
        </w:r>
        <w:r w:rsidR="00F44BFC">
          <w:rPr>
            <w:webHidden/>
          </w:rPr>
          <w:t>229</w:t>
        </w:r>
        <w:r w:rsidRPr="00B55200">
          <w:rPr>
            <w:webHidden/>
          </w:rPr>
          <w:fldChar w:fldCharType="end"/>
        </w:r>
      </w:hyperlink>
    </w:p>
    <w:p w14:paraId="7FCB1AEA" w14:textId="5563007D" w:rsidR="004A000C" w:rsidRPr="00B55200" w:rsidRDefault="004A000C" w:rsidP="004A000C">
      <w:pPr>
        <w:pStyle w:val="TOC3"/>
        <w:rPr>
          <w:rFonts w:eastAsiaTheme="minorEastAsia" w:cstheme="minorBidi"/>
          <w:color w:val="auto"/>
          <w:kern w:val="2"/>
          <w:sz w:val="24"/>
          <w:u w:val="none"/>
          <w:lang w:eastAsia="en-AU"/>
          <w14:ligatures w14:val="standardContextual"/>
        </w:rPr>
      </w:pPr>
      <w:hyperlink w:anchor="_Toc196748907" w:history="1">
        <w:r w:rsidRPr="00B55200">
          <w:rPr>
            <w:rStyle w:val="Hyperlink"/>
            <w:rFonts w:ascii="Public Sans" w:hAnsi="Public Sans"/>
          </w:rPr>
          <w:t>The ADA’s approach</w:t>
        </w:r>
        <w:r w:rsidRPr="00B55200">
          <w:rPr>
            <w:webHidden/>
          </w:rPr>
          <w:tab/>
        </w:r>
        <w:r w:rsidRPr="00B55200">
          <w:rPr>
            <w:webHidden/>
          </w:rPr>
          <w:fldChar w:fldCharType="begin"/>
        </w:r>
        <w:r w:rsidRPr="00B55200">
          <w:rPr>
            <w:webHidden/>
          </w:rPr>
          <w:instrText xml:space="preserve"> PAGEREF _Toc196748907 \h </w:instrText>
        </w:r>
        <w:r w:rsidRPr="00B55200">
          <w:rPr>
            <w:webHidden/>
          </w:rPr>
        </w:r>
        <w:r w:rsidRPr="00B55200">
          <w:rPr>
            <w:webHidden/>
          </w:rPr>
          <w:fldChar w:fldCharType="separate"/>
        </w:r>
        <w:r w:rsidR="00F44BFC">
          <w:rPr>
            <w:webHidden/>
          </w:rPr>
          <w:t>229</w:t>
        </w:r>
        <w:r w:rsidRPr="00B55200">
          <w:rPr>
            <w:webHidden/>
          </w:rPr>
          <w:fldChar w:fldCharType="end"/>
        </w:r>
      </w:hyperlink>
    </w:p>
    <w:p w14:paraId="2DD49019" w14:textId="4A8A85D7" w:rsidR="004A000C" w:rsidRPr="00B55200" w:rsidRDefault="004A000C" w:rsidP="004A000C">
      <w:pPr>
        <w:pStyle w:val="TOC3"/>
        <w:rPr>
          <w:rFonts w:eastAsiaTheme="minorEastAsia" w:cstheme="minorBidi"/>
          <w:color w:val="auto"/>
          <w:kern w:val="2"/>
          <w:sz w:val="24"/>
          <w:u w:val="none"/>
          <w:lang w:eastAsia="en-AU"/>
          <w14:ligatures w14:val="standardContextual"/>
        </w:rPr>
      </w:pPr>
      <w:hyperlink w:anchor="_Toc196748908" w:history="1">
        <w:r w:rsidRPr="00B55200">
          <w:rPr>
            <w:rStyle w:val="Hyperlink"/>
            <w:rFonts w:ascii="Public Sans" w:hAnsi="Public Sans"/>
          </w:rPr>
          <w:t>Options for a potential new “special measures” section</w:t>
        </w:r>
        <w:r w:rsidRPr="00B55200">
          <w:rPr>
            <w:webHidden/>
          </w:rPr>
          <w:tab/>
        </w:r>
        <w:r w:rsidRPr="00B55200">
          <w:rPr>
            <w:webHidden/>
          </w:rPr>
          <w:fldChar w:fldCharType="begin"/>
        </w:r>
        <w:r w:rsidRPr="00B55200">
          <w:rPr>
            <w:webHidden/>
          </w:rPr>
          <w:instrText xml:space="preserve"> PAGEREF _Toc196748908 \h </w:instrText>
        </w:r>
        <w:r w:rsidRPr="00B55200">
          <w:rPr>
            <w:webHidden/>
          </w:rPr>
        </w:r>
        <w:r w:rsidRPr="00B55200">
          <w:rPr>
            <w:webHidden/>
          </w:rPr>
          <w:fldChar w:fldCharType="separate"/>
        </w:r>
        <w:r w:rsidR="00F44BFC">
          <w:rPr>
            <w:webHidden/>
          </w:rPr>
          <w:t>232</w:t>
        </w:r>
        <w:r w:rsidRPr="00B55200">
          <w:rPr>
            <w:webHidden/>
          </w:rPr>
          <w:fldChar w:fldCharType="end"/>
        </w:r>
      </w:hyperlink>
    </w:p>
    <w:p w14:paraId="4EA8EA1F" w14:textId="31238E6C" w:rsidR="004A000C" w:rsidRPr="00B55200" w:rsidRDefault="004A000C" w:rsidP="004A000C">
      <w:pPr>
        <w:pStyle w:val="TOC3"/>
        <w:rPr>
          <w:rFonts w:eastAsiaTheme="minorEastAsia" w:cstheme="minorBidi"/>
          <w:color w:val="auto"/>
          <w:kern w:val="2"/>
          <w:sz w:val="24"/>
          <w:u w:val="none"/>
          <w:lang w:eastAsia="en-AU"/>
          <w14:ligatures w14:val="standardContextual"/>
        </w:rPr>
      </w:pPr>
      <w:hyperlink w:anchor="_Toc196748909" w:history="1">
        <w:r w:rsidRPr="00B55200">
          <w:rPr>
            <w:rStyle w:val="Hyperlink"/>
            <w:rFonts w:ascii="Public Sans" w:hAnsi="Public Sans"/>
          </w:rPr>
          <w:t>The relationship with exemptions and certifications</w:t>
        </w:r>
        <w:r w:rsidRPr="00B55200">
          <w:rPr>
            <w:webHidden/>
          </w:rPr>
          <w:tab/>
        </w:r>
        <w:r w:rsidRPr="00B55200">
          <w:rPr>
            <w:webHidden/>
          </w:rPr>
          <w:fldChar w:fldCharType="begin"/>
        </w:r>
        <w:r w:rsidRPr="00B55200">
          <w:rPr>
            <w:webHidden/>
          </w:rPr>
          <w:instrText xml:space="preserve"> PAGEREF _Toc196748909 \h </w:instrText>
        </w:r>
        <w:r w:rsidRPr="00B55200">
          <w:rPr>
            <w:webHidden/>
          </w:rPr>
        </w:r>
        <w:r w:rsidRPr="00B55200">
          <w:rPr>
            <w:webHidden/>
          </w:rPr>
          <w:fldChar w:fldCharType="separate"/>
        </w:r>
        <w:r w:rsidR="00F44BFC">
          <w:rPr>
            <w:webHidden/>
          </w:rPr>
          <w:t>234</w:t>
        </w:r>
        <w:r w:rsidRPr="00B55200">
          <w:rPr>
            <w:webHidden/>
          </w:rPr>
          <w:fldChar w:fldCharType="end"/>
        </w:r>
      </w:hyperlink>
    </w:p>
    <w:p w14:paraId="412A7556" w14:textId="0AD20C28" w:rsidR="004A000C" w:rsidRPr="00B55200" w:rsidRDefault="004A000C" w:rsidP="004A000C">
      <w:pPr>
        <w:pStyle w:val="TOC2"/>
        <w:rPr>
          <w:rFonts w:eastAsiaTheme="minorEastAsia" w:cstheme="minorBidi"/>
          <w:b w:val="0"/>
          <w:color w:val="auto"/>
          <w:kern w:val="2"/>
          <w:sz w:val="24"/>
          <w:u w:val="none"/>
          <w:lang w:eastAsia="en-AU"/>
          <w14:ligatures w14:val="standardContextual"/>
        </w:rPr>
      </w:pPr>
      <w:hyperlink w:anchor="_Toc196748910" w:history="1">
        <w:r w:rsidRPr="00B55200">
          <w:rPr>
            <w:rStyle w:val="Hyperlink"/>
            <w:rFonts w:ascii="Public Sans" w:hAnsi="Public Sans"/>
          </w:rPr>
          <w:t>A duty to prevent or eliminate unlawful conduct</w:t>
        </w:r>
        <w:r w:rsidRPr="00B55200">
          <w:rPr>
            <w:webHidden/>
          </w:rPr>
          <w:tab/>
        </w:r>
        <w:r w:rsidRPr="00B55200">
          <w:rPr>
            <w:webHidden/>
          </w:rPr>
          <w:fldChar w:fldCharType="begin"/>
        </w:r>
        <w:r w:rsidRPr="00B55200">
          <w:rPr>
            <w:webHidden/>
          </w:rPr>
          <w:instrText xml:space="preserve"> PAGEREF _Toc196748910 \h </w:instrText>
        </w:r>
        <w:r w:rsidRPr="00B55200">
          <w:rPr>
            <w:webHidden/>
          </w:rPr>
        </w:r>
        <w:r w:rsidRPr="00B55200">
          <w:rPr>
            <w:webHidden/>
          </w:rPr>
          <w:fldChar w:fldCharType="separate"/>
        </w:r>
        <w:r w:rsidR="00F44BFC">
          <w:rPr>
            <w:webHidden/>
          </w:rPr>
          <w:t>235</w:t>
        </w:r>
        <w:r w:rsidRPr="00B55200">
          <w:rPr>
            <w:webHidden/>
          </w:rPr>
          <w:fldChar w:fldCharType="end"/>
        </w:r>
      </w:hyperlink>
    </w:p>
    <w:p w14:paraId="14E4486D" w14:textId="3BEEA134" w:rsidR="004A000C" w:rsidRPr="00B55200" w:rsidRDefault="004A000C" w:rsidP="004A000C">
      <w:pPr>
        <w:pStyle w:val="TOC3"/>
        <w:rPr>
          <w:rFonts w:eastAsiaTheme="minorEastAsia" w:cstheme="minorBidi"/>
          <w:color w:val="auto"/>
          <w:kern w:val="2"/>
          <w:sz w:val="24"/>
          <w:u w:val="none"/>
          <w:lang w:eastAsia="en-AU"/>
          <w14:ligatures w14:val="standardContextual"/>
        </w:rPr>
      </w:pPr>
      <w:hyperlink w:anchor="_Toc196748911" w:history="1">
        <w:r w:rsidRPr="00B55200">
          <w:rPr>
            <w:rStyle w:val="Hyperlink"/>
            <w:rFonts w:ascii="Public Sans" w:hAnsi="Public Sans"/>
          </w:rPr>
          <w:t>Arguments for and against a positive duty</w:t>
        </w:r>
        <w:r w:rsidRPr="00B55200">
          <w:rPr>
            <w:webHidden/>
          </w:rPr>
          <w:tab/>
        </w:r>
        <w:r w:rsidRPr="00B55200">
          <w:rPr>
            <w:webHidden/>
          </w:rPr>
          <w:fldChar w:fldCharType="begin"/>
        </w:r>
        <w:r w:rsidRPr="00B55200">
          <w:rPr>
            <w:webHidden/>
          </w:rPr>
          <w:instrText xml:space="preserve"> PAGEREF _Toc196748911 \h </w:instrText>
        </w:r>
        <w:r w:rsidRPr="00B55200">
          <w:rPr>
            <w:webHidden/>
          </w:rPr>
        </w:r>
        <w:r w:rsidRPr="00B55200">
          <w:rPr>
            <w:webHidden/>
          </w:rPr>
          <w:fldChar w:fldCharType="separate"/>
        </w:r>
        <w:r w:rsidR="00F44BFC">
          <w:rPr>
            <w:webHidden/>
          </w:rPr>
          <w:t>235</w:t>
        </w:r>
        <w:r w:rsidRPr="00B55200">
          <w:rPr>
            <w:webHidden/>
          </w:rPr>
          <w:fldChar w:fldCharType="end"/>
        </w:r>
      </w:hyperlink>
    </w:p>
    <w:p w14:paraId="14BB2B75" w14:textId="5A0F0D90" w:rsidR="004A000C" w:rsidRPr="00B55200" w:rsidRDefault="004A000C" w:rsidP="004A000C">
      <w:pPr>
        <w:pStyle w:val="TOC3"/>
        <w:rPr>
          <w:rFonts w:eastAsiaTheme="minorEastAsia" w:cstheme="minorBidi"/>
          <w:color w:val="auto"/>
          <w:kern w:val="2"/>
          <w:sz w:val="24"/>
          <w:u w:val="none"/>
          <w:lang w:eastAsia="en-AU"/>
          <w14:ligatures w14:val="standardContextual"/>
        </w:rPr>
      </w:pPr>
      <w:hyperlink w:anchor="_Toc196748912" w:history="1">
        <w:r w:rsidRPr="00B55200">
          <w:rPr>
            <w:rStyle w:val="Hyperlink"/>
            <w:rFonts w:ascii="Public Sans" w:hAnsi="Public Sans"/>
          </w:rPr>
          <w:t>Options for a positive duty</w:t>
        </w:r>
        <w:r w:rsidRPr="00B55200">
          <w:rPr>
            <w:webHidden/>
          </w:rPr>
          <w:tab/>
        </w:r>
        <w:r w:rsidRPr="00B55200">
          <w:rPr>
            <w:webHidden/>
          </w:rPr>
          <w:fldChar w:fldCharType="begin"/>
        </w:r>
        <w:r w:rsidRPr="00B55200">
          <w:rPr>
            <w:webHidden/>
          </w:rPr>
          <w:instrText xml:space="preserve"> PAGEREF _Toc196748912 \h </w:instrText>
        </w:r>
        <w:r w:rsidRPr="00B55200">
          <w:rPr>
            <w:webHidden/>
          </w:rPr>
        </w:r>
        <w:r w:rsidRPr="00B55200">
          <w:rPr>
            <w:webHidden/>
          </w:rPr>
          <w:fldChar w:fldCharType="separate"/>
        </w:r>
        <w:r w:rsidR="00F44BFC">
          <w:rPr>
            <w:webHidden/>
          </w:rPr>
          <w:t>237</w:t>
        </w:r>
        <w:r w:rsidRPr="00B55200">
          <w:rPr>
            <w:webHidden/>
          </w:rPr>
          <w:fldChar w:fldCharType="end"/>
        </w:r>
      </w:hyperlink>
    </w:p>
    <w:p w14:paraId="6B7EE145" w14:textId="1C77851F" w:rsidR="004A000C" w:rsidRPr="00B55200" w:rsidRDefault="004A000C" w:rsidP="004A000C">
      <w:pPr>
        <w:pStyle w:val="TOC3"/>
        <w:rPr>
          <w:rFonts w:eastAsiaTheme="minorEastAsia" w:cstheme="minorBidi"/>
          <w:color w:val="auto"/>
          <w:kern w:val="2"/>
          <w:sz w:val="24"/>
          <w:u w:val="none"/>
          <w:lang w:eastAsia="en-AU"/>
          <w14:ligatures w14:val="standardContextual"/>
        </w:rPr>
      </w:pPr>
      <w:hyperlink w:anchor="_Toc196748913" w:history="1">
        <w:r w:rsidRPr="00B55200">
          <w:rPr>
            <w:rStyle w:val="Hyperlink"/>
            <w:rFonts w:ascii="Public Sans" w:hAnsi="Public Sans"/>
          </w:rPr>
          <w:t>A duty to promote equality</w:t>
        </w:r>
        <w:r w:rsidRPr="00B55200">
          <w:rPr>
            <w:webHidden/>
          </w:rPr>
          <w:tab/>
        </w:r>
        <w:r w:rsidRPr="00B55200">
          <w:rPr>
            <w:webHidden/>
          </w:rPr>
          <w:fldChar w:fldCharType="begin"/>
        </w:r>
        <w:r w:rsidRPr="00B55200">
          <w:rPr>
            <w:webHidden/>
          </w:rPr>
          <w:instrText xml:space="preserve"> PAGEREF _Toc196748913 \h </w:instrText>
        </w:r>
        <w:r w:rsidRPr="00B55200">
          <w:rPr>
            <w:webHidden/>
          </w:rPr>
        </w:r>
        <w:r w:rsidRPr="00B55200">
          <w:rPr>
            <w:webHidden/>
          </w:rPr>
          <w:fldChar w:fldCharType="separate"/>
        </w:r>
        <w:r w:rsidR="00F44BFC">
          <w:rPr>
            <w:webHidden/>
          </w:rPr>
          <w:t>240</w:t>
        </w:r>
        <w:r w:rsidRPr="00B55200">
          <w:rPr>
            <w:webHidden/>
          </w:rPr>
          <w:fldChar w:fldCharType="end"/>
        </w:r>
      </w:hyperlink>
    </w:p>
    <w:p w14:paraId="7D9515FD" w14:textId="77777777" w:rsidR="004A000C" w:rsidRDefault="004A000C" w:rsidP="004A000C">
      <w:pPr>
        <w:pStyle w:val="TOC4"/>
      </w:pPr>
      <w:r>
        <w:fldChar w:fldCharType="end"/>
      </w:r>
    </w:p>
    <w:p w14:paraId="5B7989EA" w14:textId="77777777" w:rsidR="004A000C" w:rsidRDefault="004A000C" w:rsidP="004A000C">
      <w:pPr>
        <w:pStyle w:val="NormalAutoChapter"/>
        <w:rPr>
          <w:lang w:eastAsia="en-US"/>
        </w:rPr>
      </w:pPr>
      <w:r>
        <w:rPr>
          <w:lang w:eastAsia="en-US"/>
        </w:rPr>
        <w:t xml:space="preserve">Around Australia and internationally, discrimination laws increasingly look beyond achieving formal equality, which involves treating everyone the same way. There is a focus on what more could be done to achieve substantive equality. </w:t>
      </w:r>
    </w:p>
    <w:p w14:paraId="60ACAB59" w14:textId="77777777" w:rsidR="004A000C" w:rsidRDefault="004A000C" w:rsidP="004A000C">
      <w:pPr>
        <w:pStyle w:val="NormalAutoChapter"/>
        <w:rPr>
          <w:lang w:eastAsia="en-US"/>
        </w:rPr>
      </w:pPr>
      <w:r>
        <w:rPr>
          <w:lang w:eastAsia="en-US"/>
        </w:rPr>
        <w:t xml:space="preserve">As we discuss in </w:t>
      </w:r>
      <w:r w:rsidRPr="00040097">
        <w:rPr>
          <w:lang w:eastAsia="en-US"/>
        </w:rPr>
        <w:t>chapter 2,</w:t>
      </w:r>
      <w:r w:rsidRPr="00D478C2">
        <w:rPr>
          <w:lang w:eastAsia="en-US"/>
        </w:rPr>
        <w:t xml:space="preserve"> this</w:t>
      </w:r>
      <w:r>
        <w:rPr>
          <w:lang w:eastAsia="en-US"/>
        </w:rPr>
        <w:t xml:space="preserve"> requires an approach which extends beyond comparing the treatment of individuals, and addresses the adverse impact of broader practices, cultural norms, customs and attitudes, and unconscious bias. Addressing these barriers to equality means treating people or groups in a way that achieves equal outcomes or access to equal opportunities.</w:t>
      </w:r>
      <w:r w:rsidDel="0083363C">
        <w:rPr>
          <w:rStyle w:val="FootnoteReference"/>
          <w:lang w:eastAsia="en-US"/>
        </w:rPr>
        <w:t xml:space="preserve"> </w:t>
      </w:r>
    </w:p>
    <w:p w14:paraId="5B367143" w14:textId="77777777" w:rsidR="004A000C" w:rsidRDefault="004A000C" w:rsidP="004A000C">
      <w:pPr>
        <w:pStyle w:val="NormalAutoChapter"/>
        <w:rPr>
          <w:lang w:eastAsia="en-US"/>
        </w:rPr>
      </w:pPr>
      <w:r>
        <w:rPr>
          <w:lang w:eastAsia="en-US"/>
        </w:rPr>
        <w:t xml:space="preserve">Currently, how the </w:t>
      </w:r>
      <w:r w:rsidRPr="00A60B0C">
        <w:rPr>
          <w:i/>
          <w:iCs/>
          <w:lang w:eastAsia="en-US"/>
        </w:rPr>
        <w:t>Anti-Discrimination Act 1977</w:t>
      </w:r>
      <w:r>
        <w:rPr>
          <w:lang w:eastAsia="en-US"/>
        </w:rPr>
        <w:t xml:space="preserve"> (NSW) (ADA) seeks to address substantive equality is limited to prohibiting indirect discrimination (we discuss this in chapter </w:t>
      </w:r>
      <w:r w:rsidRPr="00040097">
        <w:rPr>
          <w:lang w:eastAsia="en-US"/>
        </w:rPr>
        <w:t>3). However</w:t>
      </w:r>
      <w:r>
        <w:rPr>
          <w:lang w:eastAsia="en-US"/>
        </w:rPr>
        <w:t>, other mechanisms to promote substantive equality can be found in discrimination laws across Australia. These include:</w:t>
      </w:r>
    </w:p>
    <w:p w14:paraId="52A401D0" w14:textId="77777777" w:rsidR="004A000C" w:rsidRDefault="004A000C" w:rsidP="004A000C">
      <w:pPr>
        <w:pStyle w:val="Normalbullet"/>
      </w:pPr>
      <w:r>
        <w:t>a requirement for duty holders to provide adjustments for some people with protected attributes</w:t>
      </w:r>
    </w:p>
    <w:p w14:paraId="78E666AB" w14:textId="77777777" w:rsidR="004A000C" w:rsidRDefault="004A000C" w:rsidP="004A000C">
      <w:pPr>
        <w:pStyle w:val="Normalbullet"/>
      </w:pPr>
      <w:r>
        <w:lastRenderedPageBreak/>
        <w:t>special measures for groups who have experienced disadvantage, which allow them to be treated differently to best promote their rights, and</w:t>
      </w:r>
    </w:p>
    <w:p w14:paraId="39FDB3B8" w14:textId="77777777" w:rsidR="004A000C" w:rsidRDefault="004A000C" w:rsidP="004A000C">
      <w:pPr>
        <w:pStyle w:val="Normalbullet"/>
      </w:pPr>
      <w:r>
        <w:t>a positive duty to prevent discrimination and other unlawful conduct.</w:t>
      </w:r>
      <w:r w:rsidRPr="00FB00B1" w:rsidDel="00BD6762">
        <w:rPr>
          <w:strike/>
        </w:rPr>
        <w:t xml:space="preserve"> </w:t>
      </w:r>
    </w:p>
    <w:p w14:paraId="54E46E96" w14:textId="77777777" w:rsidR="004A000C" w:rsidRPr="00E241F8" w:rsidRDefault="004A000C" w:rsidP="004A000C">
      <w:pPr>
        <w:pStyle w:val="NormalAutoChapter"/>
        <w:rPr>
          <w:strike/>
        </w:rPr>
      </w:pPr>
      <w:r>
        <w:rPr>
          <w:lang w:eastAsia="en-US"/>
        </w:rPr>
        <w:t xml:space="preserve">In this chapter, we outline these mechanisms and ask if they should be part of the ADA. We will return to issues relating to the enforcement of any new mechanisms in </w:t>
      </w:r>
      <w:r w:rsidRPr="00991AF8">
        <w:rPr>
          <w:lang w:eastAsia="en-US"/>
        </w:rPr>
        <w:t xml:space="preserve">the </w:t>
      </w:r>
      <w:r>
        <w:rPr>
          <w:lang w:eastAsia="en-US"/>
        </w:rPr>
        <w:t>second</w:t>
      </w:r>
      <w:r w:rsidRPr="00991AF8">
        <w:rPr>
          <w:lang w:eastAsia="en-US"/>
        </w:rPr>
        <w:t xml:space="preserve"> consultation paper.</w:t>
      </w:r>
    </w:p>
    <w:p w14:paraId="5A735B0A" w14:textId="77777777" w:rsidR="004A000C" w:rsidRDefault="004A000C" w:rsidP="004A000C">
      <w:pPr>
        <w:pStyle w:val="Heading1"/>
      </w:pPr>
      <w:bookmarkStart w:id="477" w:name="_Toc196748902"/>
      <w:bookmarkStart w:id="478" w:name="_Toc196826964"/>
      <w:bookmarkStart w:id="479" w:name="_Toc182573813"/>
      <w:bookmarkStart w:id="480" w:name="_Toc182573809"/>
      <w:r>
        <w:t>Adjustments</w:t>
      </w:r>
      <w:bookmarkEnd w:id="477"/>
      <w:bookmarkEnd w:id="478"/>
      <w:r>
        <w:t xml:space="preserve"> </w:t>
      </w:r>
      <w:bookmarkEnd w:id="479"/>
    </w:p>
    <w:p w14:paraId="167873B7" w14:textId="77777777" w:rsidR="004A000C" w:rsidRDefault="004A000C" w:rsidP="004A000C">
      <w:pPr>
        <w:pStyle w:val="NormalAutoChapter"/>
        <w:rPr>
          <w:color w:val="auto"/>
        </w:rPr>
      </w:pPr>
      <w:r w:rsidRPr="001D7817">
        <w:rPr>
          <w:color w:val="auto"/>
        </w:rPr>
        <w:t xml:space="preserve">Adjustments </w:t>
      </w:r>
      <w:r>
        <w:rPr>
          <w:color w:val="auto"/>
        </w:rPr>
        <w:t>are</w:t>
      </w:r>
      <w:r w:rsidRPr="001D7817">
        <w:rPr>
          <w:color w:val="auto"/>
        </w:rPr>
        <w:t xml:space="preserve"> requirement</w:t>
      </w:r>
      <w:r>
        <w:rPr>
          <w:color w:val="auto"/>
        </w:rPr>
        <w:t>s</w:t>
      </w:r>
      <w:r w:rsidRPr="001D7817">
        <w:rPr>
          <w:color w:val="auto"/>
        </w:rPr>
        <w:t xml:space="preserve"> for duty</w:t>
      </w:r>
      <w:r>
        <w:rPr>
          <w:color w:val="auto"/>
        </w:rPr>
        <w:t xml:space="preserve"> </w:t>
      </w:r>
      <w:r w:rsidRPr="001D7817">
        <w:rPr>
          <w:color w:val="auto"/>
        </w:rPr>
        <w:t xml:space="preserve">holders to </w:t>
      </w:r>
      <w:r>
        <w:rPr>
          <w:color w:val="auto"/>
        </w:rPr>
        <w:t xml:space="preserve">support </w:t>
      </w:r>
      <w:r w:rsidRPr="001D7817">
        <w:rPr>
          <w:color w:val="auto"/>
        </w:rPr>
        <w:t>people with certain attributes</w:t>
      </w:r>
      <w:r>
        <w:rPr>
          <w:color w:val="auto"/>
        </w:rPr>
        <w:t xml:space="preserve"> to </w:t>
      </w:r>
      <w:r w:rsidRPr="001D7817">
        <w:rPr>
          <w:color w:val="auto"/>
        </w:rPr>
        <w:t xml:space="preserve">participate in </w:t>
      </w:r>
      <w:r>
        <w:rPr>
          <w:color w:val="auto"/>
        </w:rPr>
        <w:t>the community and areas where discrimination is unlawful.</w:t>
      </w:r>
    </w:p>
    <w:p w14:paraId="25FBE83B" w14:textId="77777777" w:rsidR="004A000C" w:rsidRPr="00426E68" w:rsidRDefault="004A000C" w:rsidP="004A000C">
      <w:pPr>
        <w:pStyle w:val="NormalAutoChapter"/>
        <w:rPr>
          <w:strike/>
        </w:rPr>
      </w:pPr>
      <w:r>
        <w:rPr>
          <w:color w:val="auto"/>
        </w:rPr>
        <w:t xml:space="preserve">Adjustments can come in many forms. For example, an </w:t>
      </w:r>
      <w:r w:rsidRPr="0006630B">
        <w:rPr>
          <w:color w:val="auto"/>
        </w:rPr>
        <w:t>adjustmen</w:t>
      </w:r>
      <w:r>
        <w:rPr>
          <w:color w:val="auto"/>
        </w:rPr>
        <w:t>t</w:t>
      </w:r>
      <w:r w:rsidRPr="0006630B">
        <w:rPr>
          <w:color w:val="auto"/>
        </w:rPr>
        <w:t xml:space="preserve"> </w:t>
      </w:r>
      <w:r>
        <w:rPr>
          <w:color w:val="auto"/>
        </w:rPr>
        <w:t xml:space="preserve">could involve providing: </w:t>
      </w:r>
    </w:p>
    <w:p w14:paraId="4C08F47A" w14:textId="77777777" w:rsidR="004A000C" w:rsidRDefault="004A000C" w:rsidP="004A000C">
      <w:pPr>
        <w:pStyle w:val="Normalbullet"/>
      </w:pPr>
      <w:r w:rsidRPr="0006630B">
        <w:t>a ramp for accessing a building</w:t>
      </w:r>
    </w:p>
    <w:p w14:paraId="0E97CC62" w14:textId="77777777" w:rsidR="004A000C" w:rsidRDefault="004A000C" w:rsidP="004A000C">
      <w:pPr>
        <w:pStyle w:val="Normalbullet"/>
      </w:pPr>
      <w:r w:rsidRPr="0006630B">
        <w:t xml:space="preserve">a </w:t>
      </w:r>
      <w:r>
        <w:t xml:space="preserve">machine reading </w:t>
      </w:r>
      <w:r w:rsidRPr="0006630B">
        <w:t xml:space="preserve">software package to assist </w:t>
      </w:r>
      <w:r>
        <w:t>someone</w:t>
      </w:r>
      <w:r w:rsidRPr="0006630B">
        <w:t xml:space="preserve"> who </w:t>
      </w:r>
      <w:r>
        <w:t>is</w:t>
      </w:r>
      <w:r w:rsidRPr="0006630B">
        <w:t xml:space="preserve"> blind or vision impaired</w:t>
      </w:r>
    </w:p>
    <w:p w14:paraId="708879D4" w14:textId="77777777" w:rsidR="004A000C" w:rsidRDefault="004A000C" w:rsidP="004A000C">
      <w:pPr>
        <w:pStyle w:val="Normalbullet"/>
      </w:pPr>
      <w:r>
        <w:t xml:space="preserve">a student with a uniform that corresponds with their gender identity, or </w:t>
      </w:r>
    </w:p>
    <w:p w14:paraId="3EB6BCFE" w14:textId="77777777" w:rsidR="004A000C" w:rsidRPr="002E0683" w:rsidRDefault="004A000C" w:rsidP="004A000C">
      <w:pPr>
        <w:pStyle w:val="Normalbullet"/>
        <w:rPr>
          <w:strike/>
        </w:rPr>
      </w:pPr>
      <w:r>
        <w:t xml:space="preserve">time off work for Sorry Business for </w:t>
      </w:r>
      <w:r w:rsidRPr="00AD0C55">
        <w:t>an Aboriginal and Torres Strait Islander employee</w:t>
      </w:r>
      <w:r w:rsidRPr="0006630B">
        <w:t>.</w:t>
      </w:r>
      <w:r>
        <w:rPr>
          <w:rStyle w:val="FootnoteReference"/>
        </w:rPr>
        <w:footnoteReference w:id="1087"/>
      </w:r>
      <w:r>
        <w:t xml:space="preserve"> </w:t>
      </w:r>
    </w:p>
    <w:p w14:paraId="037D233C" w14:textId="77777777" w:rsidR="004A000C" w:rsidRPr="003A7D62" w:rsidRDefault="004A000C" w:rsidP="004A000C">
      <w:pPr>
        <w:pStyle w:val="NormalAutoChapter"/>
        <w:rPr>
          <w:strike/>
        </w:rPr>
      </w:pPr>
      <w:r>
        <w:rPr>
          <w:color w:val="auto"/>
        </w:rPr>
        <w:t xml:space="preserve">Adjustments are </w:t>
      </w:r>
      <w:r w:rsidRPr="001D7817">
        <w:rPr>
          <w:color w:val="auto"/>
        </w:rPr>
        <w:t xml:space="preserve">sometimes called </w:t>
      </w:r>
      <w:r>
        <w:rPr>
          <w:color w:val="auto"/>
        </w:rPr>
        <w:t>“</w:t>
      </w:r>
      <w:r w:rsidRPr="001D7817">
        <w:rPr>
          <w:color w:val="auto"/>
        </w:rPr>
        <w:t>reasonable adjustments</w:t>
      </w:r>
      <w:r>
        <w:rPr>
          <w:color w:val="auto"/>
        </w:rPr>
        <w:t>”</w:t>
      </w:r>
      <w:r w:rsidRPr="001D7817">
        <w:rPr>
          <w:color w:val="auto"/>
        </w:rPr>
        <w:t xml:space="preserve"> or </w:t>
      </w:r>
      <w:r>
        <w:rPr>
          <w:color w:val="auto"/>
        </w:rPr>
        <w:t>“</w:t>
      </w:r>
      <w:r w:rsidRPr="001D7817">
        <w:rPr>
          <w:color w:val="auto"/>
        </w:rPr>
        <w:t>reasonable accommodation</w:t>
      </w:r>
      <w:r>
        <w:rPr>
          <w:color w:val="auto"/>
        </w:rPr>
        <w:t xml:space="preserve">”. Parties to the </w:t>
      </w:r>
      <w:r w:rsidRPr="00647BEF">
        <w:rPr>
          <w:i/>
          <w:iCs/>
          <w:color w:val="auto"/>
        </w:rPr>
        <w:t>Convention on the Rights of Persons with Disabilities</w:t>
      </w:r>
      <w:r>
        <w:rPr>
          <w:color w:val="auto"/>
        </w:rPr>
        <w:t>, including Australia, must take steps to ensure that “reasonable accommodation” is provided to people with disability.</w:t>
      </w:r>
      <w:r>
        <w:rPr>
          <w:rStyle w:val="FootnoteReference"/>
          <w:color w:val="auto"/>
        </w:rPr>
        <w:footnoteReference w:id="1088"/>
      </w:r>
      <w:r>
        <w:rPr>
          <w:color w:val="auto"/>
        </w:rPr>
        <w:t xml:space="preserve"> </w:t>
      </w:r>
    </w:p>
    <w:p w14:paraId="72BD68CB" w14:textId="77777777" w:rsidR="004A000C" w:rsidRPr="004871A8" w:rsidRDefault="004A000C" w:rsidP="004A000C">
      <w:pPr>
        <w:pStyle w:val="NormalAutoChapter"/>
        <w:rPr>
          <w:strike/>
        </w:rPr>
      </w:pPr>
      <w:r w:rsidRPr="004871A8">
        <w:rPr>
          <w:color w:val="auto"/>
        </w:rPr>
        <w:t xml:space="preserve">The ADA does not require </w:t>
      </w:r>
      <w:r>
        <w:rPr>
          <w:color w:val="auto"/>
        </w:rPr>
        <w:t>duty holder</w:t>
      </w:r>
      <w:r w:rsidRPr="004871A8">
        <w:rPr>
          <w:color w:val="auto"/>
        </w:rPr>
        <w:t>s to provide adjustments. We discuss the current model in the ADA below and ask whether it should change.</w:t>
      </w:r>
    </w:p>
    <w:p w14:paraId="676A3632" w14:textId="77777777" w:rsidR="004A000C" w:rsidRDefault="004A000C" w:rsidP="004A000C">
      <w:pPr>
        <w:pStyle w:val="Heading2"/>
      </w:pPr>
      <w:bookmarkStart w:id="481" w:name="_Toc196748903"/>
      <w:bookmarkStart w:id="482" w:name="_Toc196826965"/>
      <w:r>
        <w:t xml:space="preserve">The current model </w:t>
      </w:r>
      <w:bookmarkEnd w:id="480"/>
      <w:r>
        <w:t>in the ADA</w:t>
      </w:r>
      <w:bookmarkEnd w:id="481"/>
      <w:bookmarkEnd w:id="482"/>
    </w:p>
    <w:p w14:paraId="70ADFF24" w14:textId="77777777" w:rsidR="004A000C" w:rsidRDefault="004A000C" w:rsidP="004A000C">
      <w:pPr>
        <w:pStyle w:val="NormalAutoChapter"/>
      </w:pPr>
      <w:r>
        <w:t xml:space="preserve">As we detail in </w:t>
      </w:r>
      <w:r w:rsidRPr="002A697C">
        <w:t>chapter 6, certain</w:t>
      </w:r>
      <w:r>
        <w:t xml:space="preserve"> exceptions apply to discrimination based on disability in the areas of work, accommodation, education, the provision of goods and services, and the activities of registered clubs. These exceptions apply if </w:t>
      </w:r>
      <w:r>
        <w:lastRenderedPageBreak/>
        <w:t xml:space="preserve">people with that attribute require a particular </w:t>
      </w:r>
      <w:proofErr w:type="gramStart"/>
      <w:r>
        <w:t>arrangement</w:t>
      </w:r>
      <w:proofErr w:type="gramEnd"/>
      <w:r>
        <w:t xml:space="preserve"> and it would</w:t>
      </w:r>
      <w:r w:rsidRPr="002330AD">
        <w:t xml:space="preserve"> impose an </w:t>
      </w:r>
      <w:r>
        <w:t>“</w:t>
      </w:r>
      <w:r w:rsidRPr="002330AD">
        <w:t>unjustifiable hardship</w:t>
      </w:r>
      <w:r>
        <w:t>” on the duty holder to provide it.</w:t>
      </w:r>
      <w:r>
        <w:rPr>
          <w:rStyle w:val="FootnoteReference"/>
        </w:rPr>
        <w:footnoteReference w:id="1089"/>
      </w:r>
      <w:r>
        <w:t xml:space="preserve"> </w:t>
      </w:r>
    </w:p>
    <w:p w14:paraId="5E220641" w14:textId="77777777" w:rsidR="004A000C" w:rsidRDefault="004A000C" w:rsidP="004A000C">
      <w:pPr>
        <w:pStyle w:val="NormalAutoChapter"/>
      </w:pPr>
      <w:r>
        <w:t>Similar exceptions apply to discrimination based on carer’s responsibilities in employment (the only protected area applicable to this attribute).</w:t>
      </w:r>
      <w:r>
        <w:rPr>
          <w:rStyle w:val="FootnoteReference"/>
        </w:rPr>
        <w:footnoteReference w:id="1090"/>
      </w:r>
      <w:r>
        <w:t xml:space="preserve"> All relevant circumstances are to be considered in working out if there would be unjustifiable hardship. These include:</w:t>
      </w:r>
    </w:p>
    <w:p w14:paraId="5A56E752" w14:textId="77777777" w:rsidR="004A000C" w:rsidRDefault="004A000C" w:rsidP="004A000C">
      <w:pPr>
        <w:pStyle w:val="Normalbullet"/>
      </w:pPr>
      <w:r>
        <w:t>the nature of the benefit or detriment likely to anyone concerned</w:t>
      </w:r>
    </w:p>
    <w:p w14:paraId="52F50A5B" w14:textId="77777777" w:rsidR="004A000C" w:rsidRDefault="004A000C" w:rsidP="004A000C">
      <w:pPr>
        <w:pStyle w:val="Normalbullet"/>
      </w:pPr>
      <w:r>
        <w:t xml:space="preserve">the effect of the person’s disability or responsibilities as a </w:t>
      </w:r>
      <w:proofErr w:type="spellStart"/>
      <w:r>
        <w:t>carer</w:t>
      </w:r>
      <w:proofErr w:type="spellEnd"/>
      <w:r>
        <w:t>, and</w:t>
      </w:r>
    </w:p>
    <w:p w14:paraId="1D9B2F89" w14:textId="77777777" w:rsidR="004A000C" w:rsidRDefault="004A000C" w:rsidP="004A000C">
      <w:pPr>
        <w:pStyle w:val="Normalbullet"/>
      </w:pPr>
      <w:r>
        <w:t>the financial circumstances of the duty holder and the amount of expenditure required.</w:t>
      </w:r>
      <w:r>
        <w:rPr>
          <w:rStyle w:val="FootnoteReference"/>
        </w:rPr>
        <w:footnoteReference w:id="1091"/>
      </w:r>
    </w:p>
    <w:p w14:paraId="657B5284" w14:textId="77777777" w:rsidR="004A000C" w:rsidRDefault="004A000C" w:rsidP="004A000C">
      <w:pPr>
        <w:pStyle w:val="NormalAutoChapter"/>
      </w:pPr>
      <w:r>
        <w:t xml:space="preserve">These exceptions imply that duty holders are sometimes required to provide adjustments for people with these two attributes so they can, for instance, fulfill the inherent requirements of a job. However, there is no clear duty to provide adjustments. </w:t>
      </w:r>
    </w:p>
    <w:p w14:paraId="47197130" w14:textId="77777777" w:rsidR="004A000C" w:rsidRPr="004F4049" w:rsidRDefault="004A000C" w:rsidP="004A000C">
      <w:pPr>
        <w:pStyle w:val="Heading2"/>
        <w:rPr>
          <w:strike/>
        </w:rPr>
      </w:pPr>
      <w:bookmarkStart w:id="483" w:name="_Toc196748904"/>
      <w:bookmarkStart w:id="484" w:name="_Toc196826966"/>
      <w:r>
        <w:t>Models for a new requirement to provide adjustments</w:t>
      </w:r>
      <w:bookmarkEnd w:id="483"/>
      <w:bookmarkEnd w:id="484"/>
      <w:r>
        <w:t xml:space="preserve"> </w:t>
      </w:r>
    </w:p>
    <w:p w14:paraId="3618131B" w14:textId="77777777" w:rsidR="004A000C" w:rsidRDefault="004A000C" w:rsidP="004A000C">
      <w:pPr>
        <w:pStyle w:val="NormalAutoChapter"/>
        <w:rPr>
          <w:lang w:eastAsia="en-US"/>
        </w:rPr>
      </w:pPr>
      <w:r>
        <w:t>Many preliminary submissions supported amending the A</w:t>
      </w:r>
      <w:r w:rsidRPr="003C6413">
        <w:rPr>
          <w:color w:val="auto"/>
        </w:rPr>
        <w:t xml:space="preserve">DA to </w:t>
      </w:r>
      <w:r>
        <w:rPr>
          <w:color w:val="auto"/>
        </w:rPr>
        <w:t>include such a duty</w:t>
      </w:r>
      <w:r w:rsidRPr="003C6413">
        <w:rPr>
          <w:color w:val="auto"/>
        </w:rPr>
        <w:t xml:space="preserve">. </w:t>
      </w:r>
      <w:r>
        <w:rPr>
          <w:color w:val="auto"/>
        </w:rPr>
        <w:t xml:space="preserve">Potential benefits could include helping </w:t>
      </w:r>
      <w:r>
        <w:rPr>
          <w:lang w:eastAsia="en-US"/>
        </w:rPr>
        <w:t>to prevent discrimination, promote equality and reduce the burden on individuals to seek the adjustments to support their participation and inclusion. It might also clarify parties’ rights and obligations.</w:t>
      </w:r>
    </w:p>
    <w:p w14:paraId="54A1D663" w14:textId="77777777" w:rsidR="004A000C" w:rsidRPr="00C41962" w:rsidRDefault="004A000C" w:rsidP="004A000C">
      <w:pPr>
        <w:pStyle w:val="NormalAutoChapter"/>
        <w:rPr>
          <w:lang w:eastAsia="en-US"/>
        </w:rPr>
      </w:pPr>
      <w:r>
        <w:rPr>
          <w:color w:val="auto"/>
        </w:rPr>
        <w:t>T</w:t>
      </w:r>
      <w:r w:rsidRPr="007D74A3">
        <w:rPr>
          <w:color w:val="auto"/>
        </w:rPr>
        <w:t xml:space="preserve">he </w:t>
      </w:r>
      <w:r>
        <w:rPr>
          <w:lang w:eastAsia="en-US"/>
        </w:rPr>
        <w:t>Royal Commission into Violence, Abuse, Neglect and Exploitation of People with Disability (Disability Royal Commission) considered that a standalone duty would be consistent with Australia’s international obligations in relation to people with disability.</w:t>
      </w:r>
      <w:r>
        <w:rPr>
          <w:rStyle w:val="FootnoteReference"/>
          <w:lang w:eastAsia="en-US"/>
        </w:rPr>
        <w:footnoteReference w:id="1092"/>
      </w:r>
      <w:r>
        <w:rPr>
          <w:lang w:eastAsia="en-US"/>
        </w:rPr>
        <w:t xml:space="preserve"> </w:t>
      </w:r>
    </w:p>
    <w:p w14:paraId="5FAA7D2A" w14:textId="77777777" w:rsidR="004A000C" w:rsidRPr="00FC7B86" w:rsidRDefault="004A000C" w:rsidP="004A000C">
      <w:pPr>
        <w:pStyle w:val="NormalAutoChapter"/>
        <w:rPr>
          <w:szCs w:val="22"/>
        </w:rPr>
      </w:pPr>
      <w:r>
        <w:rPr>
          <w:color w:val="auto"/>
        </w:rPr>
        <w:t>If the ADA was to include a requirement to provide adjustments, other discrimination laws provide two main models for consideration.</w:t>
      </w:r>
    </w:p>
    <w:p w14:paraId="2A908EFF" w14:textId="77777777" w:rsidR="004A000C" w:rsidRPr="00746079" w:rsidRDefault="004A000C" w:rsidP="004A000C">
      <w:pPr>
        <w:pStyle w:val="Heading3"/>
        <w:rPr>
          <w:szCs w:val="22"/>
        </w:rPr>
      </w:pPr>
      <w:r>
        <w:t xml:space="preserve">Adding adjustments to the test for discrimination </w:t>
      </w:r>
    </w:p>
    <w:p w14:paraId="06CAA535" w14:textId="77777777" w:rsidR="004A000C" w:rsidRPr="003F227D" w:rsidRDefault="004A000C" w:rsidP="004A000C">
      <w:pPr>
        <w:pStyle w:val="NormalAutoChapter"/>
        <w:rPr>
          <w:szCs w:val="22"/>
        </w:rPr>
      </w:pPr>
      <w:r>
        <w:rPr>
          <w:color w:val="auto"/>
          <w:szCs w:val="22"/>
        </w:rPr>
        <w:t>T</w:t>
      </w:r>
      <w:r w:rsidRPr="0094271D">
        <w:rPr>
          <w:color w:val="auto"/>
          <w:szCs w:val="22"/>
        </w:rPr>
        <w:t xml:space="preserve">he </w:t>
      </w:r>
      <w:r w:rsidRPr="00332F2E">
        <w:rPr>
          <w:i/>
          <w:iCs/>
          <w:szCs w:val="22"/>
        </w:rPr>
        <w:t>Disability Discrimination Act 1992</w:t>
      </w:r>
      <w:r>
        <w:rPr>
          <w:szCs w:val="22"/>
        </w:rPr>
        <w:t xml:space="preserve"> (Cth) (</w:t>
      </w:r>
      <w:r w:rsidRPr="00332F2E">
        <w:rPr>
          <w:i/>
          <w:iCs/>
          <w:szCs w:val="22"/>
        </w:rPr>
        <w:t>Disability Discrimination Act</w:t>
      </w:r>
      <w:r>
        <w:rPr>
          <w:szCs w:val="22"/>
        </w:rPr>
        <w:t xml:space="preserve">) provides one model. It deals with </w:t>
      </w:r>
      <w:r>
        <w:rPr>
          <w:color w:val="auto"/>
          <w:szCs w:val="22"/>
        </w:rPr>
        <w:t>“</w:t>
      </w:r>
      <w:r w:rsidRPr="0094271D">
        <w:rPr>
          <w:color w:val="auto"/>
          <w:szCs w:val="22"/>
        </w:rPr>
        <w:t>reasonable adjustments</w:t>
      </w:r>
      <w:r>
        <w:rPr>
          <w:color w:val="auto"/>
          <w:szCs w:val="22"/>
        </w:rPr>
        <w:t>”</w:t>
      </w:r>
      <w:r w:rsidRPr="0094271D">
        <w:rPr>
          <w:color w:val="auto"/>
          <w:szCs w:val="22"/>
        </w:rPr>
        <w:t xml:space="preserve"> </w:t>
      </w:r>
      <w:r>
        <w:rPr>
          <w:color w:val="auto"/>
          <w:szCs w:val="22"/>
        </w:rPr>
        <w:t xml:space="preserve">as </w:t>
      </w:r>
      <w:r w:rsidRPr="0094271D">
        <w:rPr>
          <w:color w:val="auto"/>
          <w:szCs w:val="22"/>
        </w:rPr>
        <w:t>part of the definition of direct and indirect disability discrimination.</w:t>
      </w:r>
      <w:r>
        <w:rPr>
          <w:rStyle w:val="FootnoteReference"/>
          <w:color w:val="auto"/>
          <w:szCs w:val="22"/>
        </w:rPr>
        <w:footnoteReference w:id="1093"/>
      </w:r>
      <w:r w:rsidRPr="0094271D">
        <w:rPr>
          <w:color w:val="auto"/>
          <w:szCs w:val="22"/>
        </w:rPr>
        <w:t xml:space="preserve"> </w:t>
      </w:r>
      <w:r>
        <w:rPr>
          <w:color w:val="auto"/>
          <w:szCs w:val="22"/>
        </w:rPr>
        <w:t xml:space="preserve">For example, </w:t>
      </w:r>
      <w:r>
        <w:rPr>
          <w:szCs w:val="22"/>
        </w:rPr>
        <w:t xml:space="preserve">a failure to make reasonable </w:t>
      </w:r>
      <w:r>
        <w:rPr>
          <w:szCs w:val="22"/>
        </w:rPr>
        <w:lastRenderedPageBreak/>
        <w:t>adjustments that results in a person with disability being treated less favourably may be direct discrimination</w:t>
      </w:r>
      <w:r w:rsidRPr="0094271D">
        <w:rPr>
          <w:color w:val="auto"/>
          <w:szCs w:val="22"/>
        </w:rPr>
        <w:t>.</w:t>
      </w:r>
      <w:r w:rsidRPr="0094271D">
        <w:rPr>
          <w:rStyle w:val="FootnoteReference"/>
          <w:color w:val="auto"/>
          <w:sz w:val="22"/>
          <w:szCs w:val="22"/>
        </w:rPr>
        <w:footnoteReference w:id="1094"/>
      </w:r>
      <w:r w:rsidRPr="0094271D">
        <w:rPr>
          <w:color w:val="auto"/>
          <w:szCs w:val="22"/>
        </w:rPr>
        <w:t xml:space="preserve"> </w:t>
      </w:r>
    </w:p>
    <w:p w14:paraId="27308A31" w14:textId="77777777" w:rsidR="004A000C" w:rsidRPr="00991AF8" w:rsidRDefault="004A000C" w:rsidP="004A000C">
      <w:pPr>
        <w:pStyle w:val="NormalAutoChapter"/>
        <w:rPr>
          <w:szCs w:val="22"/>
        </w:rPr>
      </w:pPr>
      <w:r w:rsidRPr="00945046">
        <w:rPr>
          <w:color w:val="auto"/>
          <w:szCs w:val="22"/>
        </w:rPr>
        <w:t xml:space="preserve">This means any consideration of adjustments only arises in the areas where discrimination is unlawful and through the definition of “discrimination”. However, there is no clear obligation to provide an adjustment to a person with disability separate from the definition of “discrimination” applying to the </w:t>
      </w:r>
      <w:proofErr w:type="gramStart"/>
      <w:r w:rsidRPr="00945046">
        <w:rPr>
          <w:color w:val="auto"/>
          <w:szCs w:val="22"/>
        </w:rPr>
        <w:t>particular alleged</w:t>
      </w:r>
      <w:proofErr w:type="gramEnd"/>
      <w:r w:rsidRPr="00945046">
        <w:rPr>
          <w:color w:val="auto"/>
          <w:szCs w:val="22"/>
        </w:rPr>
        <w:t xml:space="preserve"> unlawful conduct.</w:t>
      </w:r>
      <w:r>
        <w:rPr>
          <w:rStyle w:val="FootnoteReference"/>
          <w:color w:val="auto"/>
          <w:szCs w:val="22"/>
        </w:rPr>
        <w:footnoteReference w:id="1095"/>
      </w:r>
      <w:r w:rsidRPr="00945046">
        <w:rPr>
          <w:color w:val="auto"/>
          <w:szCs w:val="22"/>
        </w:rPr>
        <w:t xml:space="preserve"> A 2017 full Federal Court decision found that for the right to a reasonable adjustment </w:t>
      </w:r>
      <w:r>
        <w:rPr>
          <w:color w:val="auto"/>
          <w:szCs w:val="22"/>
        </w:rPr>
        <w:t xml:space="preserve">under the </w:t>
      </w:r>
      <w:r w:rsidRPr="00D57F65">
        <w:rPr>
          <w:i/>
          <w:iCs/>
          <w:szCs w:val="22"/>
        </w:rPr>
        <w:t>Disability Discrimination Act</w:t>
      </w:r>
      <w:r w:rsidRPr="00945046">
        <w:rPr>
          <w:szCs w:val="22"/>
        </w:rPr>
        <w:t xml:space="preserve"> </w:t>
      </w:r>
      <w:r w:rsidRPr="00945046">
        <w:rPr>
          <w:color w:val="auto"/>
          <w:szCs w:val="22"/>
        </w:rPr>
        <w:t>to be enforceabl</w:t>
      </w:r>
      <w:r>
        <w:rPr>
          <w:color w:val="auto"/>
          <w:szCs w:val="22"/>
        </w:rPr>
        <w:t>e</w:t>
      </w:r>
      <w:r w:rsidRPr="00945046">
        <w:rPr>
          <w:color w:val="auto"/>
          <w:szCs w:val="22"/>
        </w:rPr>
        <w:t>, a person with disability must show that:</w:t>
      </w:r>
    </w:p>
    <w:p w14:paraId="0C324C86" w14:textId="77777777" w:rsidR="004A000C" w:rsidRPr="00991AF8" w:rsidRDefault="004A000C" w:rsidP="004A000C">
      <w:pPr>
        <w:pStyle w:val="Normalbullet"/>
        <w:rPr>
          <w:color w:val="000000"/>
        </w:rPr>
      </w:pPr>
      <w:r>
        <w:t>they are disadvantaged by a failure to provide a reasonable adjustment, and</w:t>
      </w:r>
    </w:p>
    <w:p w14:paraId="00AE788A" w14:textId="77777777" w:rsidR="004A000C" w:rsidRPr="00991AF8" w:rsidRDefault="004A000C" w:rsidP="004A000C">
      <w:pPr>
        <w:pStyle w:val="Normalbullet"/>
        <w:rPr>
          <w:color w:val="000000"/>
        </w:rPr>
      </w:pPr>
      <w:r>
        <w:t>their disability was a reason for the failure to provide the adjustment.</w:t>
      </w:r>
      <w:r w:rsidRPr="00294D14">
        <w:rPr>
          <w:rStyle w:val="FootnoteReference"/>
          <w:szCs w:val="22"/>
        </w:rPr>
        <w:t xml:space="preserve"> </w:t>
      </w:r>
      <w:r>
        <w:rPr>
          <w:rStyle w:val="FootnoteReference"/>
          <w:szCs w:val="22"/>
        </w:rPr>
        <w:footnoteReference w:id="1096"/>
      </w:r>
      <w:r>
        <w:t xml:space="preserve"> </w:t>
      </w:r>
    </w:p>
    <w:p w14:paraId="40530107" w14:textId="77777777" w:rsidR="004A000C" w:rsidRDefault="004A000C" w:rsidP="004A000C">
      <w:pPr>
        <w:pStyle w:val="NormalAutoChapter"/>
        <w:rPr>
          <w:szCs w:val="22"/>
        </w:rPr>
      </w:pPr>
      <w:r w:rsidRPr="00945046">
        <w:rPr>
          <w:szCs w:val="22"/>
        </w:rPr>
        <w:t>We heard concerns that th</w:t>
      </w:r>
      <w:r>
        <w:rPr>
          <w:szCs w:val="22"/>
        </w:rPr>
        <w:t>is</w:t>
      </w:r>
      <w:r w:rsidRPr="00945046">
        <w:rPr>
          <w:szCs w:val="22"/>
        </w:rPr>
        <w:t xml:space="preserve"> approach </w:t>
      </w:r>
      <w:r>
        <w:rPr>
          <w:szCs w:val="22"/>
        </w:rPr>
        <w:t>has created more difficulties</w:t>
      </w:r>
      <w:r w:rsidRPr="00945046">
        <w:rPr>
          <w:szCs w:val="22"/>
        </w:rPr>
        <w:t xml:space="preserve"> for people who require adjustments.</w:t>
      </w:r>
      <w:r>
        <w:rPr>
          <w:szCs w:val="22"/>
        </w:rPr>
        <w:t xml:space="preserve"> </w:t>
      </w:r>
    </w:p>
    <w:p w14:paraId="4B5B3A8B" w14:textId="77777777" w:rsidR="004A000C" w:rsidRPr="00315A7E" w:rsidRDefault="004A000C" w:rsidP="004A000C">
      <w:pPr>
        <w:pStyle w:val="NormalAutoChapter"/>
        <w:rPr>
          <w:szCs w:val="22"/>
        </w:rPr>
      </w:pPr>
      <w:r>
        <w:rPr>
          <w:szCs w:val="22"/>
        </w:rPr>
        <w:t>It is important to note that “reasonable adjustments” simply means any “adjustment” that does not impose unjustifiable hardship on the person who would need to make it. It is not necessary to determine what is “reasonable”.</w:t>
      </w:r>
      <w:r>
        <w:rPr>
          <w:rStyle w:val="FootnoteReference"/>
          <w:szCs w:val="22"/>
        </w:rPr>
        <w:footnoteReference w:id="1097"/>
      </w:r>
    </w:p>
    <w:p w14:paraId="05E1B300" w14:textId="77777777" w:rsidR="004A000C" w:rsidRPr="0094271D" w:rsidRDefault="004A000C" w:rsidP="004A000C">
      <w:pPr>
        <w:pStyle w:val="NormalAutoChapter"/>
        <w:rPr>
          <w:szCs w:val="22"/>
        </w:rPr>
      </w:pPr>
      <w:r>
        <w:rPr>
          <w:color w:val="auto"/>
          <w:szCs w:val="22"/>
        </w:rPr>
        <w:t xml:space="preserve">Under the </w:t>
      </w:r>
      <w:r w:rsidRPr="004665CE">
        <w:rPr>
          <w:i/>
          <w:iCs/>
          <w:color w:val="auto"/>
          <w:szCs w:val="22"/>
        </w:rPr>
        <w:t>Disability Discrimination Act</w:t>
      </w:r>
      <w:r>
        <w:rPr>
          <w:color w:val="auto"/>
          <w:szCs w:val="22"/>
        </w:rPr>
        <w:t>, what constitutes u</w:t>
      </w:r>
      <w:r w:rsidRPr="0094271D">
        <w:rPr>
          <w:color w:val="auto"/>
          <w:szCs w:val="22"/>
        </w:rPr>
        <w:t>njustifiable hardship depends on the circumstances</w:t>
      </w:r>
      <w:r>
        <w:rPr>
          <w:color w:val="auto"/>
          <w:szCs w:val="22"/>
        </w:rPr>
        <w:t xml:space="preserve">, </w:t>
      </w:r>
      <w:r w:rsidRPr="0094271D">
        <w:rPr>
          <w:color w:val="auto"/>
          <w:szCs w:val="22"/>
        </w:rPr>
        <w:t>including</w:t>
      </w:r>
      <w:r>
        <w:rPr>
          <w:color w:val="auto"/>
          <w:szCs w:val="22"/>
        </w:rPr>
        <w:t xml:space="preserve"> the</w:t>
      </w:r>
      <w:r w:rsidRPr="0094271D">
        <w:rPr>
          <w:color w:val="auto"/>
          <w:szCs w:val="22"/>
        </w:rPr>
        <w:t>:</w:t>
      </w:r>
    </w:p>
    <w:p w14:paraId="3E9CCBEF" w14:textId="77777777" w:rsidR="004A000C" w:rsidRPr="0094271D" w:rsidRDefault="004A000C" w:rsidP="004A000C">
      <w:pPr>
        <w:pStyle w:val="Normalbullet"/>
        <w:rPr>
          <w:szCs w:val="22"/>
        </w:rPr>
      </w:pPr>
      <w:r w:rsidRPr="0094271D">
        <w:rPr>
          <w:szCs w:val="22"/>
        </w:rPr>
        <w:t xml:space="preserve">nature of </w:t>
      </w:r>
      <w:r>
        <w:rPr>
          <w:szCs w:val="22"/>
        </w:rPr>
        <w:t>any</w:t>
      </w:r>
      <w:r w:rsidRPr="0094271D">
        <w:rPr>
          <w:szCs w:val="22"/>
        </w:rPr>
        <w:t xml:space="preserve"> benefit or detriment likely to be suffered </w:t>
      </w:r>
    </w:p>
    <w:p w14:paraId="20486DDD" w14:textId="77777777" w:rsidR="004A000C" w:rsidRPr="0094271D" w:rsidRDefault="004A000C" w:rsidP="004A000C">
      <w:pPr>
        <w:pStyle w:val="Normalbullet"/>
        <w:rPr>
          <w:szCs w:val="22"/>
        </w:rPr>
      </w:pPr>
      <w:r w:rsidRPr="0094271D">
        <w:rPr>
          <w:szCs w:val="22"/>
        </w:rPr>
        <w:t>effect of the disability</w:t>
      </w:r>
      <w:r>
        <w:rPr>
          <w:szCs w:val="22"/>
        </w:rPr>
        <w:t>, and</w:t>
      </w:r>
    </w:p>
    <w:p w14:paraId="15AB6931" w14:textId="77777777" w:rsidR="004A000C" w:rsidRPr="007C1E5A" w:rsidRDefault="004A000C" w:rsidP="004A000C">
      <w:pPr>
        <w:pStyle w:val="Normalbullet"/>
        <w:rPr>
          <w:szCs w:val="22"/>
        </w:rPr>
      </w:pPr>
      <w:r w:rsidRPr="0094271D">
        <w:rPr>
          <w:szCs w:val="22"/>
        </w:rPr>
        <w:t>financial circumstances and expenditure required by the person making the adjustment.</w:t>
      </w:r>
      <w:r w:rsidRPr="0094271D">
        <w:rPr>
          <w:rStyle w:val="FootnoteReference"/>
          <w:sz w:val="22"/>
          <w:szCs w:val="22"/>
        </w:rPr>
        <w:footnoteReference w:id="1098"/>
      </w:r>
    </w:p>
    <w:p w14:paraId="6BEF2F3A" w14:textId="77777777" w:rsidR="004A000C" w:rsidRPr="00FC7B86" w:rsidRDefault="004A000C" w:rsidP="004A000C">
      <w:pPr>
        <w:pStyle w:val="Heading3"/>
      </w:pPr>
      <w:r>
        <w:t>A separate duty to provide adjustments</w:t>
      </w:r>
    </w:p>
    <w:p w14:paraId="51F3A746" w14:textId="77777777" w:rsidR="004A000C" w:rsidRDefault="004A000C" w:rsidP="004A000C">
      <w:pPr>
        <w:pStyle w:val="NormalAutoChapter"/>
      </w:pPr>
      <w:r>
        <w:rPr>
          <w:color w:val="auto"/>
        </w:rPr>
        <w:t>Another model involves a separate duty to provide adjustments. This provides that a f</w:t>
      </w:r>
      <w:r>
        <w:t xml:space="preserve">ailure to provide adjustments can itself be unlawful discrimination. </w:t>
      </w:r>
    </w:p>
    <w:p w14:paraId="0B651527" w14:textId="77777777" w:rsidR="004A000C" w:rsidRDefault="004A000C" w:rsidP="004A000C">
      <w:pPr>
        <w:pStyle w:val="NormalAutoChapter"/>
      </w:pPr>
      <w:r w:rsidRPr="003B747B">
        <w:rPr>
          <w:color w:val="auto"/>
        </w:rPr>
        <w:t>Victoria has this model</w:t>
      </w:r>
      <w:r>
        <w:rPr>
          <w:color w:val="auto"/>
        </w:rPr>
        <w:t>, for example</w:t>
      </w:r>
      <w:r w:rsidRPr="003B747B">
        <w:rPr>
          <w:color w:val="auto"/>
        </w:rPr>
        <w:t xml:space="preserve">. There, </w:t>
      </w:r>
      <w:r>
        <w:rPr>
          <w:color w:val="auto"/>
        </w:rPr>
        <w:t>duty holder</w:t>
      </w:r>
      <w:r w:rsidRPr="003B747B">
        <w:rPr>
          <w:color w:val="auto"/>
        </w:rPr>
        <w:t>s, including employers, educational institutions and service providers, are required to make reasonable adjustments for people with disability.</w:t>
      </w:r>
      <w:r>
        <w:rPr>
          <w:rStyle w:val="FootnoteReference"/>
          <w:color w:val="auto"/>
        </w:rPr>
        <w:footnoteReference w:id="1099"/>
      </w:r>
      <w:r>
        <w:rPr>
          <w:rStyle w:val="FootnoteReference"/>
        </w:rPr>
        <w:t xml:space="preserve"> </w:t>
      </w:r>
      <w:r>
        <w:t xml:space="preserve"> </w:t>
      </w:r>
    </w:p>
    <w:p w14:paraId="3FE94226" w14:textId="77777777" w:rsidR="004A000C" w:rsidRDefault="004A000C" w:rsidP="004A000C">
      <w:pPr>
        <w:pStyle w:val="NormalAutoChapter"/>
      </w:pPr>
      <w:r>
        <w:lastRenderedPageBreak/>
        <w:t>Whether an adjustment is reasonable depends on the context in which the duty applies. For instance, in the employment context, an adjustment is what a person with a disability requires to “adequately” perform the “genuine and reasonable requirements”</w:t>
      </w:r>
      <w:r w:rsidRPr="00FC1DBD">
        <w:rPr>
          <w:rStyle w:val="FootnoteReference"/>
        </w:rPr>
        <w:t xml:space="preserve"> </w:t>
      </w:r>
      <w:r>
        <w:t>of the role.</w:t>
      </w:r>
      <w:r w:rsidRPr="00BD6762">
        <w:rPr>
          <w:rStyle w:val="FootnoteReference"/>
        </w:rPr>
        <w:t xml:space="preserve"> </w:t>
      </w:r>
      <w:r>
        <w:rPr>
          <w:rStyle w:val="FootnoteReference"/>
        </w:rPr>
        <w:footnoteReference w:id="1100"/>
      </w:r>
    </w:p>
    <w:p w14:paraId="729B827E" w14:textId="77777777" w:rsidR="004A000C" w:rsidRDefault="004A000C" w:rsidP="004A000C">
      <w:pPr>
        <w:pStyle w:val="NormalAutoChapter"/>
      </w:pPr>
      <w:r>
        <w:t>The Victorian law sets out non-exhaustive lists of factors that must be considered in determining whether an adjustment is reasonable in each of the contexts where the duty applies. In employment contexts, this includes the:</w:t>
      </w:r>
    </w:p>
    <w:p w14:paraId="52EA220B" w14:textId="77777777" w:rsidR="004A000C" w:rsidRDefault="004A000C" w:rsidP="004A000C">
      <w:pPr>
        <w:pStyle w:val="Normalbullet"/>
      </w:pPr>
      <w:r>
        <w:t>nature of the person’s circumstances and disability</w:t>
      </w:r>
    </w:p>
    <w:p w14:paraId="7B28ED03" w14:textId="77777777" w:rsidR="004A000C" w:rsidRDefault="004A000C" w:rsidP="004A000C">
      <w:pPr>
        <w:pStyle w:val="Normalbullet"/>
      </w:pPr>
      <w:r>
        <w:t>nature of the role</w:t>
      </w:r>
    </w:p>
    <w:p w14:paraId="6C19974E" w14:textId="77777777" w:rsidR="004A000C" w:rsidRDefault="004A000C" w:rsidP="004A000C">
      <w:pPr>
        <w:pStyle w:val="Normalbullet"/>
      </w:pPr>
      <w:r>
        <w:t>size and nature of the workplace, and</w:t>
      </w:r>
    </w:p>
    <w:p w14:paraId="2CCE780F" w14:textId="77777777" w:rsidR="004A000C" w:rsidRPr="006668A8" w:rsidRDefault="004A000C" w:rsidP="004A000C">
      <w:pPr>
        <w:pStyle w:val="Normalbullet"/>
      </w:pPr>
      <w:r>
        <w:t>financial impact of making the adjustment.</w:t>
      </w:r>
      <w:r>
        <w:rPr>
          <w:rStyle w:val="FootnoteReference"/>
        </w:rPr>
        <w:footnoteReference w:id="1101"/>
      </w:r>
    </w:p>
    <w:p w14:paraId="07E0A082" w14:textId="77777777" w:rsidR="004A000C" w:rsidRPr="00C2293E" w:rsidRDefault="004A000C" w:rsidP="004A000C">
      <w:pPr>
        <w:pStyle w:val="NormalAutoChapter"/>
      </w:pPr>
      <w:r>
        <w:t xml:space="preserve">In the Australian Capital Territory (ACT), duty holders must </w:t>
      </w:r>
      <w:proofErr w:type="gramStart"/>
      <w:r>
        <w:t>make adjustments to</w:t>
      </w:r>
      <w:proofErr w:type="gramEnd"/>
      <w:r>
        <w:t xml:space="preserve"> </w:t>
      </w:r>
      <w:r w:rsidRPr="008865AD">
        <w:rPr>
          <w:shd w:val="clear" w:color="auto" w:fill="FFFFFF"/>
        </w:rPr>
        <w:t xml:space="preserve">accommodate someone’s “particular needs arising from a protected attribute”, as long as this </w:t>
      </w:r>
      <w:r>
        <w:rPr>
          <w:shd w:val="clear" w:color="auto" w:fill="FFFFFF"/>
        </w:rPr>
        <w:t>does not</w:t>
      </w:r>
      <w:r w:rsidRPr="008865AD">
        <w:rPr>
          <w:shd w:val="clear" w:color="auto" w:fill="FFFFFF"/>
        </w:rPr>
        <w:t xml:space="preserve"> cause unjustifiable hardship for the </w:t>
      </w:r>
      <w:r>
        <w:rPr>
          <w:shd w:val="clear" w:color="auto" w:fill="FFFFFF"/>
        </w:rPr>
        <w:t>duty holder</w:t>
      </w:r>
      <w:r w:rsidRPr="008865AD">
        <w:rPr>
          <w:shd w:val="clear" w:color="auto" w:fill="FFFFFF"/>
        </w:rPr>
        <w:t>.</w:t>
      </w:r>
      <w:r>
        <w:rPr>
          <w:rStyle w:val="FootnoteReference"/>
          <w:shd w:val="clear" w:color="auto" w:fill="FFFFFF"/>
        </w:rPr>
        <w:footnoteReference w:id="1102"/>
      </w:r>
      <w:r w:rsidRPr="008865AD">
        <w:rPr>
          <w:shd w:val="clear" w:color="auto" w:fill="FFFFFF"/>
        </w:rPr>
        <w:t xml:space="preserve"> </w:t>
      </w:r>
    </w:p>
    <w:p w14:paraId="4F7A5286" w14:textId="77777777" w:rsidR="004A000C" w:rsidRPr="000609BD" w:rsidRDefault="004A000C" w:rsidP="004A000C">
      <w:pPr>
        <w:pStyle w:val="NormalAutoChapter"/>
      </w:pPr>
      <w:r>
        <w:rPr>
          <w:color w:val="auto"/>
        </w:rPr>
        <w:t>T</w:t>
      </w:r>
      <w:r w:rsidRPr="007D74A3">
        <w:rPr>
          <w:color w:val="auto"/>
        </w:rPr>
        <w:t xml:space="preserve">he </w:t>
      </w:r>
      <w:r>
        <w:rPr>
          <w:lang w:eastAsia="en-US"/>
        </w:rPr>
        <w:t xml:space="preserve">Disability Royal Commission </w:t>
      </w:r>
      <w:r w:rsidRPr="007D74A3">
        <w:rPr>
          <w:color w:val="auto"/>
        </w:rPr>
        <w:t xml:space="preserve">recommended </w:t>
      </w:r>
      <w:r>
        <w:rPr>
          <w:color w:val="auto"/>
        </w:rPr>
        <w:t xml:space="preserve">that the </w:t>
      </w:r>
      <w:r w:rsidRPr="00332F2E">
        <w:rPr>
          <w:i/>
          <w:iCs/>
          <w:szCs w:val="22"/>
        </w:rPr>
        <w:t>Disability Discrimination Act</w:t>
      </w:r>
      <w:r>
        <w:rPr>
          <w:color w:val="auto"/>
        </w:rPr>
        <w:t xml:space="preserve"> should have a separate duty to make reasonable adjustments</w:t>
      </w:r>
      <w:r w:rsidRPr="007C1E5A">
        <w:rPr>
          <w:color w:val="auto"/>
        </w:rPr>
        <w:t>.</w:t>
      </w:r>
      <w:r>
        <w:rPr>
          <w:rStyle w:val="FootnoteReference"/>
          <w:color w:val="auto"/>
        </w:rPr>
        <w:footnoteReference w:id="1103"/>
      </w:r>
      <w:r w:rsidRPr="007C1E5A">
        <w:rPr>
          <w:color w:val="auto"/>
        </w:rPr>
        <w:t xml:space="preserve"> </w:t>
      </w:r>
      <w:r>
        <w:rPr>
          <w:color w:val="auto"/>
        </w:rPr>
        <w:t>Other reviews have also recommended this model.</w:t>
      </w:r>
      <w:r>
        <w:rPr>
          <w:rStyle w:val="FootnoteReference"/>
          <w:color w:val="auto"/>
        </w:rPr>
        <w:footnoteReference w:id="1104"/>
      </w:r>
      <w:r>
        <w:rPr>
          <w:color w:val="auto"/>
        </w:rPr>
        <w:t xml:space="preserve"> Reasons include that it would:</w:t>
      </w:r>
    </w:p>
    <w:p w14:paraId="22BCBA78" w14:textId="77777777" w:rsidR="004A000C" w:rsidRDefault="004A000C" w:rsidP="004A000C">
      <w:pPr>
        <w:pStyle w:val="Normalbullet"/>
      </w:pPr>
      <w:r>
        <w:t>be consistent with Australia’s international obligations</w:t>
      </w:r>
      <w:r>
        <w:rPr>
          <w:rStyle w:val="FootnoteReference"/>
        </w:rPr>
        <w:footnoteReference w:id="1105"/>
      </w:r>
      <w:r>
        <w:t xml:space="preserve"> </w:t>
      </w:r>
    </w:p>
    <w:p w14:paraId="3D4A54A0" w14:textId="77777777" w:rsidR="004A000C" w:rsidRDefault="004A000C" w:rsidP="004A000C">
      <w:pPr>
        <w:pStyle w:val="Normalbullet"/>
      </w:pPr>
      <w:r>
        <w:t>improve clarity about people’s rights and obligations, and</w:t>
      </w:r>
    </w:p>
    <w:p w14:paraId="679D5F74" w14:textId="77777777" w:rsidR="004A000C" w:rsidRPr="00886CF7" w:rsidRDefault="004A000C" w:rsidP="004A000C">
      <w:pPr>
        <w:pStyle w:val="Normalbullet"/>
      </w:pPr>
      <w:r>
        <w:t>encourage early intervention, preventing discrimination.</w:t>
      </w:r>
      <w:r>
        <w:rPr>
          <w:rStyle w:val="FootnoteReference"/>
        </w:rPr>
        <w:footnoteReference w:id="1106"/>
      </w:r>
    </w:p>
    <w:p w14:paraId="1B63E379" w14:textId="77777777" w:rsidR="004A000C" w:rsidRPr="00A86F12" w:rsidRDefault="004A000C" w:rsidP="004A000C">
      <w:pPr>
        <w:pStyle w:val="Heading2"/>
        <w:rPr>
          <w:color w:val="auto"/>
        </w:rPr>
      </w:pPr>
      <w:bookmarkStart w:id="487" w:name="_Toc196748905"/>
      <w:bookmarkStart w:id="488" w:name="_Toc196826967"/>
      <w:r>
        <w:t>Attributes that could be covered</w:t>
      </w:r>
      <w:bookmarkEnd w:id="487"/>
      <w:bookmarkEnd w:id="488"/>
    </w:p>
    <w:p w14:paraId="621A55DF" w14:textId="77777777" w:rsidR="004A000C" w:rsidRPr="00F16594" w:rsidRDefault="004A000C" w:rsidP="004A000C">
      <w:pPr>
        <w:pStyle w:val="NormalAutoChapter"/>
      </w:pPr>
      <w:r>
        <w:rPr>
          <w:color w:val="auto"/>
        </w:rPr>
        <w:t xml:space="preserve">The models discussed above only apply to disability discrimination. </w:t>
      </w:r>
      <w:r>
        <w:rPr>
          <w:color w:val="auto"/>
          <w:szCs w:val="22"/>
          <w:lang w:eastAsia="en-US"/>
        </w:rPr>
        <w:t>If a requirement to provide adjustments was introduced in NSW, it could also extend to other attributes.</w:t>
      </w:r>
    </w:p>
    <w:p w14:paraId="275D3FB4" w14:textId="77777777" w:rsidR="004A000C" w:rsidRPr="008865AD" w:rsidRDefault="004A000C" w:rsidP="004A000C">
      <w:pPr>
        <w:pStyle w:val="NormalAutoChapter"/>
        <w:rPr>
          <w:color w:val="auto"/>
          <w:szCs w:val="22"/>
          <w:lang w:eastAsia="en-US"/>
        </w:rPr>
      </w:pPr>
      <w:r w:rsidRPr="008865AD">
        <w:rPr>
          <w:color w:val="auto"/>
          <w:szCs w:val="22"/>
          <w:lang w:eastAsia="en-US"/>
        </w:rPr>
        <w:lastRenderedPageBreak/>
        <w:t xml:space="preserve">One approach might involve providing adjustments to anyone with any protected attribute, as required. </w:t>
      </w:r>
      <w:r>
        <w:rPr>
          <w:color w:val="auto"/>
          <w:szCs w:val="22"/>
          <w:lang w:eastAsia="en-US"/>
        </w:rPr>
        <w:t>This is the approach taken in the ACT.</w:t>
      </w:r>
      <w:r>
        <w:rPr>
          <w:rStyle w:val="FootnoteReference"/>
          <w:color w:val="auto"/>
          <w:szCs w:val="22"/>
          <w:lang w:eastAsia="en-US"/>
        </w:rPr>
        <w:footnoteReference w:id="1107"/>
      </w:r>
      <w:r>
        <w:rPr>
          <w:color w:val="auto"/>
          <w:szCs w:val="22"/>
          <w:lang w:eastAsia="en-US"/>
        </w:rPr>
        <w:t xml:space="preserve"> </w:t>
      </w:r>
      <w:r w:rsidRPr="008865AD">
        <w:rPr>
          <w:color w:val="auto"/>
          <w:szCs w:val="22"/>
          <w:lang w:eastAsia="en-US"/>
        </w:rPr>
        <w:t xml:space="preserve">Similarly, the </w:t>
      </w:r>
      <w:r w:rsidRPr="00AA3F23">
        <w:t>N</w:t>
      </w:r>
      <w:r>
        <w:t xml:space="preserve">orthern </w:t>
      </w:r>
      <w:r w:rsidRPr="00AA3F23">
        <w:t>T</w:t>
      </w:r>
      <w:r>
        <w:t>erritory</w:t>
      </w:r>
      <w:r w:rsidRPr="00AA3F23">
        <w:t xml:space="preserve"> </w:t>
      </w:r>
      <w:r>
        <w:t>obliges duty holders</w:t>
      </w:r>
      <w:r w:rsidRPr="00AA3F23">
        <w:t xml:space="preserve"> to provide reasonable accommodation to any person who has a “special need” because of an attribute.</w:t>
      </w:r>
      <w:r w:rsidRPr="00AA3F23">
        <w:rPr>
          <w:rStyle w:val="FootnoteReference"/>
        </w:rPr>
        <w:footnoteReference w:id="1108"/>
      </w:r>
      <w:r w:rsidRPr="00AA3F23">
        <w:t xml:space="preserve"> </w:t>
      </w:r>
    </w:p>
    <w:p w14:paraId="3F61A140" w14:textId="77777777" w:rsidR="004A000C" w:rsidRPr="006A3A50" w:rsidRDefault="004A000C" w:rsidP="004A000C">
      <w:pPr>
        <w:pStyle w:val="NormalAutoChapter"/>
        <w:rPr>
          <w:color w:val="auto"/>
          <w:szCs w:val="22"/>
          <w:lang w:eastAsia="en-US"/>
        </w:rPr>
      </w:pPr>
      <w:r>
        <w:rPr>
          <w:color w:val="auto"/>
          <w:szCs w:val="22"/>
          <w:lang w:eastAsia="en-US"/>
        </w:rPr>
        <w:t>Alternatively, an obligation to provide</w:t>
      </w:r>
      <w:r w:rsidRPr="00D663EE">
        <w:rPr>
          <w:color w:val="auto"/>
          <w:szCs w:val="22"/>
          <w:lang w:eastAsia="en-US"/>
        </w:rPr>
        <w:t xml:space="preserve"> adjustments </w:t>
      </w:r>
      <w:r>
        <w:rPr>
          <w:color w:val="auto"/>
          <w:szCs w:val="22"/>
          <w:lang w:eastAsia="en-US"/>
        </w:rPr>
        <w:t xml:space="preserve">could apply </w:t>
      </w:r>
      <w:r w:rsidRPr="00D663EE">
        <w:rPr>
          <w:color w:val="auto"/>
          <w:szCs w:val="22"/>
          <w:lang w:eastAsia="en-US"/>
        </w:rPr>
        <w:t xml:space="preserve">to </w:t>
      </w:r>
      <w:r>
        <w:rPr>
          <w:color w:val="auto"/>
          <w:szCs w:val="22"/>
          <w:lang w:eastAsia="en-US"/>
        </w:rPr>
        <w:t>certain, specified</w:t>
      </w:r>
      <w:r w:rsidRPr="00D663EE">
        <w:rPr>
          <w:color w:val="auto"/>
          <w:szCs w:val="22"/>
          <w:lang w:eastAsia="en-US"/>
        </w:rPr>
        <w:t xml:space="preserve"> protected attributes </w:t>
      </w:r>
      <w:r>
        <w:rPr>
          <w:color w:val="auto"/>
          <w:szCs w:val="22"/>
          <w:lang w:eastAsia="en-US"/>
        </w:rPr>
        <w:t>and</w:t>
      </w:r>
      <w:r w:rsidRPr="00D663EE">
        <w:rPr>
          <w:color w:val="auto"/>
          <w:szCs w:val="22"/>
          <w:lang w:eastAsia="en-US"/>
        </w:rPr>
        <w:t xml:space="preserve"> contexts. </w:t>
      </w:r>
      <w:r w:rsidRPr="00D663EE">
        <w:rPr>
          <w:szCs w:val="22"/>
        </w:rPr>
        <w:t>For example, Victoria prohibits employers from unreasonably refusing to accommodate an employee’s responsibilities as a parent or carer.</w:t>
      </w:r>
      <w:r w:rsidRPr="00DB154A">
        <w:rPr>
          <w:rStyle w:val="FootnoteReference"/>
          <w:sz w:val="22"/>
          <w:szCs w:val="22"/>
        </w:rPr>
        <w:footnoteReference w:id="1109"/>
      </w:r>
      <w:r w:rsidRPr="00D663EE">
        <w:rPr>
          <w:szCs w:val="22"/>
        </w:rPr>
        <w:t xml:space="preserve"> </w:t>
      </w:r>
    </w:p>
    <w:p w14:paraId="1F73EB52" w14:textId="77777777" w:rsidR="004A000C" w:rsidRDefault="004A000C" w:rsidP="004A000C">
      <w:pPr>
        <w:pStyle w:val="NormalAutoChapter"/>
      </w:pPr>
      <w:r>
        <w:t>The Law Reform Commission of Western Australia (LRCWA) recommended the obligation cover, at minimum, people with needs arising from family responsibilities or carer obligations, pregnancy and breastfeeding, as well as people with disability. The LRCWA also thought the option of extending the duty to all attributes and areas of life should be considered.</w:t>
      </w:r>
      <w:r>
        <w:rPr>
          <w:rStyle w:val="FootnoteReference"/>
        </w:rPr>
        <w:footnoteReference w:id="1110"/>
      </w:r>
    </w:p>
    <w:p w14:paraId="3D175ED0" w14:textId="77777777" w:rsidR="004A000C" w:rsidRDefault="004A000C" w:rsidP="004A000C">
      <w:pPr>
        <w:pStyle w:val="NormalAutoChapter"/>
      </w:pPr>
      <w:r>
        <w:t xml:space="preserve">Applying the duty to all protected attributes would allow more people to benefit from adjustments. But this could be a significant change in NSW, where duty holders may be less familiar with the concept of adjustments. Introducing a requirement to </w:t>
      </w:r>
      <w:proofErr w:type="gramStart"/>
      <w:r>
        <w:t>make adjustments</w:t>
      </w:r>
      <w:proofErr w:type="gramEnd"/>
      <w:r>
        <w:t xml:space="preserve"> in relation to a smaller range of attributes could give duty holders more time to prepare. </w:t>
      </w:r>
    </w:p>
    <w:p w14:paraId="449D29FA" w14:textId="77777777" w:rsidR="004A000C" w:rsidRPr="00667ECB" w:rsidRDefault="004A000C" w:rsidP="004A000C">
      <w:pPr>
        <w:pStyle w:val="NormalAutoChapter"/>
      </w:pPr>
      <w:r>
        <w:t xml:space="preserve">We discuss how a duty to </w:t>
      </w:r>
      <w:proofErr w:type="gramStart"/>
      <w:r>
        <w:t>make adjustments</w:t>
      </w:r>
      <w:proofErr w:type="gramEnd"/>
      <w:r>
        <w:t xml:space="preserve"> relates to inherent requirement exceptions in more detail </w:t>
      </w:r>
      <w:r w:rsidRPr="00255AB8">
        <w:t>in chapter 6.</w:t>
      </w:r>
    </w:p>
    <w:p w14:paraId="5C60428C" w14:textId="77777777" w:rsidR="004A000C" w:rsidRPr="000D6EDA" w:rsidRDefault="004A000C" w:rsidP="004A000C">
      <w:pPr>
        <w:pStyle w:val="Recommendationheading"/>
      </w:pPr>
      <w:r w:rsidRPr="000D6EDA">
        <w:t>Question</w:t>
      </w:r>
      <w:r>
        <w:t xml:space="preserve"> 11</w:t>
      </w:r>
      <w:r w:rsidRPr="000D6EDA">
        <w:t>.</w:t>
      </w:r>
      <w:r>
        <w:t>1</w:t>
      </w:r>
      <w:r w:rsidRPr="000D6EDA">
        <w:t xml:space="preserve">: </w:t>
      </w:r>
      <w:r>
        <w:t>Adjustments</w:t>
      </w:r>
      <w:r w:rsidRPr="000D6EDA">
        <w:t xml:space="preserve"> </w:t>
      </w:r>
    </w:p>
    <w:p w14:paraId="73E5CFD2" w14:textId="77777777" w:rsidR="004A000C" w:rsidRDefault="004A000C" w:rsidP="004A000C">
      <w:pPr>
        <w:pStyle w:val="Recommendationhanging1"/>
        <w:numPr>
          <w:ilvl w:val="0"/>
          <w:numId w:val="31"/>
        </w:numPr>
      </w:pPr>
      <w:r w:rsidRPr="000D6EDA">
        <w:t>Should the</w:t>
      </w:r>
      <w:r>
        <w:t xml:space="preserve"> ADA impose </w:t>
      </w:r>
      <w:r w:rsidRPr="000D6EDA">
        <w:t>a duty to provide adjustments</w:t>
      </w:r>
      <w:r>
        <w:t xml:space="preserve">? If so, what attributes should this apply to? </w:t>
      </w:r>
    </w:p>
    <w:p w14:paraId="526298C2" w14:textId="77777777" w:rsidR="004A000C" w:rsidRDefault="004A000C" w:rsidP="004A000C">
      <w:pPr>
        <w:pStyle w:val="Recommendationhanging1"/>
        <w:numPr>
          <w:ilvl w:val="0"/>
          <w:numId w:val="31"/>
        </w:numPr>
      </w:pPr>
      <w:r>
        <w:t>S</w:t>
      </w:r>
      <w:r w:rsidRPr="000D6EDA">
        <w:t xml:space="preserve">hould this be a </w:t>
      </w:r>
      <w:r>
        <w:t>separate</w:t>
      </w:r>
      <w:r w:rsidRPr="000D6EDA">
        <w:t xml:space="preserve"> duty</w:t>
      </w:r>
      <w:r>
        <w:t>, form part of the tests for discrimination, or is there another preferred approach?</w:t>
      </w:r>
    </w:p>
    <w:p w14:paraId="2B8B32DA" w14:textId="77777777" w:rsidR="004A000C" w:rsidRDefault="004A000C" w:rsidP="004A000C">
      <w:pPr>
        <w:pStyle w:val="Recommendationhanging1"/>
        <w:numPr>
          <w:ilvl w:val="0"/>
          <w:numId w:val="31"/>
        </w:numPr>
      </w:pPr>
      <w:r>
        <w:t>Should a person with a protected attribute first have to request an adjustment, before the obligation to provide one arises?</w:t>
      </w:r>
    </w:p>
    <w:p w14:paraId="162AB003" w14:textId="77777777" w:rsidR="004A000C" w:rsidRPr="000D6EDA" w:rsidRDefault="004A000C" w:rsidP="004A000C">
      <w:pPr>
        <w:pStyle w:val="Recommendationhanging1"/>
        <w:numPr>
          <w:ilvl w:val="0"/>
          <w:numId w:val="31"/>
        </w:numPr>
      </w:pPr>
      <w:r>
        <w:t xml:space="preserve">What test should be used to determine the scope of, including any limits to, the obligation to provide adjustments?  </w:t>
      </w:r>
    </w:p>
    <w:p w14:paraId="7EAF1C42" w14:textId="77777777" w:rsidR="004A000C" w:rsidRDefault="004A000C" w:rsidP="004A000C">
      <w:pPr>
        <w:pStyle w:val="Heading1"/>
      </w:pPr>
      <w:bookmarkStart w:id="489" w:name="_Toc196748906"/>
      <w:bookmarkStart w:id="490" w:name="_Toc196826968"/>
      <w:r>
        <w:lastRenderedPageBreak/>
        <w:t>Special measures</w:t>
      </w:r>
      <w:bookmarkEnd w:id="489"/>
      <w:bookmarkEnd w:id="490"/>
    </w:p>
    <w:p w14:paraId="1EDC0085" w14:textId="77777777" w:rsidR="004A000C" w:rsidRDefault="004A000C" w:rsidP="004A000C">
      <w:pPr>
        <w:pStyle w:val="NormalAutoChapter"/>
      </w:pPr>
      <w:r>
        <w:t>“Special measures” are benefits, programs or policies that support some or all members of a disadvantaged group. They are implemented for the sole purpose of promoting substantive equality and redressing historical disadvantage. The concept comes from international human rights law.</w:t>
      </w:r>
      <w:r>
        <w:rPr>
          <w:rStyle w:val="FootnoteReference"/>
        </w:rPr>
        <w:footnoteReference w:id="1111"/>
      </w:r>
      <w:r>
        <w:t xml:space="preserve"> </w:t>
      </w:r>
    </w:p>
    <w:p w14:paraId="790CC18F" w14:textId="77777777" w:rsidR="004A000C" w:rsidRDefault="004A000C" w:rsidP="004A000C">
      <w:pPr>
        <w:pStyle w:val="NormalAutoChapter"/>
      </w:pPr>
      <w:r>
        <w:t>Although special measures involve treating people differently, this is not considered discrimination. This is because the purpose of a special measure is to secure the advancement of the group, so they can exercise and enjoy human rights and fundamental freedoms equally with others.</w:t>
      </w:r>
      <w:r>
        <w:rPr>
          <w:rStyle w:val="FootnoteReference"/>
        </w:rPr>
        <w:footnoteReference w:id="1112"/>
      </w:r>
      <w:r>
        <w:t xml:space="preserve"> </w:t>
      </w:r>
    </w:p>
    <w:p w14:paraId="796A8395" w14:textId="77777777" w:rsidR="004A000C" w:rsidRDefault="004A000C" w:rsidP="004A000C">
      <w:pPr>
        <w:pStyle w:val="NormalAutoChapter"/>
      </w:pPr>
      <w:r>
        <w:t xml:space="preserve">Examples of special measures could include: </w:t>
      </w:r>
    </w:p>
    <w:p w14:paraId="0646D60E" w14:textId="77777777" w:rsidR="004A000C" w:rsidRDefault="004A000C" w:rsidP="004A000C">
      <w:pPr>
        <w:pStyle w:val="Normalbullet"/>
      </w:pPr>
      <w:r>
        <w:t>a</w:t>
      </w:r>
      <w:r w:rsidRPr="00ED2293">
        <w:t xml:space="preserve"> swimming pool located in an area with a significant Muslim population </w:t>
      </w:r>
      <w:r>
        <w:t>holding</w:t>
      </w:r>
      <w:r w:rsidRPr="00ED2293">
        <w:t xml:space="preserve"> women-only swimming sessions to enable Muslim women to use the pool</w:t>
      </w:r>
      <w:r>
        <w:t xml:space="preserve">, or </w:t>
      </w:r>
    </w:p>
    <w:p w14:paraId="668E925A" w14:textId="77777777" w:rsidR="004A000C" w:rsidRDefault="004A000C" w:rsidP="004A000C">
      <w:pPr>
        <w:pStyle w:val="Normalbullet"/>
      </w:pPr>
      <w:r>
        <w:t>a company in an industry in which Aboriginal and Torres Strait Islander people are under-represented developing a training program to increase employment opportunities for Aboriginal and Torres Strait Islander people.</w:t>
      </w:r>
      <w:r>
        <w:rPr>
          <w:rStyle w:val="FootnoteReference"/>
        </w:rPr>
        <w:footnoteReference w:id="1113"/>
      </w:r>
    </w:p>
    <w:p w14:paraId="06917A8A" w14:textId="77777777" w:rsidR="004A000C" w:rsidRDefault="004A000C" w:rsidP="004A000C">
      <w:pPr>
        <w:pStyle w:val="Heading2"/>
      </w:pPr>
      <w:bookmarkStart w:id="491" w:name="_Toc196748907"/>
      <w:bookmarkStart w:id="492" w:name="_Toc196826969"/>
      <w:r>
        <w:t>The ADA’s approach</w:t>
      </w:r>
      <w:bookmarkEnd w:id="491"/>
      <w:bookmarkEnd w:id="492"/>
      <w:r>
        <w:t xml:space="preserve"> </w:t>
      </w:r>
    </w:p>
    <w:p w14:paraId="1616AC91" w14:textId="77777777" w:rsidR="004A000C" w:rsidRDefault="004A000C" w:rsidP="004A000C">
      <w:pPr>
        <w:pStyle w:val="NormalAutoChapter"/>
      </w:pPr>
      <w:r>
        <w:t>The ADA does not generally provide for special measures. Instead, it has:</w:t>
      </w:r>
    </w:p>
    <w:p w14:paraId="7EE7057F" w14:textId="77777777" w:rsidR="004A000C" w:rsidRDefault="004A000C" w:rsidP="004A000C">
      <w:pPr>
        <w:pStyle w:val="Normalbullet"/>
      </w:pPr>
      <w:r>
        <w:t xml:space="preserve">narrow “special needs” exceptions relating to race and age discrimination, and </w:t>
      </w:r>
    </w:p>
    <w:p w14:paraId="7FCADCA2" w14:textId="77777777" w:rsidR="004A000C" w:rsidRDefault="004A000C" w:rsidP="004A000C">
      <w:pPr>
        <w:pStyle w:val="Normalbullet"/>
      </w:pPr>
      <w:r>
        <w:t>processes for duty holders to seek exemptions and certifications to undertake actions that promote equal opportunity.</w:t>
      </w:r>
    </w:p>
    <w:p w14:paraId="247F2AAA" w14:textId="77777777" w:rsidR="004A000C" w:rsidRDefault="004A000C" w:rsidP="004A000C">
      <w:pPr>
        <w:pStyle w:val="Heading3"/>
      </w:pPr>
      <w:r>
        <w:t xml:space="preserve">Special needs exceptions </w:t>
      </w:r>
    </w:p>
    <w:p w14:paraId="3D948051" w14:textId="77777777" w:rsidR="004A000C" w:rsidRPr="000C3D56" w:rsidRDefault="004A000C" w:rsidP="004A000C">
      <w:pPr>
        <w:pStyle w:val="NormalAutoChapter"/>
        <w:rPr>
          <w:color w:val="auto"/>
        </w:rPr>
      </w:pPr>
      <w:r w:rsidRPr="000D060F">
        <w:rPr>
          <w:color w:val="auto"/>
        </w:rPr>
        <w:t xml:space="preserve">The ADA </w:t>
      </w:r>
      <w:r>
        <w:rPr>
          <w:color w:val="auto"/>
        </w:rPr>
        <w:t>has</w:t>
      </w:r>
      <w:r w:rsidRPr="000D060F">
        <w:rPr>
          <w:color w:val="auto"/>
        </w:rPr>
        <w:t xml:space="preserve"> </w:t>
      </w:r>
      <w:r>
        <w:rPr>
          <w:color w:val="auto"/>
        </w:rPr>
        <w:t xml:space="preserve">“special needs” </w:t>
      </w:r>
      <w:r w:rsidRPr="000D060F">
        <w:rPr>
          <w:color w:val="auto"/>
        </w:rPr>
        <w:t xml:space="preserve">exceptions </w:t>
      </w:r>
      <w:r>
        <w:rPr>
          <w:color w:val="auto"/>
        </w:rPr>
        <w:t xml:space="preserve">to racial discrimination and vilification, and to age discrimination. </w:t>
      </w:r>
      <w:r w:rsidRPr="000D060F">
        <w:rPr>
          <w:color w:val="auto"/>
        </w:rPr>
        <w:t xml:space="preserve">The exceptions apply to anything done to </w:t>
      </w:r>
      <w:r>
        <w:rPr>
          <w:color w:val="auto"/>
        </w:rPr>
        <w:t>provide certain people with</w:t>
      </w:r>
      <w:r w:rsidRPr="000D060F">
        <w:rPr>
          <w:color w:val="auto"/>
        </w:rPr>
        <w:t xml:space="preserve"> access to facilities, services or opportunities to meet the</w:t>
      </w:r>
      <w:r>
        <w:rPr>
          <w:color w:val="auto"/>
        </w:rPr>
        <w:t>ir</w:t>
      </w:r>
      <w:r w:rsidRPr="000D060F">
        <w:rPr>
          <w:color w:val="auto"/>
        </w:rPr>
        <w:t xml:space="preserve"> special needs</w:t>
      </w:r>
      <w:r>
        <w:rPr>
          <w:color w:val="auto"/>
        </w:rPr>
        <w:t xml:space="preserve"> or to promote equal and improved access</w:t>
      </w:r>
      <w:r w:rsidRPr="000D060F">
        <w:rPr>
          <w:color w:val="auto"/>
        </w:rPr>
        <w:t>.</w:t>
      </w:r>
      <w:r w:rsidRPr="000D060F">
        <w:rPr>
          <w:rStyle w:val="FootnoteReference"/>
          <w:color w:val="auto"/>
        </w:rPr>
        <w:footnoteReference w:id="1114"/>
      </w:r>
      <w:r w:rsidRPr="000D060F">
        <w:rPr>
          <w:color w:val="auto"/>
        </w:rPr>
        <w:t xml:space="preserve"> </w:t>
      </w:r>
      <w:r>
        <w:t xml:space="preserve">These exceptions do not promote the rights of people with other attributes. </w:t>
      </w:r>
    </w:p>
    <w:p w14:paraId="050B84FD" w14:textId="77777777" w:rsidR="004A000C" w:rsidRPr="00231E29" w:rsidRDefault="004A000C" w:rsidP="004A000C">
      <w:pPr>
        <w:pStyle w:val="NormalAutoChapter"/>
        <w:rPr>
          <w:color w:val="auto"/>
        </w:rPr>
      </w:pPr>
      <w:r>
        <w:t>The ADA has other exceptions of a similar nature. For example:</w:t>
      </w:r>
      <w:r w:rsidRPr="0073630D">
        <w:rPr>
          <w:rFonts w:cs="Times New Roman"/>
          <w:color w:val="auto"/>
          <w:lang w:eastAsia="en-US"/>
        </w:rPr>
        <w:t xml:space="preserve"> </w:t>
      </w:r>
    </w:p>
    <w:p w14:paraId="25F97E0E" w14:textId="77777777" w:rsidR="004A000C" w:rsidRPr="00F423AF" w:rsidRDefault="004A000C" w:rsidP="004A000C">
      <w:pPr>
        <w:pStyle w:val="Normalbullet"/>
      </w:pPr>
      <w:r w:rsidRPr="00F423AF">
        <w:lastRenderedPageBreak/>
        <w:t xml:space="preserve">a </w:t>
      </w:r>
      <w:r>
        <w:t>duty holder</w:t>
      </w:r>
      <w:r w:rsidRPr="00F423AF">
        <w:t xml:space="preserve"> can discriminate against men to give women rights or benefits </w:t>
      </w:r>
      <w:r>
        <w:t>relating to</w:t>
      </w:r>
      <w:r w:rsidRPr="00F423AF">
        <w:t xml:space="preserve"> pregnancy, childbirth or breastfeeding, and   </w:t>
      </w:r>
    </w:p>
    <w:p w14:paraId="6F65B600" w14:textId="77777777" w:rsidR="004A000C" w:rsidRDefault="004A000C" w:rsidP="004A000C">
      <w:pPr>
        <w:pStyle w:val="Normalbullet"/>
      </w:pPr>
      <w:r>
        <w:t>educational authorities can discriminate based on race in certain situations, such as running language classes for migrants.</w:t>
      </w:r>
      <w:r>
        <w:rPr>
          <w:rStyle w:val="FootnoteReference"/>
        </w:rPr>
        <w:footnoteReference w:id="1115"/>
      </w:r>
      <w:r>
        <w:t xml:space="preserve"> </w:t>
      </w:r>
    </w:p>
    <w:p w14:paraId="2C0412D1" w14:textId="77777777" w:rsidR="004A000C" w:rsidRPr="00A427DF" w:rsidRDefault="004A000C" w:rsidP="004A000C">
      <w:pPr>
        <w:pStyle w:val="Heading3"/>
      </w:pPr>
      <w:r>
        <w:t>Exemptions</w:t>
      </w:r>
    </w:p>
    <w:p w14:paraId="3352964C" w14:textId="77777777" w:rsidR="004A000C" w:rsidRPr="00231E29" w:rsidRDefault="004A000C" w:rsidP="004A000C">
      <w:pPr>
        <w:pStyle w:val="NormalAutoChapter"/>
        <w:rPr>
          <w:color w:val="auto"/>
        </w:rPr>
      </w:pPr>
      <w:bookmarkStart w:id="493" w:name="_Hlk196382237"/>
      <w:r>
        <w:t>If a duty holder wishes to take affirmative action in relation to people with any other protected attribute, they can apply to the President of Anti-Discrimination NSW (ADNSW) for an exemption</w:t>
      </w:r>
      <w:bookmarkEnd w:id="493"/>
      <w:r>
        <w:t>.</w:t>
      </w:r>
      <w:r w:rsidRPr="00796D27">
        <w:rPr>
          <w:rStyle w:val="FootnoteReference"/>
        </w:rPr>
        <w:footnoteReference w:id="1116"/>
      </w:r>
      <w:r>
        <w:t xml:space="preserve"> </w:t>
      </w:r>
    </w:p>
    <w:p w14:paraId="025CA832" w14:textId="77777777" w:rsidR="004A000C" w:rsidRPr="00D078DA" w:rsidRDefault="004A000C" w:rsidP="004A000C">
      <w:pPr>
        <w:pStyle w:val="NormalAutoChapter"/>
        <w:rPr>
          <w:color w:val="auto"/>
        </w:rPr>
      </w:pPr>
      <w:r>
        <w:t>For instance, exemptions might be granted for activities that help improve</w:t>
      </w:r>
      <w:r>
        <w:rPr>
          <w:color w:val="auto"/>
        </w:rPr>
        <w:t xml:space="preserve"> access to jobs, programs, services or facilities for groups that experience discrimination. An example might be targeted jobs or recruitment programs for people with protected attributes.</w:t>
      </w:r>
      <w:r>
        <w:rPr>
          <w:rStyle w:val="FootnoteReference"/>
        </w:rPr>
        <w:footnoteReference w:id="1117"/>
      </w:r>
      <w:r>
        <w:t xml:space="preserve"> </w:t>
      </w:r>
    </w:p>
    <w:p w14:paraId="37AD3DB0" w14:textId="77777777" w:rsidR="004A000C" w:rsidRPr="00187EEA" w:rsidRDefault="004A000C" w:rsidP="004A000C">
      <w:pPr>
        <w:pStyle w:val="NormalAutoChapter"/>
        <w:rPr>
          <w:color w:val="auto"/>
        </w:rPr>
      </w:pPr>
      <w:r w:rsidRPr="00187EEA">
        <w:rPr>
          <w:color w:val="auto"/>
        </w:rPr>
        <w:t xml:space="preserve">Exemptions were intended </w:t>
      </w:r>
      <w:r>
        <w:rPr>
          <w:color w:val="auto"/>
        </w:rPr>
        <w:t>to be a</w:t>
      </w:r>
      <w:r w:rsidRPr="00187EEA">
        <w:rPr>
          <w:color w:val="auto"/>
        </w:rPr>
        <w:t xml:space="preserve"> transitional measure to </w:t>
      </w:r>
      <w:r>
        <w:rPr>
          <w:color w:val="auto"/>
        </w:rPr>
        <w:t>give duty holder</w:t>
      </w:r>
      <w:r w:rsidRPr="00187EEA">
        <w:rPr>
          <w:color w:val="auto"/>
        </w:rPr>
        <w:t xml:space="preserve">s </w:t>
      </w:r>
      <w:r>
        <w:rPr>
          <w:color w:val="auto"/>
        </w:rPr>
        <w:t xml:space="preserve">time </w:t>
      </w:r>
      <w:r w:rsidRPr="00187EEA">
        <w:rPr>
          <w:color w:val="auto"/>
        </w:rPr>
        <w:t>to comply with the ADA.</w:t>
      </w:r>
      <w:r w:rsidRPr="00461EB8">
        <w:rPr>
          <w:color w:val="auto"/>
          <w:vertAlign w:val="superscript"/>
        </w:rPr>
        <w:footnoteReference w:id="1118"/>
      </w:r>
      <w:r>
        <w:rPr>
          <w:color w:val="auto"/>
        </w:rPr>
        <w:t xml:space="preserve"> However, their use has increased over time. </w:t>
      </w:r>
      <w:r>
        <w:rPr>
          <w:lang w:eastAsia="en-US"/>
        </w:rPr>
        <w:t>In 2023–2024, 77 exemption applications were made, of which 65 were granted. By comparison, 49 applications were made in 2018–2019, of which 35 were granted.</w:t>
      </w:r>
      <w:r>
        <w:rPr>
          <w:rStyle w:val="FootnoteReference"/>
          <w:lang w:eastAsia="en-US"/>
        </w:rPr>
        <w:footnoteReference w:id="1119"/>
      </w:r>
      <w:r>
        <w:rPr>
          <w:lang w:eastAsia="en-US"/>
        </w:rPr>
        <w:t xml:space="preserve">  </w:t>
      </w:r>
    </w:p>
    <w:p w14:paraId="0C245346" w14:textId="77777777" w:rsidR="004A000C" w:rsidRDefault="004A000C" w:rsidP="004A000C">
      <w:pPr>
        <w:pStyle w:val="NormalAutoChapter"/>
      </w:pPr>
      <w:r>
        <w:t>In assessing an exemption application, the President of ADNSW must consider:</w:t>
      </w:r>
    </w:p>
    <w:p w14:paraId="689B4FBC" w14:textId="77777777" w:rsidR="004A000C" w:rsidRDefault="004A000C" w:rsidP="004A000C">
      <w:pPr>
        <w:pStyle w:val="Normalbullet"/>
      </w:pPr>
      <w:r>
        <w:t>whether it is necessary, and appropriate or reasonable</w:t>
      </w:r>
    </w:p>
    <w:p w14:paraId="294EDF0D" w14:textId="77777777" w:rsidR="004A000C" w:rsidRDefault="004A000C" w:rsidP="004A000C">
      <w:pPr>
        <w:pStyle w:val="Normalbullet"/>
      </w:pPr>
      <w:r>
        <w:t>whether there are non-discriminatory ways of achieving the purpose of the exemption</w:t>
      </w:r>
    </w:p>
    <w:p w14:paraId="51CFC3F2" w14:textId="77777777" w:rsidR="004A000C" w:rsidRDefault="004A000C" w:rsidP="004A000C">
      <w:pPr>
        <w:pStyle w:val="Normalbullet"/>
      </w:pPr>
      <w:r>
        <w:t>whether the applicant can take or has taken reasonable steps to avoid any adverse impact of the exemption</w:t>
      </w:r>
    </w:p>
    <w:p w14:paraId="2A9D0D08" w14:textId="77777777" w:rsidR="004A000C" w:rsidRDefault="004A000C" w:rsidP="004A000C">
      <w:pPr>
        <w:pStyle w:val="Normalbullet"/>
      </w:pPr>
      <w:r>
        <w:t>the community impact of granting the exemption, and</w:t>
      </w:r>
    </w:p>
    <w:p w14:paraId="6609B7E2" w14:textId="77777777" w:rsidR="004A000C" w:rsidRDefault="004A000C" w:rsidP="004A000C">
      <w:pPr>
        <w:pStyle w:val="Normalbullet"/>
      </w:pPr>
      <w:r>
        <w:t>any conditions or limitations that could be imposed.</w:t>
      </w:r>
      <w:r>
        <w:rPr>
          <w:rStyle w:val="FootnoteReference"/>
        </w:rPr>
        <w:footnoteReference w:id="1120"/>
      </w:r>
    </w:p>
    <w:p w14:paraId="1DE039FC" w14:textId="77777777" w:rsidR="004A000C" w:rsidRDefault="004A000C" w:rsidP="004A000C">
      <w:pPr>
        <w:pStyle w:val="NormalAutoChapter"/>
      </w:pPr>
      <w:r>
        <w:lastRenderedPageBreak/>
        <w:t>ADNSW asks applicants to provide them with information that meets these criteria, as well as background information about the applicant’s business and any anti-discrimination policies or initiatives it has in place.</w:t>
      </w:r>
      <w:r>
        <w:rPr>
          <w:rStyle w:val="FootnoteReference"/>
        </w:rPr>
        <w:footnoteReference w:id="1121"/>
      </w:r>
      <w:r>
        <w:t xml:space="preserve">  </w:t>
      </w:r>
    </w:p>
    <w:p w14:paraId="3E1D4D11" w14:textId="77777777" w:rsidR="004A000C" w:rsidRDefault="004A000C" w:rsidP="004A000C">
      <w:pPr>
        <w:pStyle w:val="NormalAutoChapter"/>
      </w:pPr>
      <w:r>
        <w:t>The President has the power to vary or revoke an exemption, considering the criteria listed above.</w:t>
      </w:r>
      <w:r>
        <w:rPr>
          <w:rStyle w:val="FootnoteReference"/>
        </w:rPr>
        <w:footnoteReference w:id="1122"/>
      </w:r>
      <w:r>
        <w:t xml:space="preserve"> ADNSW asks e</w:t>
      </w:r>
      <w:r w:rsidRPr="00796D27">
        <w:t>xemptio</w:t>
      </w:r>
      <w:r>
        <w:t>n-holders to provide exemption compliance reports to monitor compliance with the exemption and any conditions attached to it.</w:t>
      </w:r>
      <w:r>
        <w:rPr>
          <w:rStyle w:val="FootnoteReference"/>
        </w:rPr>
        <w:footnoteReference w:id="1123"/>
      </w:r>
      <w:r>
        <w:t xml:space="preserve"> </w:t>
      </w:r>
    </w:p>
    <w:p w14:paraId="05225AD3" w14:textId="77777777" w:rsidR="004A000C" w:rsidRDefault="004A000C" w:rsidP="004A000C">
      <w:pPr>
        <w:pStyle w:val="Heading3"/>
      </w:pPr>
      <w:r>
        <w:t xml:space="preserve">Certifications </w:t>
      </w:r>
    </w:p>
    <w:p w14:paraId="1202F55F" w14:textId="77777777" w:rsidR="004A000C" w:rsidRDefault="004A000C" w:rsidP="004A000C">
      <w:pPr>
        <w:pStyle w:val="NormalAutoChapter"/>
      </w:pPr>
      <w:r>
        <w:t>An alternative process is for a duty holder to seek “certification” of a special needs program or activity.</w:t>
      </w:r>
      <w:r w:rsidRPr="00EA198A">
        <w:t xml:space="preserve"> Certifications are approvals granted by the </w:t>
      </w:r>
      <w:r>
        <w:t xml:space="preserve">NSW </w:t>
      </w:r>
      <w:r w:rsidRPr="00EA198A">
        <w:t>Attorney General</w:t>
      </w:r>
      <w:r>
        <w:t xml:space="preserve"> </w:t>
      </w:r>
      <w:r w:rsidRPr="00EA198A">
        <w:t xml:space="preserve">for activities </w:t>
      </w:r>
      <w:r>
        <w:t>with a primary purpose</w:t>
      </w:r>
      <w:r w:rsidRPr="00EA198A">
        <w:t xml:space="preserve"> to promote or improve access </w:t>
      </w:r>
      <w:r>
        <w:t>to</w:t>
      </w:r>
      <w:r w:rsidRPr="00EA198A">
        <w:t xml:space="preserve"> facilities, services or opportunities t</w:t>
      </w:r>
      <w:r>
        <w:t>hat</w:t>
      </w:r>
      <w:r w:rsidRPr="00EA198A">
        <w:t xml:space="preserve"> meet the </w:t>
      </w:r>
      <w:r>
        <w:t xml:space="preserve">special </w:t>
      </w:r>
      <w:r w:rsidRPr="00EA198A">
        <w:t xml:space="preserve">needs of people </w:t>
      </w:r>
      <w:r>
        <w:t>affected by</w:t>
      </w:r>
      <w:r w:rsidRPr="00EA198A">
        <w:t xml:space="preserve"> unlawful</w:t>
      </w:r>
      <w:r>
        <w:t xml:space="preserve"> discrimination.</w:t>
      </w:r>
      <w:r>
        <w:rPr>
          <w:rStyle w:val="FootnoteReference"/>
        </w:rPr>
        <w:footnoteReference w:id="1124"/>
      </w:r>
      <w:r>
        <w:t xml:space="preserve"> For example, certification has been granted to programs for women in male-dominated industries.</w:t>
      </w:r>
      <w:r>
        <w:rPr>
          <w:rStyle w:val="FootnoteReference"/>
        </w:rPr>
        <w:footnoteReference w:id="1125"/>
      </w:r>
      <w:r>
        <w:t xml:space="preserve"> </w:t>
      </w:r>
    </w:p>
    <w:p w14:paraId="168BF124" w14:textId="77777777" w:rsidR="004A000C" w:rsidRDefault="004A000C" w:rsidP="004A000C">
      <w:pPr>
        <w:pStyle w:val="NormalAutoChapter"/>
      </w:pPr>
      <w:r>
        <w:t xml:space="preserve">Certification provides an exception for anything done by a person in good faith for the purposes of the certified program or activity. The exception applies to discrimination based on sex, transgender grounds, </w:t>
      </w:r>
      <w:r w:rsidRPr="005C6DF9">
        <w:t>marital or domestic status, disability, carer</w:t>
      </w:r>
      <w:r>
        <w:t>’s</w:t>
      </w:r>
      <w:r w:rsidRPr="005C6DF9">
        <w:t xml:space="preserve"> responsibilities and homosexuality.</w:t>
      </w:r>
      <w:r>
        <w:rPr>
          <w:rStyle w:val="FootnoteReference"/>
        </w:rPr>
        <w:footnoteReference w:id="1126"/>
      </w:r>
      <w:r>
        <w:t xml:space="preserve"> </w:t>
      </w:r>
    </w:p>
    <w:p w14:paraId="11AEAB54" w14:textId="77777777" w:rsidR="004A000C" w:rsidRDefault="004A000C" w:rsidP="004A000C">
      <w:pPr>
        <w:pStyle w:val="NormalAutoChapter"/>
      </w:pPr>
      <w:r>
        <w:t>Certifications are not required for programs based on race and age, which are covered by the ADA’s existing special needs exceptions.</w:t>
      </w:r>
    </w:p>
    <w:p w14:paraId="74EF604C" w14:textId="77777777" w:rsidR="004A000C" w:rsidRDefault="004A000C" w:rsidP="004A000C">
      <w:pPr>
        <w:pStyle w:val="NormalAutoChapter"/>
      </w:pPr>
      <w:r>
        <w:t>Compared to exemptions, certifications are relatively rare. Between 2018–19 to 2023–24, only 23 certifications were granted.</w:t>
      </w:r>
      <w:r>
        <w:rPr>
          <w:rStyle w:val="FootnoteReference"/>
        </w:rPr>
        <w:footnoteReference w:id="1127"/>
      </w:r>
      <w:r>
        <w:t xml:space="preserve"> In 2023–24, only 5 applications were made, of which 4 were granted.</w:t>
      </w:r>
      <w:r>
        <w:rPr>
          <w:rStyle w:val="FootnoteReference"/>
        </w:rPr>
        <w:footnoteReference w:id="1128"/>
      </w:r>
    </w:p>
    <w:p w14:paraId="1E4E38F3" w14:textId="77777777" w:rsidR="004A000C" w:rsidRPr="00FF05F9" w:rsidRDefault="004A000C" w:rsidP="004A000C">
      <w:pPr>
        <w:pStyle w:val="Heading3"/>
      </w:pPr>
      <w:r>
        <w:lastRenderedPageBreak/>
        <w:t>Concerns about the existing measures and processes</w:t>
      </w:r>
    </w:p>
    <w:p w14:paraId="39EB8723" w14:textId="77777777" w:rsidR="004A000C" w:rsidRDefault="004A000C" w:rsidP="004A000C">
      <w:pPr>
        <w:pStyle w:val="NormalAutoChapter"/>
      </w:pPr>
      <w:bookmarkStart w:id="494" w:name="_Hlk188544880"/>
      <w:r>
        <w:t xml:space="preserve">Many preliminary submissions raised issues about the current processes. </w:t>
      </w:r>
      <w:bookmarkEnd w:id="494"/>
      <w:r>
        <w:t>We heard that they are:</w:t>
      </w:r>
    </w:p>
    <w:p w14:paraId="1BAC20C9" w14:textId="77777777" w:rsidR="004A000C" w:rsidRDefault="004A000C" w:rsidP="004A000C">
      <w:pPr>
        <w:pStyle w:val="Normalbullet"/>
      </w:pPr>
      <w:r>
        <w:t>resource intensive for both ADNSW and for applicants</w:t>
      </w:r>
      <w:r>
        <w:rPr>
          <w:rStyle w:val="FootnoteReference"/>
        </w:rPr>
        <w:footnoteReference w:id="1129"/>
      </w:r>
    </w:p>
    <w:p w14:paraId="3572750B" w14:textId="77777777" w:rsidR="004A000C" w:rsidRDefault="004A000C" w:rsidP="004A000C">
      <w:pPr>
        <w:pStyle w:val="Normalbullet"/>
      </w:pPr>
      <w:r>
        <w:t>difficult for the public to understand due to the overlap between what is covered by each process,</w:t>
      </w:r>
      <w:r>
        <w:rPr>
          <w:rStyle w:val="FootnoteReference"/>
        </w:rPr>
        <w:footnoteReference w:id="1130"/>
      </w:r>
      <w:r>
        <w:t xml:space="preserve"> and</w:t>
      </w:r>
    </w:p>
    <w:p w14:paraId="0300FF6A" w14:textId="77777777" w:rsidR="004A000C" w:rsidRDefault="004A000C" w:rsidP="004A000C">
      <w:pPr>
        <w:pStyle w:val="Normalbullet"/>
      </w:pPr>
      <w:r>
        <w:t>inconsistent with the laws in all other states and territories, creating complexities for businesses operating across Australia.</w:t>
      </w:r>
      <w:r w:rsidRPr="00AA6908">
        <w:rPr>
          <w:vertAlign w:val="superscript"/>
        </w:rPr>
        <w:footnoteReference w:id="1131"/>
      </w:r>
    </w:p>
    <w:p w14:paraId="585345DF" w14:textId="77777777" w:rsidR="004A000C" w:rsidRDefault="004A000C" w:rsidP="004A000C">
      <w:pPr>
        <w:pStyle w:val="NormalAutoChapter"/>
      </w:pPr>
      <w:r w:rsidRPr="00FF05F9">
        <w:t>One reform option</w:t>
      </w:r>
      <w:r>
        <w:t>, supported by many preliminary submissions, would</w:t>
      </w:r>
      <w:r w:rsidRPr="00FF05F9">
        <w:t xml:space="preserve"> be </w:t>
      </w:r>
      <w:r>
        <w:t xml:space="preserve">for the ADA </w:t>
      </w:r>
      <w:r w:rsidRPr="00FF05F9">
        <w:t xml:space="preserve">to </w:t>
      </w:r>
      <w:r>
        <w:t xml:space="preserve">generally permit duty holders to take </w:t>
      </w:r>
      <w:r w:rsidRPr="00FF05F9">
        <w:t>special measures.</w:t>
      </w:r>
      <w:r>
        <w:t xml:space="preserve"> In 1999, the NSW Law Reform Commission (NSWLRC) also recommended a general special measures “exception” to the prohibition against discrimination.</w:t>
      </w:r>
      <w:r>
        <w:rPr>
          <w:rStyle w:val="FootnoteReference"/>
        </w:rPr>
        <w:footnoteReference w:id="1132"/>
      </w:r>
      <w:r>
        <w:t xml:space="preserve"> </w:t>
      </w:r>
    </w:p>
    <w:p w14:paraId="0DAC56FB" w14:textId="77777777" w:rsidR="004A000C" w:rsidRDefault="004A000C" w:rsidP="004A000C">
      <w:pPr>
        <w:pStyle w:val="NormalAutoChapter"/>
      </w:pPr>
      <w:r>
        <w:t>This could avoid the need for duty holders to apply for an exemption or certification each time they wanted to take steps to advance substantive equality. It might be particularly important for employers that wish to run affirmative action-style targeted recruitment campaigns.</w:t>
      </w:r>
      <w:r>
        <w:rPr>
          <w:rStyle w:val="FootnoteReference"/>
        </w:rPr>
        <w:footnoteReference w:id="1133"/>
      </w:r>
    </w:p>
    <w:p w14:paraId="279192EF" w14:textId="77777777" w:rsidR="004A000C" w:rsidRDefault="004A000C" w:rsidP="004A000C">
      <w:pPr>
        <w:pStyle w:val="Heading2"/>
      </w:pPr>
      <w:bookmarkStart w:id="495" w:name="_Toc196748908"/>
      <w:bookmarkStart w:id="496" w:name="_Toc196826970"/>
      <w:r>
        <w:t>Options for a potential new “special measures” section</w:t>
      </w:r>
      <w:bookmarkEnd w:id="495"/>
      <w:bookmarkEnd w:id="496"/>
    </w:p>
    <w:p w14:paraId="16BE93B3" w14:textId="77777777" w:rsidR="004A000C" w:rsidRDefault="004A000C" w:rsidP="004A000C">
      <w:pPr>
        <w:pStyle w:val="NormalAutoChapter"/>
      </w:pPr>
      <w:r>
        <w:t>If the ADA were to generally allow for special measures, one question is how this should be framed. Sometimes, special measures are seen as “exceptions” to the prohibition on discrimination.</w:t>
      </w:r>
      <w:r>
        <w:rPr>
          <w:rStyle w:val="FootnoteReference"/>
        </w:rPr>
        <w:footnoteReference w:id="1134"/>
      </w:r>
      <w:r>
        <w:t xml:space="preserve"> However, a better view is that they are “integral” to the meaning of the right to equality and discrimination, and not an exception to it.</w:t>
      </w:r>
      <w:r>
        <w:rPr>
          <w:rStyle w:val="FootnoteReference"/>
        </w:rPr>
        <w:footnoteReference w:id="1135"/>
      </w:r>
      <w:r>
        <w:t xml:space="preserve"> Some discrimination laws reflect this latter view.</w:t>
      </w:r>
      <w:r>
        <w:rPr>
          <w:rStyle w:val="FootnoteReference"/>
        </w:rPr>
        <w:footnoteReference w:id="1136"/>
      </w:r>
    </w:p>
    <w:p w14:paraId="2834E856" w14:textId="77777777" w:rsidR="004A000C" w:rsidRPr="00682C6E" w:rsidRDefault="004A000C" w:rsidP="004A000C">
      <w:pPr>
        <w:pStyle w:val="NormalAutoChapter"/>
        <w:rPr>
          <w:color w:val="auto"/>
        </w:rPr>
      </w:pPr>
      <w:r w:rsidRPr="008069E5">
        <w:rPr>
          <w:color w:val="auto"/>
        </w:rPr>
        <w:lastRenderedPageBreak/>
        <w:t>Perhaps the most significant issue involves identifying t</w:t>
      </w:r>
      <w:r w:rsidRPr="00682C6E">
        <w:rPr>
          <w:color w:val="auto"/>
        </w:rPr>
        <w:t xml:space="preserve">he criteria that should determine what constitutes a special measure. Under international </w:t>
      </w:r>
      <w:r>
        <w:rPr>
          <w:color w:val="auto"/>
        </w:rPr>
        <w:t xml:space="preserve">human rights </w:t>
      </w:r>
      <w:r w:rsidRPr="00682C6E">
        <w:rPr>
          <w:color w:val="auto"/>
        </w:rPr>
        <w:t>law, a special measure:</w:t>
      </w:r>
    </w:p>
    <w:p w14:paraId="10C1E876" w14:textId="77777777" w:rsidR="004A000C" w:rsidRDefault="004A000C" w:rsidP="004A000C">
      <w:pPr>
        <w:pStyle w:val="Normalbullet"/>
      </w:pPr>
      <w:r>
        <w:t>is necessary to accelerate or achieve equality</w:t>
      </w:r>
    </w:p>
    <w:p w14:paraId="79FFB9B3" w14:textId="77777777" w:rsidR="004A000C" w:rsidRDefault="004A000C" w:rsidP="004A000C">
      <w:pPr>
        <w:pStyle w:val="Normalbullet"/>
      </w:pPr>
      <w:r>
        <w:t>has a sole purpose of securing adequate advancement of certain people so that they can equally enjoy or exercise their human rights</w:t>
      </w:r>
    </w:p>
    <w:p w14:paraId="62840921" w14:textId="77777777" w:rsidR="004A000C" w:rsidRDefault="004A000C" w:rsidP="004A000C">
      <w:pPr>
        <w:pStyle w:val="Normalbullet"/>
      </w:pPr>
      <w:r>
        <w:t xml:space="preserve">does not lead to separate or unequal rights between groups, and </w:t>
      </w:r>
    </w:p>
    <w:p w14:paraId="7E5F0FA0" w14:textId="77777777" w:rsidR="004A000C" w:rsidRPr="00914C62" w:rsidRDefault="004A000C" w:rsidP="004A000C">
      <w:pPr>
        <w:pStyle w:val="Normalbullet"/>
      </w:pPr>
      <w:r>
        <w:t>is discontinued once the objectives of the measure have been achieved.</w:t>
      </w:r>
      <w:r>
        <w:rPr>
          <w:rStyle w:val="FootnoteReference"/>
        </w:rPr>
        <w:footnoteReference w:id="1137"/>
      </w:r>
    </w:p>
    <w:p w14:paraId="1FE768C2" w14:textId="77777777" w:rsidR="004A000C" w:rsidRDefault="004A000C" w:rsidP="004A000C">
      <w:pPr>
        <w:pStyle w:val="NormalAutoChapter"/>
      </w:pPr>
      <w:r>
        <w:t>Other recent law reform reviews have recommended that the criteria for special measures in domestic discrimination laws should be consistent with international human rights law.</w:t>
      </w:r>
      <w:r>
        <w:rPr>
          <w:rStyle w:val="FootnoteReference"/>
        </w:rPr>
        <w:footnoteReference w:id="1138"/>
      </w:r>
    </w:p>
    <w:p w14:paraId="0BAAA93B" w14:textId="77777777" w:rsidR="004A000C" w:rsidRDefault="004A000C" w:rsidP="004A000C">
      <w:pPr>
        <w:pStyle w:val="NormalAutoChapter"/>
      </w:pPr>
      <w:r>
        <w:t>Victoria provides an example of how this could be done. The Victorian Act allows a person to take a special measure for the purpose of promoting or achieving substantive equality for members of a group with a protected attribute. It provides that, to be a special measure, the action must be:</w:t>
      </w:r>
    </w:p>
    <w:p w14:paraId="2D2AEC3D" w14:textId="77777777" w:rsidR="004A000C" w:rsidRDefault="004A000C" w:rsidP="004A000C">
      <w:pPr>
        <w:pStyle w:val="Normalbullet"/>
      </w:pPr>
      <w:r>
        <w:t>undertaken in good faith for achieving substantive equality</w:t>
      </w:r>
    </w:p>
    <w:p w14:paraId="62B5B5A7" w14:textId="77777777" w:rsidR="004A000C" w:rsidRDefault="004A000C" w:rsidP="004A000C">
      <w:pPr>
        <w:pStyle w:val="Normalbullet"/>
      </w:pPr>
      <w:r>
        <w:t>reasonably likely to achieve this purpose</w:t>
      </w:r>
    </w:p>
    <w:p w14:paraId="7006AB2C" w14:textId="77777777" w:rsidR="004A000C" w:rsidRDefault="004A000C" w:rsidP="004A000C">
      <w:pPr>
        <w:pStyle w:val="Normalbullet"/>
      </w:pPr>
      <w:r>
        <w:t>a proportionate means of achieving this purpose, and</w:t>
      </w:r>
    </w:p>
    <w:p w14:paraId="4AE19937" w14:textId="77777777" w:rsidR="004A000C" w:rsidRDefault="004A000C" w:rsidP="004A000C">
      <w:pPr>
        <w:pStyle w:val="Normalbullet"/>
      </w:pPr>
      <w:r>
        <w:t>justified because members of the group have a particular need for assistance.</w:t>
      </w:r>
      <w:r>
        <w:rPr>
          <w:rStyle w:val="FootnoteReference"/>
        </w:rPr>
        <w:footnoteReference w:id="1139"/>
      </w:r>
    </w:p>
    <w:p w14:paraId="4BBFB1EA" w14:textId="77777777" w:rsidR="004A000C" w:rsidRPr="00682C6E" w:rsidRDefault="004A000C" w:rsidP="004A000C">
      <w:pPr>
        <w:pStyle w:val="NormalAutoChapter"/>
        <w:rPr>
          <w:color w:val="auto"/>
        </w:rPr>
      </w:pPr>
      <w:r w:rsidRPr="00682C6E">
        <w:rPr>
          <w:color w:val="auto"/>
        </w:rPr>
        <w:t xml:space="preserve">Both the </w:t>
      </w:r>
      <w:r>
        <w:rPr>
          <w:color w:val="auto"/>
        </w:rPr>
        <w:t>Queensland Human Rights Commission (</w:t>
      </w:r>
      <w:r w:rsidRPr="00682C6E">
        <w:rPr>
          <w:color w:val="auto"/>
        </w:rPr>
        <w:t>QHRC</w:t>
      </w:r>
      <w:r>
        <w:rPr>
          <w:color w:val="auto"/>
        </w:rPr>
        <w:t>)</w:t>
      </w:r>
      <w:r w:rsidRPr="00682C6E">
        <w:rPr>
          <w:color w:val="auto"/>
        </w:rPr>
        <w:t xml:space="preserve"> and </w:t>
      </w:r>
      <w:r>
        <w:rPr>
          <w:color w:val="auto"/>
        </w:rPr>
        <w:t xml:space="preserve">the </w:t>
      </w:r>
      <w:r w:rsidRPr="009A68F5">
        <w:rPr>
          <w:color w:val="auto"/>
        </w:rPr>
        <w:t>ACT Law Reform Advisory Council</w:t>
      </w:r>
      <w:r w:rsidRPr="00682C6E">
        <w:rPr>
          <w:color w:val="auto"/>
        </w:rPr>
        <w:t xml:space="preserve"> supported this model.</w:t>
      </w:r>
      <w:r>
        <w:rPr>
          <w:rStyle w:val="FootnoteReference"/>
          <w:color w:val="auto"/>
        </w:rPr>
        <w:footnoteReference w:id="1140"/>
      </w:r>
    </w:p>
    <w:p w14:paraId="14193D2B" w14:textId="77777777" w:rsidR="004A000C" w:rsidRPr="009F6C2C" w:rsidRDefault="004A000C" w:rsidP="004A000C">
      <w:pPr>
        <w:pStyle w:val="NormalAutoChapter"/>
        <w:rPr>
          <w:color w:val="auto"/>
        </w:rPr>
      </w:pPr>
      <w:r w:rsidRPr="00682C6E">
        <w:rPr>
          <w:color w:val="auto"/>
        </w:rPr>
        <w:t xml:space="preserve">In another approach, the NSWLRC recommended </w:t>
      </w:r>
      <w:r>
        <w:rPr>
          <w:color w:val="auto"/>
        </w:rPr>
        <w:t xml:space="preserve">in 1999 that </w:t>
      </w:r>
      <w:r w:rsidRPr="00682C6E">
        <w:rPr>
          <w:color w:val="auto"/>
        </w:rPr>
        <w:t xml:space="preserve">the following criteria should form part of a special </w:t>
      </w:r>
      <w:proofErr w:type="gramStart"/>
      <w:r w:rsidRPr="00682C6E">
        <w:rPr>
          <w:color w:val="auto"/>
        </w:rPr>
        <w:t>measures</w:t>
      </w:r>
      <w:proofErr w:type="gramEnd"/>
      <w:r w:rsidRPr="00682C6E">
        <w:rPr>
          <w:color w:val="auto"/>
        </w:rPr>
        <w:t xml:space="preserve"> </w:t>
      </w:r>
      <w:r>
        <w:rPr>
          <w:color w:val="auto"/>
        </w:rPr>
        <w:t xml:space="preserve">“exception”: </w:t>
      </w:r>
    </w:p>
    <w:p w14:paraId="274C6853" w14:textId="77777777" w:rsidR="004A000C" w:rsidRDefault="004A000C" w:rsidP="004A000C">
      <w:pPr>
        <w:pStyle w:val="Normalbullet"/>
      </w:pPr>
      <w:r>
        <w:t>the purpose is not to cause detriment or disadvantage to any other person</w:t>
      </w:r>
    </w:p>
    <w:p w14:paraId="394AF97E" w14:textId="77777777" w:rsidR="004A000C" w:rsidRDefault="004A000C" w:rsidP="004A000C">
      <w:pPr>
        <w:pStyle w:val="Normalbullet"/>
      </w:pPr>
      <w:r>
        <w:lastRenderedPageBreak/>
        <w:t>the measure is done in good faith for the purpose of securing the advancement or protecting the welfare of certain</w:t>
      </w:r>
      <w:r w:rsidRPr="000738AC">
        <w:t xml:space="preserve"> </w:t>
      </w:r>
      <w:r>
        <w:t xml:space="preserve">groups </w:t>
      </w:r>
    </w:p>
    <w:p w14:paraId="0C52193D" w14:textId="77777777" w:rsidR="004A000C" w:rsidRDefault="004A000C" w:rsidP="004A000C">
      <w:pPr>
        <w:pStyle w:val="Normalbullet"/>
      </w:pPr>
      <w:r>
        <w:t xml:space="preserve">those groups </w:t>
      </w:r>
      <w:proofErr w:type="gramStart"/>
      <w:r>
        <w:t>are in need of</w:t>
      </w:r>
      <w:proofErr w:type="gramEnd"/>
      <w:r>
        <w:t xml:space="preserve"> advancement or protection because they are in a position of social disadvantage or isolation (including because of historical discrimination)</w:t>
      </w:r>
    </w:p>
    <w:p w14:paraId="449EF10F" w14:textId="77777777" w:rsidR="004A000C" w:rsidRDefault="004A000C" w:rsidP="004A000C">
      <w:pPr>
        <w:pStyle w:val="Normalbullet"/>
      </w:pPr>
      <w:r>
        <w:t>those groups are likely to accept the benefit offered by the measure</w:t>
      </w:r>
    </w:p>
    <w:p w14:paraId="20929342" w14:textId="77777777" w:rsidR="004A000C" w:rsidRDefault="004A000C" w:rsidP="004A000C">
      <w:pPr>
        <w:pStyle w:val="Normalbullet"/>
      </w:pPr>
      <w:r>
        <w:t>the measure is reasonably capable of achieving its purpose, and</w:t>
      </w:r>
    </w:p>
    <w:p w14:paraId="32281768" w14:textId="77777777" w:rsidR="004A000C" w:rsidRDefault="004A000C" w:rsidP="004A000C">
      <w:pPr>
        <w:pStyle w:val="Normalbullet"/>
      </w:pPr>
      <w:r>
        <w:t>the measure will not continue indefinitely unless required, or beyond a period reasonably necessary to achieve its purpose.</w:t>
      </w:r>
      <w:r>
        <w:rPr>
          <w:rStyle w:val="FootnoteReference"/>
        </w:rPr>
        <w:footnoteReference w:id="1141"/>
      </w:r>
    </w:p>
    <w:p w14:paraId="4716AEBF" w14:textId="77777777" w:rsidR="004A000C" w:rsidRDefault="004A000C" w:rsidP="004A000C">
      <w:pPr>
        <w:pStyle w:val="NormalAutoChapter"/>
      </w:pPr>
      <w:r>
        <w:t xml:space="preserve">Other reviews have suggested additional criteria, including that the measure: </w:t>
      </w:r>
    </w:p>
    <w:p w14:paraId="4C3AB78B" w14:textId="77777777" w:rsidR="004A000C" w:rsidRDefault="004A000C" w:rsidP="004A000C">
      <w:pPr>
        <w:pStyle w:val="Normalbullet"/>
      </w:pPr>
      <w:r>
        <w:t xml:space="preserve">does not restrict the rights of affected people, and </w:t>
      </w:r>
    </w:p>
    <w:p w14:paraId="03A02764" w14:textId="77777777" w:rsidR="004A000C" w:rsidRDefault="004A000C" w:rsidP="004A000C">
      <w:pPr>
        <w:pStyle w:val="Normalbullet"/>
      </w:pPr>
      <w:r>
        <w:t>should only be implemented after consultation with affected people and communities, particularly Aboriginal and Torres Strait Islander peoples.</w:t>
      </w:r>
      <w:r>
        <w:rPr>
          <w:rStyle w:val="FootnoteReference"/>
        </w:rPr>
        <w:footnoteReference w:id="1142"/>
      </w:r>
    </w:p>
    <w:p w14:paraId="3213DD47" w14:textId="77777777" w:rsidR="004A000C" w:rsidRPr="00FF05F9" w:rsidRDefault="004A000C" w:rsidP="004A000C">
      <w:pPr>
        <w:pStyle w:val="Heading2"/>
      </w:pPr>
      <w:bookmarkStart w:id="497" w:name="_Toc196748909"/>
      <w:bookmarkStart w:id="498" w:name="_Toc196826971"/>
      <w:r>
        <w:t>The relationship with exemptions and certifications</w:t>
      </w:r>
      <w:bookmarkEnd w:id="497"/>
      <w:bookmarkEnd w:id="498"/>
      <w:r>
        <w:t xml:space="preserve"> </w:t>
      </w:r>
    </w:p>
    <w:p w14:paraId="3F1CBE3E" w14:textId="77777777" w:rsidR="004A000C" w:rsidRDefault="004A000C" w:rsidP="004A000C">
      <w:pPr>
        <w:pStyle w:val="NormalAutoChapter"/>
      </w:pPr>
      <w:bookmarkStart w:id="499" w:name="_Toc136961859"/>
      <w:r>
        <w:t xml:space="preserve">Another issue </w:t>
      </w:r>
      <w:r w:rsidRPr="003B1D70">
        <w:t xml:space="preserve">is whether the </w:t>
      </w:r>
      <w:r>
        <w:t xml:space="preserve">existing </w:t>
      </w:r>
      <w:r w:rsidRPr="003B1D70">
        <w:t xml:space="preserve">exemption and certification processes should stay </w:t>
      </w:r>
      <w:r>
        <w:t>i</w:t>
      </w:r>
      <w:r w:rsidRPr="003B1D70">
        <w:t xml:space="preserve">f </w:t>
      </w:r>
      <w:r>
        <w:t xml:space="preserve">the ADA provides for </w:t>
      </w:r>
      <w:r w:rsidRPr="003B1D70">
        <w:t xml:space="preserve">special measures </w:t>
      </w:r>
      <w:r>
        <w:t xml:space="preserve">more generally. There could be concerns about removing the exemption and certification processes. </w:t>
      </w:r>
    </w:p>
    <w:p w14:paraId="4CBB1502" w14:textId="77777777" w:rsidR="004A000C" w:rsidRDefault="004A000C" w:rsidP="004A000C">
      <w:pPr>
        <w:pStyle w:val="NormalAutoChapter"/>
      </w:pPr>
      <w:r>
        <w:t>The first relates to the removal of the oversight measures in these processes, which could be seen as important safeguards. These include:</w:t>
      </w:r>
    </w:p>
    <w:p w14:paraId="4021C851" w14:textId="77777777" w:rsidR="004A000C" w:rsidRDefault="004A000C" w:rsidP="004A000C">
      <w:pPr>
        <w:pStyle w:val="Normalbullet"/>
      </w:pPr>
      <w:r>
        <w:t>the ability for ADNSW or the Attorney General to deny inappropriate measures, and</w:t>
      </w:r>
    </w:p>
    <w:p w14:paraId="6B0E960D" w14:textId="77777777" w:rsidR="004A000C" w:rsidRDefault="004A000C" w:rsidP="004A000C">
      <w:pPr>
        <w:pStyle w:val="Normalbullet"/>
      </w:pPr>
      <w:bookmarkStart w:id="500" w:name="_Hlk195104928"/>
      <w:r>
        <w:t>the power of ADNSW (and NCAT, in reviewing an exemption decision) to place conditions on exemptions.</w:t>
      </w:r>
    </w:p>
    <w:p w14:paraId="299F6DA1" w14:textId="77777777" w:rsidR="004A000C" w:rsidRDefault="004A000C" w:rsidP="004A000C">
      <w:pPr>
        <w:pStyle w:val="NormalAutoChapter"/>
      </w:pPr>
      <w:r>
        <w:t>There is also a risk that some</w:t>
      </w:r>
      <w:r w:rsidRPr="00FF05F9">
        <w:t xml:space="preserve"> measures</w:t>
      </w:r>
      <w:r>
        <w:t xml:space="preserve"> </w:t>
      </w:r>
      <w:r w:rsidRPr="00FF05F9">
        <w:t xml:space="preserve">that are currently </w:t>
      </w:r>
      <w:r>
        <w:t xml:space="preserve">covered by </w:t>
      </w:r>
      <w:r w:rsidRPr="00FF05F9">
        <w:t xml:space="preserve">exemptions or certifications </w:t>
      </w:r>
      <w:r>
        <w:t>may</w:t>
      </w:r>
      <w:r w:rsidRPr="00FF05F9">
        <w:t xml:space="preserve"> fall outside the scope of </w:t>
      </w:r>
      <w:r>
        <w:t xml:space="preserve">a new </w:t>
      </w:r>
      <w:r w:rsidRPr="00FF05F9">
        <w:t>special measures</w:t>
      </w:r>
      <w:r>
        <w:t xml:space="preserve"> section. For example, some</w:t>
      </w:r>
      <w:r w:rsidRPr="00FF05F9">
        <w:t xml:space="preserve"> current exemptions allow certain employers to discriminate to comply with US export policies.</w:t>
      </w:r>
      <w:r>
        <w:rPr>
          <w:rStyle w:val="FootnoteReference"/>
        </w:rPr>
        <w:footnoteReference w:id="1143"/>
      </w:r>
      <w:r w:rsidRPr="00FF05F9">
        <w:t xml:space="preserve"> </w:t>
      </w:r>
    </w:p>
    <w:bookmarkEnd w:id="500"/>
    <w:p w14:paraId="643D8B88" w14:textId="77777777" w:rsidR="004A000C" w:rsidRDefault="004A000C" w:rsidP="004A000C">
      <w:pPr>
        <w:pStyle w:val="NormalAutoChapter"/>
      </w:pPr>
      <w:r w:rsidRPr="00FF05F9">
        <w:lastRenderedPageBreak/>
        <w:t xml:space="preserve">One option could be to </w:t>
      </w:r>
      <w:r>
        <w:t xml:space="preserve">keep the exemption process, even if a new section dealing with special measures is introduced. </w:t>
      </w:r>
      <w:bookmarkEnd w:id="499"/>
      <w:r>
        <w:t>Some other Australian discrimination laws have both.</w:t>
      </w:r>
      <w:r>
        <w:rPr>
          <w:rStyle w:val="FootnoteReference"/>
        </w:rPr>
        <w:footnoteReference w:id="1144"/>
      </w:r>
      <w:r>
        <w:t xml:space="preserve"> </w:t>
      </w:r>
    </w:p>
    <w:p w14:paraId="281EDCA4" w14:textId="77777777" w:rsidR="004A000C" w:rsidRDefault="004A000C" w:rsidP="004A000C">
      <w:pPr>
        <w:pStyle w:val="NormalAutoChapter"/>
      </w:pPr>
      <w:r>
        <w:t>The NSWLRC also recommended this in 1999. However, the NSWLRC thought that its proposed special measures “exception” should replace the certification process. It thought this process was unnecessary and resource intensive.</w:t>
      </w:r>
      <w:r>
        <w:rPr>
          <w:rStyle w:val="FootnoteReference"/>
        </w:rPr>
        <w:footnoteReference w:id="1145"/>
      </w:r>
      <w:r>
        <w:t xml:space="preserve"> </w:t>
      </w:r>
    </w:p>
    <w:p w14:paraId="43033933" w14:textId="77777777" w:rsidR="004A000C" w:rsidRDefault="004A000C" w:rsidP="004A000C">
      <w:pPr>
        <w:pStyle w:val="Recommendationheading"/>
      </w:pPr>
      <w:r>
        <w:t xml:space="preserve">Question 11.2: Special </w:t>
      </w:r>
      <w:r w:rsidRPr="00A51739">
        <w:t>measures</w:t>
      </w:r>
      <w:r>
        <w:t xml:space="preserve">  </w:t>
      </w:r>
    </w:p>
    <w:p w14:paraId="6DB62727" w14:textId="77777777" w:rsidR="004A000C" w:rsidRDefault="004A000C" w:rsidP="004A000C">
      <w:pPr>
        <w:pStyle w:val="Recommendationhanging1"/>
        <w:numPr>
          <w:ilvl w:val="0"/>
          <w:numId w:val="32"/>
        </w:numPr>
      </w:pPr>
      <w:r>
        <w:t>Should the ADA generally allow for special measures</w:t>
      </w:r>
      <w:r w:rsidRPr="00A51739">
        <w:t>?</w:t>
      </w:r>
      <w:r>
        <w:t xml:space="preserve"> Why or why not?</w:t>
      </w:r>
    </w:p>
    <w:p w14:paraId="0008E3E8" w14:textId="77777777" w:rsidR="004A000C" w:rsidRDefault="004A000C" w:rsidP="004A000C">
      <w:pPr>
        <w:pStyle w:val="Recommendationhanging1"/>
        <w:numPr>
          <w:ilvl w:val="0"/>
          <w:numId w:val="32"/>
        </w:numPr>
      </w:pPr>
      <w:r>
        <w:t xml:space="preserve">If so, what criteria for a special measure should the ADA apply? </w:t>
      </w:r>
    </w:p>
    <w:p w14:paraId="701BDB93" w14:textId="77777777" w:rsidR="004A000C" w:rsidRPr="00A51739" w:rsidRDefault="004A000C" w:rsidP="004A000C">
      <w:pPr>
        <w:pStyle w:val="Recommendationhanging1"/>
        <w:numPr>
          <w:ilvl w:val="0"/>
          <w:numId w:val="32"/>
        </w:numPr>
      </w:pPr>
      <w:r w:rsidRPr="00A51739">
        <w:t xml:space="preserve">If </w:t>
      </w:r>
      <w:r>
        <w:t>a general special measures section is added to the ADA, should it</w:t>
      </w:r>
      <w:r w:rsidRPr="00A51739">
        <w:t xml:space="preserve"> replace the existing exemption and certification processes? </w:t>
      </w:r>
      <w:r>
        <w:t>Why or why not?</w:t>
      </w:r>
      <w:r w:rsidRPr="00A51739">
        <w:t xml:space="preserve"> </w:t>
      </w:r>
    </w:p>
    <w:p w14:paraId="77C37B41" w14:textId="77777777" w:rsidR="004A000C" w:rsidRDefault="004A000C" w:rsidP="004A000C">
      <w:pPr>
        <w:pStyle w:val="Heading1"/>
      </w:pPr>
      <w:bookmarkStart w:id="501" w:name="_Toc196748910"/>
      <w:bookmarkStart w:id="502" w:name="_Toc196826972"/>
      <w:r>
        <w:t>A duty to prevent or eliminate unlawful conduct</w:t>
      </w:r>
      <w:bookmarkEnd w:id="501"/>
      <w:bookmarkEnd w:id="502"/>
    </w:p>
    <w:p w14:paraId="215C66F9" w14:textId="77777777" w:rsidR="004A000C" w:rsidRDefault="004A000C" w:rsidP="004A000C">
      <w:pPr>
        <w:pStyle w:val="NormalAutoChapter"/>
        <w:rPr>
          <w:lang w:eastAsia="en-US"/>
        </w:rPr>
      </w:pPr>
      <w:r>
        <w:rPr>
          <w:lang w:eastAsia="en-US"/>
        </w:rPr>
        <w:t xml:space="preserve">Another mechanism to achieve substantive equality is to require duty holders to take steps to prevent or eliminate unlawful conduct, including discrimination, sexual harassment, vilification or victimisation. This goes further than </w:t>
      </w:r>
      <w:proofErr w:type="gramStart"/>
      <w:r>
        <w:rPr>
          <w:lang w:eastAsia="en-US"/>
        </w:rPr>
        <w:t>making adjustments</w:t>
      </w:r>
      <w:proofErr w:type="gramEnd"/>
      <w:r>
        <w:rPr>
          <w:lang w:eastAsia="en-US"/>
        </w:rPr>
        <w:t xml:space="preserve"> for someone, or taking special measures for protected groups, by seeking to prevent unlawful conduct.</w:t>
      </w:r>
    </w:p>
    <w:p w14:paraId="70E729C2" w14:textId="77777777" w:rsidR="004A000C" w:rsidRDefault="004A000C" w:rsidP="004A000C">
      <w:pPr>
        <w:pStyle w:val="NormalAutoChapter"/>
      </w:pPr>
      <w:r>
        <w:rPr>
          <w:lang w:eastAsia="en-US"/>
        </w:rPr>
        <w:t>Many discrimination laws in Australia impose such a duty.</w:t>
      </w:r>
      <w:r>
        <w:rPr>
          <w:rStyle w:val="FootnoteReference"/>
          <w:lang w:eastAsia="en-US"/>
        </w:rPr>
        <w:footnoteReference w:id="1146"/>
      </w:r>
      <w:r>
        <w:rPr>
          <w:lang w:eastAsia="en-US"/>
        </w:rPr>
        <w:t xml:space="preserve"> Recent reviews have also recommended introducing positive duties to prevent unlawful conduct.</w:t>
      </w:r>
      <w:r>
        <w:rPr>
          <w:rStyle w:val="FootnoteReference"/>
          <w:lang w:eastAsia="en-US"/>
        </w:rPr>
        <w:footnoteReference w:id="1147"/>
      </w:r>
      <w:r>
        <w:rPr>
          <w:lang w:eastAsia="en-US"/>
        </w:rPr>
        <w:t xml:space="preserve"> </w:t>
      </w:r>
    </w:p>
    <w:p w14:paraId="6F39E65E" w14:textId="77777777" w:rsidR="004A000C" w:rsidRDefault="004A000C" w:rsidP="004A000C">
      <w:pPr>
        <w:pStyle w:val="Heading2"/>
      </w:pPr>
      <w:bookmarkStart w:id="503" w:name="_Toc196748911"/>
      <w:bookmarkStart w:id="504" w:name="_Toc196826973"/>
      <w:r>
        <w:t>Arguments for and against a positive duty</w:t>
      </w:r>
      <w:bookmarkEnd w:id="503"/>
      <w:bookmarkEnd w:id="504"/>
    </w:p>
    <w:p w14:paraId="1B479DC2" w14:textId="77777777" w:rsidR="004A000C" w:rsidRDefault="004A000C" w:rsidP="004A000C">
      <w:pPr>
        <w:pStyle w:val="NormalAutoChapter"/>
        <w:rPr>
          <w:lang w:eastAsia="en-US"/>
        </w:rPr>
      </w:pPr>
      <w:r>
        <w:rPr>
          <w:lang w:eastAsia="en-US"/>
        </w:rPr>
        <w:t>Many preliminary submissions considered that the ADA should include a positive duty to prevent unlawful conduct. Such a duty might:</w:t>
      </w:r>
    </w:p>
    <w:p w14:paraId="257BEDD3" w14:textId="77777777" w:rsidR="004A000C" w:rsidRDefault="004A000C" w:rsidP="004A000C">
      <w:pPr>
        <w:pStyle w:val="Normalbullet"/>
      </w:pPr>
      <w:r>
        <w:lastRenderedPageBreak/>
        <w:t>reduce the burden that currently falls on victims having to make a complaint to address, or stop, a specific incident of discrimination or ongoing discrimination</w:t>
      </w:r>
    </w:p>
    <w:p w14:paraId="1E5F8308" w14:textId="77777777" w:rsidR="004A000C" w:rsidRDefault="004A000C" w:rsidP="004A000C">
      <w:pPr>
        <w:pStyle w:val="Normalbullet"/>
      </w:pPr>
      <w:r>
        <w:t xml:space="preserve">more effectively address the causes of discrimination than the current model of individual remedies, for </w:t>
      </w:r>
      <w:r w:rsidRPr="009420A6">
        <w:rPr>
          <w:rStyle w:val="FootnoteReference"/>
        </w:rPr>
        <w:t xml:space="preserve"> </w:t>
      </w:r>
      <w:r>
        <w:t>example by requiring duty holders to change discriminatory policies</w:t>
      </w:r>
    </w:p>
    <w:p w14:paraId="51329968" w14:textId="77777777" w:rsidR="004A000C" w:rsidRDefault="004A000C" w:rsidP="004A000C">
      <w:pPr>
        <w:pStyle w:val="Normalbullet"/>
      </w:pPr>
      <w:r>
        <w:t>improve understanding of the impact of discrimination and help to change prejudiced views, and</w:t>
      </w:r>
    </w:p>
    <w:p w14:paraId="1D33F9E8" w14:textId="77777777" w:rsidR="004A000C" w:rsidRDefault="004A000C" w:rsidP="004A000C">
      <w:pPr>
        <w:pStyle w:val="Normalbullet"/>
      </w:pPr>
      <w:r>
        <w:t>help duty holders avoid the costs arising from unlawful conduct, including complaints, reduced productivity, and reputational damage.</w:t>
      </w:r>
    </w:p>
    <w:p w14:paraId="6E070BED" w14:textId="77777777" w:rsidR="004A000C" w:rsidRDefault="004A000C" w:rsidP="004A000C">
      <w:pPr>
        <w:pStyle w:val="NormalAutoChapter"/>
        <w:rPr>
          <w:lang w:eastAsia="en-US"/>
        </w:rPr>
      </w:pPr>
      <w:r>
        <w:rPr>
          <w:lang w:eastAsia="en-US"/>
        </w:rPr>
        <w:t>On the other hand, we also heard some concerns about introducing a positive duty. These included that:</w:t>
      </w:r>
    </w:p>
    <w:p w14:paraId="1F616A5A" w14:textId="77777777" w:rsidR="004A000C" w:rsidRDefault="004A000C" w:rsidP="004A000C">
      <w:pPr>
        <w:pStyle w:val="Normalbullet"/>
      </w:pPr>
      <w:r>
        <w:t>existing duties are sufficient</w:t>
      </w:r>
    </w:p>
    <w:p w14:paraId="7739BDDB" w14:textId="77777777" w:rsidR="004A000C" w:rsidRDefault="004A000C" w:rsidP="004A000C">
      <w:pPr>
        <w:pStyle w:val="Normalbullet"/>
      </w:pPr>
      <w:r>
        <w:t>any new duties could conflict with existing duties, and</w:t>
      </w:r>
    </w:p>
    <w:p w14:paraId="7D357F7A" w14:textId="77777777" w:rsidR="004A000C" w:rsidRDefault="004A000C" w:rsidP="004A000C">
      <w:pPr>
        <w:pStyle w:val="Normalbullet"/>
      </w:pPr>
      <w:r>
        <w:t>any new duties could be too onerous.</w:t>
      </w:r>
    </w:p>
    <w:p w14:paraId="08687485" w14:textId="77777777" w:rsidR="004A000C" w:rsidRDefault="004A000C" w:rsidP="004A000C">
      <w:pPr>
        <w:pStyle w:val="NormalAutoChapter"/>
      </w:pPr>
      <w:r>
        <w:rPr>
          <w:lang w:eastAsia="en-US"/>
        </w:rPr>
        <w:t xml:space="preserve">Some NSW duty holders are already required to take steps to prevent discrimination, harassment and vilification under other laws. It could be argued that these existing duties are sufficient. </w:t>
      </w:r>
      <w:proofErr w:type="gramStart"/>
      <w:r>
        <w:rPr>
          <w:lang w:eastAsia="en-US"/>
        </w:rPr>
        <w:t>In particular, NSW</w:t>
      </w:r>
      <w:proofErr w:type="gramEnd"/>
      <w:r>
        <w:rPr>
          <w:lang w:eastAsia="en-US"/>
        </w:rPr>
        <w:t xml:space="preserve"> employers</w:t>
      </w:r>
      <w:r>
        <w:t xml:space="preserve"> have obligations under other laws to:</w:t>
      </w:r>
    </w:p>
    <w:p w14:paraId="2A4AB5E9" w14:textId="77777777" w:rsidR="004A000C" w:rsidRDefault="004A000C" w:rsidP="004A000C">
      <w:pPr>
        <w:pStyle w:val="Normalbullet"/>
      </w:pPr>
      <w:r>
        <w:t>take reasonable and proportionate measures to eliminate sex discrimination, sexual or sex-based harassment, subjecting a person to a hostile workplace environment on the ground of sex, and related victimisation</w:t>
      </w:r>
      <w:r w:rsidRPr="00487252">
        <w:rPr>
          <w:rStyle w:val="FootnoteReference"/>
        </w:rPr>
        <w:footnoteReference w:id="1148"/>
      </w:r>
    </w:p>
    <w:p w14:paraId="0F3169D7" w14:textId="77777777" w:rsidR="004A000C" w:rsidRDefault="004A000C" w:rsidP="004A000C">
      <w:pPr>
        <w:pStyle w:val="Normalbullet"/>
      </w:pPr>
      <w:r>
        <w:t>ensure the physical and psychological health and safety of their workers by eliminating or minimising risks to health and safety, as far as is reasonably practicable,</w:t>
      </w:r>
      <w:r>
        <w:rPr>
          <w:rStyle w:val="FootnoteReference"/>
        </w:rPr>
        <w:footnoteReference w:id="1149"/>
      </w:r>
      <w:r>
        <w:t xml:space="preserve"> and</w:t>
      </w:r>
    </w:p>
    <w:p w14:paraId="75B60770" w14:textId="77777777" w:rsidR="004A000C" w:rsidRDefault="004A000C" w:rsidP="004A000C">
      <w:pPr>
        <w:pStyle w:val="Normalbullet"/>
      </w:pPr>
      <w:r>
        <w:t>manage psychosocial risks arising from work-related hazards that could cause psychological harm by eliminating or minimising reasonably foreseeable hazards and reviewing measures taken to ensure they are effective.</w:t>
      </w:r>
      <w:r>
        <w:rPr>
          <w:rStyle w:val="FootnoteReference"/>
        </w:rPr>
        <w:footnoteReference w:id="1150"/>
      </w:r>
      <w:r>
        <w:t xml:space="preserve"> </w:t>
      </w:r>
    </w:p>
    <w:p w14:paraId="63484594" w14:textId="77777777" w:rsidR="004A000C" w:rsidRDefault="004A000C" w:rsidP="004A000C">
      <w:pPr>
        <w:pStyle w:val="NormalAutoChapter"/>
      </w:pPr>
      <w:r>
        <w:t>On the other hand, it could be said these existing duties are too limited because:</w:t>
      </w:r>
    </w:p>
    <w:p w14:paraId="66A21C33" w14:textId="77777777" w:rsidR="004A000C" w:rsidRDefault="004A000C" w:rsidP="004A000C">
      <w:pPr>
        <w:pStyle w:val="Normalbullet"/>
      </w:pPr>
      <w:r>
        <w:t>they only apply to employers, not other duty holders under the ADA, and</w:t>
      </w:r>
    </w:p>
    <w:p w14:paraId="7420BDC5" w14:textId="77777777" w:rsidR="004A000C" w:rsidRDefault="004A000C" w:rsidP="004A000C">
      <w:pPr>
        <w:pStyle w:val="Normalbullet"/>
      </w:pPr>
      <w:r>
        <w:t>the work health and safety focus of these duties does not align with the purpose of discrimination laws.</w:t>
      </w:r>
      <w:r>
        <w:rPr>
          <w:rStyle w:val="FootnoteReference"/>
        </w:rPr>
        <w:footnoteReference w:id="1151"/>
      </w:r>
      <w:r>
        <w:t xml:space="preserve"> </w:t>
      </w:r>
    </w:p>
    <w:p w14:paraId="271D2854" w14:textId="77777777" w:rsidR="004A000C" w:rsidRDefault="004A000C" w:rsidP="004A000C">
      <w:pPr>
        <w:pStyle w:val="NormalAutoChapter"/>
      </w:pPr>
      <w:r>
        <w:lastRenderedPageBreak/>
        <w:t xml:space="preserve">A related concern is the risk that a new a positive duty in the ADA could conflict with these existing duties. It may not be clear to employers which duty they need to comply with, or how they can comply with multiple duties. However, some argued that new duties </w:t>
      </w:r>
      <w:r>
        <w:rPr>
          <w:lang w:eastAsia="en-US"/>
        </w:rPr>
        <w:t>could work in a complementary and “mutually reinforcing” way alongside existing duties.</w:t>
      </w:r>
      <w:r>
        <w:rPr>
          <w:rStyle w:val="FootnoteReference"/>
          <w:lang w:eastAsia="en-US"/>
        </w:rPr>
        <w:footnoteReference w:id="1152"/>
      </w:r>
      <w:r>
        <w:rPr>
          <w:lang w:eastAsia="en-US"/>
        </w:rPr>
        <w:t xml:space="preserve"> Careful legislative drafting would be needed to ensure this occurred.  </w:t>
      </w:r>
    </w:p>
    <w:p w14:paraId="24A0D870" w14:textId="77777777" w:rsidR="004A000C" w:rsidRDefault="004A000C" w:rsidP="004A000C">
      <w:pPr>
        <w:pStyle w:val="NormalAutoChapter"/>
      </w:pPr>
      <w:r>
        <w:t>Another concern is that positive duties could place a high regulatory burden on duty holders. There were different views on this. For example, some consider that a positive duty may decrease the burden on employers by reducing their risk of being found vicariously liable for discrimination or other unlawful conduct. As we discuss below, the regulatory burden could be managed by carefully framing the scope and requirements of the positive duty.</w:t>
      </w:r>
    </w:p>
    <w:p w14:paraId="499C03D3" w14:textId="77777777" w:rsidR="004A000C" w:rsidRDefault="004A000C" w:rsidP="004A000C">
      <w:pPr>
        <w:pStyle w:val="NormalAutoChapter"/>
      </w:pPr>
      <w:r>
        <w:t>If NSW was to introduce a positive duty to prevent unlawful conduct, questions would arise about what it required of duty holders; the conduct, protected attributes and protected areas the duty should cover; and who the duty holders should be. We set out some options below.</w:t>
      </w:r>
    </w:p>
    <w:p w14:paraId="014B85E8" w14:textId="77777777" w:rsidR="004A000C" w:rsidRDefault="004A000C" w:rsidP="004A000C">
      <w:pPr>
        <w:pStyle w:val="Heading2"/>
      </w:pPr>
      <w:bookmarkStart w:id="505" w:name="_Toc196748912"/>
      <w:bookmarkStart w:id="506" w:name="_Toc196826974"/>
      <w:r>
        <w:t>Options for a positive duty</w:t>
      </w:r>
      <w:bookmarkEnd w:id="505"/>
      <w:bookmarkEnd w:id="506"/>
      <w:r>
        <w:t xml:space="preserve"> </w:t>
      </w:r>
    </w:p>
    <w:p w14:paraId="495CB700" w14:textId="77777777" w:rsidR="004A000C" w:rsidRPr="00093CAE" w:rsidRDefault="004A000C" w:rsidP="004A000C">
      <w:pPr>
        <w:pStyle w:val="Heading3"/>
      </w:pPr>
      <w:r>
        <w:t xml:space="preserve">What the duty could require </w:t>
      </w:r>
    </w:p>
    <w:p w14:paraId="04E54ACE" w14:textId="77777777" w:rsidR="004A000C" w:rsidRPr="006841BA" w:rsidRDefault="004A000C" w:rsidP="004A000C">
      <w:pPr>
        <w:pStyle w:val="NormalAutoChapter"/>
        <w:rPr>
          <w:color w:val="auto"/>
        </w:rPr>
      </w:pPr>
      <w:r>
        <w:t xml:space="preserve">The most common approach in other Australian discrimination laws is to require duty holders to take “reasonable and proportionate” steps to prevent or eliminate </w:t>
      </w:r>
      <w:r w:rsidRPr="006841BA">
        <w:rPr>
          <w:color w:val="auto"/>
        </w:rPr>
        <w:t xml:space="preserve">unlawful conduct. For example, this could require </w:t>
      </w:r>
      <w:r>
        <w:rPr>
          <w:color w:val="auto"/>
        </w:rPr>
        <w:t>duty holder</w:t>
      </w:r>
      <w:r w:rsidRPr="006841BA">
        <w:rPr>
          <w:color w:val="auto"/>
        </w:rPr>
        <w:t xml:space="preserve">s to: </w:t>
      </w:r>
    </w:p>
    <w:p w14:paraId="6B736A92" w14:textId="77777777" w:rsidR="004A000C" w:rsidRPr="006841BA" w:rsidRDefault="004A000C" w:rsidP="004A000C">
      <w:pPr>
        <w:pStyle w:val="Normalbullet"/>
      </w:pPr>
      <w:r w:rsidRPr="006841BA">
        <w:t xml:space="preserve">implement policies to prevent unlawful behaviour </w:t>
      </w:r>
    </w:p>
    <w:p w14:paraId="45CC438C" w14:textId="77777777" w:rsidR="004A000C" w:rsidRPr="006841BA" w:rsidRDefault="004A000C" w:rsidP="004A000C">
      <w:pPr>
        <w:pStyle w:val="Normalbullet"/>
      </w:pPr>
      <w:r w:rsidRPr="006841BA">
        <w:t>provide training on ADA obligations</w:t>
      </w:r>
    </w:p>
    <w:p w14:paraId="484829E6" w14:textId="77777777" w:rsidR="004A000C" w:rsidRPr="006841BA" w:rsidRDefault="004A000C" w:rsidP="004A000C">
      <w:pPr>
        <w:pStyle w:val="Normalbullet"/>
      </w:pPr>
      <w:r w:rsidRPr="006841BA">
        <w:t>develop inclusion targets</w:t>
      </w:r>
    </w:p>
    <w:p w14:paraId="137C46CE" w14:textId="77777777" w:rsidR="004A000C" w:rsidRPr="006841BA" w:rsidRDefault="004A000C" w:rsidP="004A000C">
      <w:pPr>
        <w:pStyle w:val="Normalbullet"/>
      </w:pPr>
      <w:r w:rsidRPr="006841BA">
        <w:t>keep records in incident management and complaints systems,</w:t>
      </w:r>
      <w:r w:rsidRPr="006841BA">
        <w:rPr>
          <w:rStyle w:val="FootnoteReference"/>
        </w:rPr>
        <w:footnoteReference w:id="1153"/>
      </w:r>
      <w:r w:rsidRPr="006841BA">
        <w:t xml:space="preserve"> and</w:t>
      </w:r>
    </w:p>
    <w:p w14:paraId="21B5160B" w14:textId="77777777" w:rsidR="004A000C" w:rsidRPr="006841BA" w:rsidRDefault="004A000C" w:rsidP="004A000C">
      <w:pPr>
        <w:pStyle w:val="Normalbullet"/>
      </w:pPr>
      <w:r w:rsidRPr="006841BA">
        <w:t>review policies and procedures, develop action plans and collect and monitor data.</w:t>
      </w:r>
      <w:r w:rsidRPr="006841BA">
        <w:rPr>
          <w:rStyle w:val="FootnoteReference"/>
        </w:rPr>
        <w:footnoteReference w:id="1154"/>
      </w:r>
    </w:p>
    <w:p w14:paraId="3B1B693B" w14:textId="77777777" w:rsidR="004A000C" w:rsidRDefault="004A000C" w:rsidP="004A000C">
      <w:pPr>
        <w:pStyle w:val="NormalAutoChapter"/>
      </w:pPr>
      <w:r>
        <w:t xml:space="preserve">Victoria’s discrimination law provides an example. Anyone who has a duty not to engage in discrimination, sexual harassment or victimisation must take reasonable </w:t>
      </w:r>
      <w:r>
        <w:lastRenderedPageBreak/>
        <w:t>and proportionate measures to eliminate that conduct as far possible. What is “reasonable and proportionate” will depend on:</w:t>
      </w:r>
    </w:p>
    <w:p w14:paraId="25A0CFFB" w14:textId="77777777" w:rsidR="004A000C" w:rsidRDefault="004A000C" w:rsidP="004A000C">
      <w:pPr>
        <w:pStyle w:val="Normalbullet"/>
      </w:pPr>
      <w:r>
        <w:t>the size, nature and circumstances of the duty holder’s business</w:t>
      </w:r>
    </w:p>
    <w:p w14:paraId="255797F8" w14:textId="77777777" w:rsidR="004A000C" w:rsidRDefault="004A000C" w:rsidP="004A000C">
      <w:pPr>
        <w:pStyle w:val="Normalbullet"/>
      </w:pPr>
      <w:r>
        <w:t>the duty holder’s resources</w:t>
      </w:r>
    </w:p>
    <w:p w14:paraId="2C6DB905" w14:textId="77777777" w:rsidR="004A000C" w:rsidRDefault="004A000C" w:rsidP="004A000C">
      <w:pPr>
        <w:pStyle w:val="Normalbullet"/>
      </w:pPr>
      <w:r>
        <w:t>the duty holder’s business and operational priorities, and</w:t>
      </w:r>
    </w:p>
    <w:p w14:paraId="085FC9F0" w14:textId="77777777" w:rsidR="004A000C" w:rsidRDefault="004A000C" w:rsidP="004A000C">
      <w:pPr>
        <w:pStyle w:val="Normalbullet"/>
      </w:pPr>
      <w:r>
        <w:t>the practicability and cost of the measure.</w:t>
      </w:r>
      <w:r>
        <w:rPr>
          <w:rStyle w:val="FootnoteReference"/>
        </w:rPr>
        <w:footnoteReference w:id="1155"/>
      </w:r>
    </w:p>
    <w:p w14:paraId="5DD2BCD9" w14:textId="77777777" w:rsidR="004A000C" w:rsidRPr="00ED6DBA" w:rsidRDefault="004A000C" w:rsidP="004A000C">
      <w:pPr>
        <w:pStyle w:val="NormalAutoChapter"/>
        <w:rPr>
          <w:color w:val="auto"/>
        </w:rPr>
      </w:pPr>
      <w:r w:rsidRPr="00ED6DBA">
        <w:rPr>
          <w:color w:val="auto"/>
        </w:rPr>
        <w:t>This approach requires meaningful action. However, the requirements are tailored to the circumstances of the duty holder. For instance, a small community organisation may only be required to ensure that its staff are aware of its commitment to treat them fairly, and of how compliance will be managed. By contrast, a large company will have to undertake a compliance assessment, develop a compliance strategy and undertake regular monitoring.</w:t>
      </w:r>
      <w:r w:rsidRPr="00ED6DBA">
        <w:rPr>
          <w:rStyle w:val="FootnoteReference"/>
          <w:color w:val="auto"/>
        </w:rPr>
        <w:footnoteReference w:id="1156"/>
      </w:r>
      <w:r w:rsidRPr="00ED6DBA">
        <w:rPr>
          <w:color w:val="auto"/>
        </w:rPr>
        <w:t xml:space="preserve"> </w:t>
      </w:r>
    </w:p>
    <w:p w14:paraId="78A3C7AA" w14:textId="77777777" w:rsidR="004A000C" w:rsidRDefault="004A000C" w:rsidP="004A000C">
      <w:pPr>
        <w:pStyle w:val="Heading3"/>
      </w:pPr>
      <w:r>
        <w:t>Types of conduct the duty should address</w:t>
      </w:r>
    </w:p>
    <w:p w14:paraId="3E2FC81C" w14:textId="77777777" w:rsidR="004A000C" w:rsidRDefault="004A000C" w:rsidP="004A000C">
      <w:pPr>
        <w:pStyle w:val="NormalAutoChapter"/>
        <w:rPr>
          <w:lang w:eastAsia="en-US"/>
        </w:rPr>
      </w:pPr>
      <w:r>
        <w:rPr>
          <w:lang w:eastAsia="en-US"/>
        </w:rPr>
        <w:t xml:space="preserve">The ADA prohibits discrimination, harassment, vilification and victimisation. A positive duty to prevent unlawful conduct could address some or </w:t>
      </w:r>
      <w:proofErr w:type="gramStart"/>
      <w:r>
        <w:rPr>
          <w:lang w:eastAsia="en-US"/>
        </w:rPr>
        <w:t>all of</w:t>
      </w:r>
      <w:proofErr w:type="gramEnd"/>
      <w:r>
        <w:rPr>
          <w:lang w:eastAsia="en-US"/>
        </w:rPr>
        <w:t xml:space="preserve"> this conduct. </w:t>
      </w:r>
    </w:p>
    <w:p w14:paraId="4A1C9DAF" w14:textId="77777777" w:rsidR="004A000C" w:rsidRDefault="004A000C" w:rsidP="004A000C">
      <w:pPr>
        <w:pStyle w:val="NormalAutoChapter"/>
        <w:rPr>
          <w:lang w:eastAsia="en-US"/>
        </w:rPr>
      </w:pPr>
      <w:r>
        <w:rPr>
          <w:lang w:eastAsia="en-US"/>
        </w:rPr>
        <w:t>Positive duties in other discrimination laws across Australia cover discrimination and sexual harassment. Some also cover vilification,</w:t>
      </w:r>
      <w:r>
        <w:rPr>
          <w:rStyle w:val="FootnoteReference"/>
          <w:lang w:eastAsia="en-US"/>
        </w:rPr>
        <w:footnoteReference w:id="1157"/>
      </w:r>
      <w:r>
        <w:rPr>
          <w:lang w:eastAsia="en-US"/>
        </w:rPr>
        <w:t xml:space="preserve"> and some cover victimisation.</w:t>
      </w:r>
      <w:r>
        <w:rPr>
          <w:rStyle w:val="FootnoteReference"/>
          <w:lang w:eastAsia="en-US"/>
        </w:rPr>
        <w:footnoteReference w:id="1158"/>
      </w:r>
      <w:r>
        <w:rPr>
          <w:lang w:eastAsia="en-US"/>
        </w:rPr>
        <w:t xml:space="preserve"> Both the QHRC and LRCWA concluded that positive duties should not be confined to only some forms of prohibited conduct.</w:t>
      </w:r>
      <w:r>
        <w:rPr>
          <w:rStyle w:val="FootnoteReference"/>
        </w:rPr>
        <w:footnoteReference w:id="1159"/>
      </w:r>
      <w:r>
        <w:t xml:space="preserve"> </w:t>
      </w:r>
    </w:p>
    <w:p w14:paraId="46DA0F4D" w14:textId="77777777" w:rsidR="004A000C" w:rsidRPr="00286ECA" w:rsidRDefault="004A000C" w:rsidP="004A000C">
      <w:pPr>
        <w:pStyle w:val="NormalAutoChapter"/>
        <w:rPr>
          <w:lang w:eastAsia="en-US"/>
        </w:rPr>
      </w:pPr>
      <w:r>
        <w:t xml:space="preserve">The duty in the </w:t>
      </w:r>
      <w:r w:rsidRPr="0049302C">
        <w:rPr>
          <w:i/>
          <w:iCs/>
        </w:rPr>
        <w:t>Sex Discrimination Act</w:t>
      </w:r>
      <w:r>
        <w:t xml:space="preserve"> covers discrimination and other forms of conduct related to sex.</w:t>
      </w:r>
      <w:r>
        <w:rPr>
          <w:rStyle w:val="FootnoteReference"/>
        </w:rPr>
        <w:footnoteReference w:id="1160"/>
      </w:r>
      <w:r>
        <w:t xml:space="preserve"> Some of this sex-based conduct is not currently prohibited by the ADA.</w:t>
      </w:r>
      <w:r>
        <w:rPr>
          <w:rStyle w:val="FootnoteReference"/>
        </w:rPr>
        <w:footnoteReference w:id="1161"/>
      </w:r>
      <w:r>
        <w:t xml:space="preserve"> We discuss whether this conduct should be prohibited in </w:t>
      </w:r>
      <w:r w:rsidRPr="006162C9">
        <w:t xml:space="preserve">chapter 9. </w:t>
      </w:r>
    </w:p>
    <w:p w14:paraId="3689D6D0" w14:textId="77777777" w:rsidR="004A000C" w:rsidRDefault="004A000C" w:rsidP="004A000C">
      <w:pPr>
        <w:pStyle w:val="Heading3"/>
      </w:pPr>
      <w:r>
        <w:t xml:space="preserve">Coverage of attributes, areas and duty holders  </w:t>
      </w:r>
    </w:p>
    <w:p w14:paraId="6102BB3C" w14:textId="77777777" w:rsidR="004A000C" w:rsidRDefault="004A000C" w:rsidP="004A000C">
      <w:pPr>
        <w:pStyle w:val="NormalAutoChapter"/>
        <w:rPr>
          <w:lang w:eastAsia="en-US"/>
        </w:rPr>
      </w:pPr>
      <w:r>
        <w:rPr>
          <w:lang w:eastAsia="en-US"/>
        </w:rPr>
        <w:t xml:space="preserve">If the ADA were to adopt a positive duty, there are questions about what protected attributes and areas it should cover, as well as who the duty holders should be. </w:t>
      </w:r>
    </w:p>
    <w:p w14:paraId="40D5C630" w14:textId="77777777" w:rsidR="004A000C" w:rsidRDefault="004A000C" w:rsidP="004A000C">
      <w:pPr>
        <w:pStyle w:val="NormalAutoChapter"/>
        <w:rPr>
          <w:lang w:eastAsia="en-US"/>
        </w:rPr>
      </w:pPr>
      <w:r>
        <w:rPr>
          <w:lang w:eastAsia="en-US"/>
        </w:rPr>
        <w:lastRenderedPageBreak/>
        <w:t>Most positive duties in Australian discrimination laws apply to all protected attributes.</w:t>
      </w:r>
      <w:r>
        <w:rPr>
          <w:rStyle w:val="FootnoteReference"/>
          <w:lang w:eastAsia="en-US"/>
        </w:rPr>
        <w:footnoteReference w:id="1162"/>
      </w:r>
      <w:r>
        <w:rPr>
          <w:lang w:eastAsia="en-US"/>
        </w:rPr>
        <w:t xml:space="preserve"> Federal positive duties do not exist for all protected attributes, however the Australian Human Rights Commission (AHRC) recommended they should.</w:t>
      </w:r>
      <w:r>
        <w:rPr>
          <w:rStyle w:val="FootnoteReference"/>
          <w:lang w:eastAsia="en-US"/>
        </w:rPr>
        <w:footnoteReference w:id="1163"/>
      </w:r>
      <w:r w:rsidRPr="00557AD3">
        <w:t xml:space="preserve"> </w:t>
      </w:r>
      <w:r>
        <w:t xml:space="preserve">Other law reviews also supported </w:t>
      </w:r>
      <w:r>
        <w:rPr>
          <w:lang w:eastAsia="en-US"/>
        </w:rPr>
        <w:t xml:space="preserve">covering all protected attributes, stating this </w:t>
      </w:r>
      <w:r>
        <w:t>would avoid creating a “hierarchy” of attributes and better recognise intersectional discrimination.</w:t>
      </w:r>
      <w:r>
        <w:rPr>
          <w:rStyle w:val="FootnoteReference"/>
        </w:rPr>
        <w:footnoteReference w:id="1164"/>
      </w:r>
    </w:p>
    <w:p w14:paraId="6420EDA9" w14:textId="77777777" w:rsidR="004A000C" w:rsidRDefault="004A000C" w:rsidP="004A000C">
      <w:pPr>
        <w:pStyle w:val="NormalAutoChapter"/>
      </w:pPr>
      <w:bookmarkStart w:id="507" w:name="_Hlk161319749"/>
      <w:r>
        <w:t>In terms of the areas of life covered, some discrimination laws apply the duty to unlawful conduct in all areas of public life in which discrimination or other unlawful conduct is prohibited</w:t>
      </w:r>
      <w:bookmarkEnd w:id="507"/>
      <w:r>
        <w:t>.</w:t>
      </w:r>
      <w:r>
        <w:rPr>
          <w:rStyle w:val="FootnoteReference"/>
        </w:rPr>
        <w:footnoteReference w:id="1165"/>
      </w:r>
      <w:r>
        <w:t xml:space="preserve"> Other discrimination law reviews have also recommended introducing positive duties across all areas of public life in which discrimination or other unlawful conduct is prohibited.</w:t>
      </w:r>
      <w:r>
        <w:rPr>
          <w:rStyle w:val="FootnoteReference"/>
        </w:rPr>
        <w:footnoteReference w:id="1166"/>
      </w:r>
      <w:r>
        <w:t xml:space="preserve"> </w:t>
      </w:r>
    </w:p>
    <w:p w14:paraId="5E4A5E82" w14:textId="77777777" w:rsidR="004A000C" w:rsidRDefault="004A000C" w:rsidP="004A000C">
      <w:pPr>
        <w:pStyle w:val="NormalAutoChapter"/>
      </w:pPr>
      <w:r>
        <w:t>A related issue is who the duty should apply to. In Victoria and the NT, it applies to anyone who has an obligation not to engage in discrimination, sexual harassment or victimisation.</w:t>
      </w:r>
      <w:r>
        <w:rPr>
          <w:rStyle w:val="FootnoteReference"/>
        </w:rPr>
        <w:footnoteReference w:id="1167"/>
      </w:r>
      <w:r>
        <w:t xml:space="preserve"> The AHRC also recommended introducing a duty that applies to </w:t>
      </w:r>
      <w:r w:rsidRPr="00D82A2C">
        <w:t>all</w:t>
      </w:r>
      <w:r w:rsidRPr="006841BA">
        <w:t xml:space="preserve"> </w:t>
      </w:r>
      <w:r>
        <w:t>duty holders under discrimination laws.</w:t>
      </w:r>
      <w:r>
        <w:rPr>
          <w:rStyle w:val="FootnoteReference"/>
        </w:rPr>
        <w:footnoteReference w:id="1168"/>
      </w:r>
      <w:r w:rsidRPr="006D04E0">
        <w:t xml:space="preserve"> </w:t>
      </w:r>
    </w:p>
    <w:p w14:paraId="66189391" w14:textId="77777777" w:rsidR="004A000C" w:rsidRDefault="004A000C" w:rsidP="004A000C">
      <w:pPr>
        <w:pStyle w:val="NormalAutoChapter"/>
      </w:pPr>
      <w:r>
        <w:t xml:space="preserve">Currently, the positive duty under the </w:t>
      </w:r>
      <w:r w:rsidRPr="00B51704">
        <w:rPr>
          <w:i/>
          <w:iCs/>
        </w:rPr>
        <w:t xml:space="preserve">Sex Discrimination Act </w:t>
      </w:r>
      <w:r>
        <w:t>is limited to employers and anyone conducting a business or undertaking.</w:t>
      </w:r>
      <w:r w:rsidRPr="009E49BA">
        <w:rPr>
          <w:rStyle w:val="FootnoteReference"/>
        </w:rPr>
        <w:t xml:space="preserve"> </w:t>
      </w:r>
      <w:r>
        <w:t>This includes sole traders, not-for-profit organisations that engage and pay staff, government departments and companies.</w:t>
      </w:r>
      <w:r>
        <w:rPr>
          <w:rStyle w:val="FootnoteReference"/>
        </w:rPr>
        <w:footnoteReference w:id="1169"/>
      </w:r>
    </w:p>
    <w:p w14:paraId="57E2028F" w14:textId="77777777" w:rsidR="004A000C" w:rsidRDefault="004A000C" w:rsidP="004A000C">
      <w:pPr>
        <w:pStyle w:val="NormalAutoChapter"/>
      </w:pPr>
      <w:r>
        <w:lastRenderedPageBreak/>
        <w:t xml:space="preserve">Similarly, the ACT applies a positive duty to organisations and businesses, and people with “organisational management responsibility” for these bodies. This includes, for example, sole traders, small business owners or university chancellors. </w:t>
      </w:r>
      <w:r w:rsidRPr="0051405D">
        <w:t xml:space="preserve">This </w:t>
      </w:r>
      <w:r>
        <w:t xml:space="preserve">includes </w:t>
      </w:r>
      <w:r w:rsidRPr="0051405D">
        <w:t xml:space="preserve">people who are responsible for controlling or directing an organisation or business, </w:t>
      </w:r>
      <w:r>
        <w:t xml:space="preserve">but not </w:t>
      </w:r>
      <w:r w:rsidRPr="0051405D">
        <w:t>general employees or mid to low-level managers.</w:t>
      </w:r>
      <w:r w:rsidRPr="0051405D">
        <w:rPr>
          <w:rStyle w:val="FootnoteReference"/>
        </w:rPr>
        <w:footnoteReference w:id="1170"/>
      </w:r>
      <w:r>
        <w:t xml:space="preserve"> </w:t>
      </w:r>
    </w:p>
    <w:p w14:paraId="1488FC79" w14:textId="77777777" w:rsidR="004A000C" w:rsidRPr="00095596" w:rsidRDefault="004A000C" w:rsidP="004A000C">
      <w:pPr>
        <w:pStyle w:val="Heading2"/>
      </w:pPr>
      <w:bookmarkStart w:id="508" w:name="_Toc196748913"/>
      <w:bookmarkStart w:id="509" w:name="_Toc196826975"/>
      <w:r>
        <w:t>A duty to promote equality</w:t>
      </w:r>
      <w:bookmarkEnd w:id="508"/>
      <w:bookmarkEnd w:id="509"/>
    </w:p>
    <w:p w14:paraId="664A5D3C" w14:textId="77777777" w:rsidR="004A000C" w:rsidRDefault="004A000C" w:rsidP="004A000C">
      <w:pPr>
        <w:pStyle w:val="NormalAutoChapter"/>
        <w:rPr>
          <w:lang w:eastAsia="en-US"/>
        </w:rPr>
      </w:pPr>
      <w:r>
        <w:rPr>
          <w:lang w:eastAsia="en-US"/>
        </w:rPr>
        <w:t>Another option could be to introduce a public sector equality duty. The Australian examples, discussed above, apply to government entities (such as an employer which is a government department) and to non-government actors, such as privately owned businesses.</w:t>
      </w:r>
    </w:p>
    <w:p w14:paraId="4DE7B83D" w14:textId="77777777" w:rsidR="004A000C" w:rsidRDefault="004A000C" w:rsidP="004A000C">
      <w:pPr>
        <w:pStyle w:val="NormalAutoChapter"/>
        <w:rPr>
          <w:lang w:eastAsia="en-US"/>
        </w:rPr>
      </w:pPr>
      <w:r>
        <w:rPr>
          <w:lang w:eastAsia="en-US"/>
        </w:rPr>
        <w:t xml:space="preserve">However, the UK has a broader “equality duty” that applies only to public authorities. </w:t>
      </w:r>
    </w:p>
    <w:p w14:paraId="4D93D626" w14:textId="77777777" w:rsidR="004A000C" w:rsidRDefault="004A000C" w:rsidP="004A000C">
      <w:pPr>
        <w:pStyle w:val="NormalAutoChapter"/>
        <w:rPr>
          <w:lang w:eastAsia="en-US"/>
        </w:rPr>
      </w:pPr>
      <w:r>
        <w:rPr>
          <w:lang w:eastAsia="en-US"/>
        </w:rPr>
        <w:t xml:space="preserve">The equality duty goes beyond taking steps to eliminate unlawful discrimination. It shapes the development of public policy decisions. When exercising their functions, public authorities must have due regard to the need to: </w:t>
      </w:r>
    </w:p>
    <w:p w14:paraId="3B8B4F6A" w14:textId="77777777" w:rsidR="004A000C" w:rsidRDefault="004A000C" w:rsidP="004A000C">
      <w:pPr>
        <w:pStyle w:val="Normalbullet"/>
      </w:pPr>
      <w:r>
        <w:t>eliminate discrimination, harassment and victimisation</w:t>
      </w:r>
    </w:p>
    <w:p w14:paraId="6A7266A7" w14:textId="77777777" w:rsidR="004A000C" w:rsidRDefault="004A000C" w:rsidP="004A000C">
      <w:pPr>
        <w:pStyle w:val="Normalbullet"/>
      </w:pPr>
      <w:r>
        <w:t>advance the equality of opportunity between people with a relevant protected attribute and those without it, and</w:t>
      </w:r>
    </w:p>
    <w:p w14:paraId="41D90A02" w14:textId="77777777" w:rsidR="004A000C" w:rsidRDefault="004A000C" w:rsidP="004A000C">
      <w:pPr>
        <w:pStyle w:val="Normalbullet"/>
      </w:pPr>
      <w:r>
        <w:t>foster good relations between people with a relevant protected characteristic and those without it.</w:t>
      </w:r>
      <w:r>
        <w:rPr>
          <w:rStyle w:val="FootnoteReference"/>
        </w:rPr>
        <w:footnoteReference w:id="1171"/>
      </w:r>
    </w:p>
    <w:p w14:paraId="3E61B370" w14:textId="77777777" w:rsidR="004A000C" w:rsidRDefault="004A000C" w:rsidP="004A000C">
      <w:pPr>
        <w:pStyle w:val="NormalAutoChapter"/>
        <w:rPr>
          <w:lang w:eastAsia="en-US"/>
        </w:rPr>
      </w:pPr>
      <w:r>
        <w:rPr>
          <w:lang w:eastAsia="en-US"/>
        </w:rPr>
        <w:t>Public authorities must publish information annually to demonstrate their compliance with the duty. They must also publish specific and measurable objectives for meeting their obligations.</w:t>
      </w:r>
      <w:r>
        <w:rPr>
          <w:rStyle w:val="FootnoteReference"/>
          <w:lang w:eastAsia="en-US"/>
        </w:rPr>
        <w:footnoteReference w:id="1172"/>
      </w:r>
    </w:p>
    <w:p w14:paraId="452D98D1" w14:textId="77777777" w:rsidR="004A000C" w:rsidRDefault="004A000C" w:rsidP="004A000C">
      <w:pPr>
        <w:pStyle w:val="NormalAutoChapter"/>
        <w:rPr>
          <w:lang w:eastAsia="en-US"/>
        </w:rPr>
      </w:pPr>
      <w:r>
        <w:rPr>
          <w:color w:val="211D1E"/>
          <w:szCs w:val="22"/>
        </w:rPr>
        <w:t xml:space="preserve">Victoria has a similar, but narrower, duty. Victorian public authorities must consider and promote gender </w:t>
      </w:r>
      <w:proofErr w:type="gramStart"/>
      <w:r>
        <w:rPr>
          <w:color w:val="211D1E"/>
          <w:szCs w:val="22"/>
        </w:rPr>
        <w:t>equality, and</w:t>
      </w:r>
      <w:proofErr w:type="gramEnd"/>
      <w:r>
        <w:rPr>
          <w:color w:val="211D1E"/>
          <w:szCs w:val="22"/>
        </w:rPr>
        <w:t xml:space="preserve"> take necessary and proportionate action towards achieving it.</w:t>
      </w:r>
      <w:r>
        <w:rPr>
          <w:rStyle w:val="FootnoteReference"/>
          <w:color w:val="211D1E"/>
          <w:szCs w:val="22"/>
        </w:rPr>
        <w:footnoteReference w:id="1173"/>
      </w:r>
      <w:r>
        <w:rPr>
          <w:lang w:eastAsia="en-US"/>
        </w:rPr>
        <w:t xml:space="preserve"> </w:t>
      </w:r>
    </w:p>
    <w:p w14:paraId="014C6E8F" w14:textId="77777777" w:rsidR="004A000C" w:rsidRDefault="004A000C" w:rsidP="004A000C">
      <w:pPr>
        <w:pStyle w:val="NormalAutoChapter"/>
        <w:rPr>
          <w:lang w:eastAsia="en-US"/>
        </w:rPr>
      </w:pPr>
      <w:r>
        <w:rPr>
          <w:lang w:eastAsia="en-US"/>
        </w:rPr>
        <w:lastRenderedPageBreak/>
        <w:t>Drawing on the UK and Victorian examples, the Disability Royal Commission recommended that all Commonwealth entities should be under a duty to promote disability equality and inclusion.</w:t>
      </w:r>
      <w:r>
        <w:rPr>
          <w:rStyle w:val="FootnoteReference"/>
          <w:lang w:eastAsia="en-US"/>
        </w:rPr>
        <w:footnoteReference w:id="1174"/>
      </w:r>
      <w:r>
        <w:rPr>
          <w:lang w:eastAsia="en-US"/>
        </w:rPr>
        <w:t xml:space="preserve"> </w:t>
      </w:r>
    </w:p>
    <w:p w14:paraId="6C3A1540" w14:textId="77777777" w:rsidR="004A000C" w:rsidRDefault="004A000C" w:rsidP="004A000C">
      <w:pPr>
        <w:pStyle w:val="NormalAutoChapter"/>
        <w:rPr>
          <w:lang w:eastAsia="en-US"/>
        </w:rPr>
      </w:pPr>
      <w:r>
        <w:rPr>
          <w:color w:val="211D1E"/>
          <w:szCs w:val="22"/>
        </w:rPr>
        <w:t>A potential benefit of this approach is that, by just focusing on public authorities, it avoids imposing onerous obligations on private actors.</w:t>
      </w:r>
      <w:r>
        <w:rPr>
          <w:lang w:eastAsia="en-US"/>
        </w:rPr>
        <w:t xml:space="preserve"> On the other hand, this could also mean that the duty’s ability to prevent discrimination is limited. </w:t>
      </w:r>
    </w:p>
    <w:p w14:paraId="0B4E2606" w14:textId="77777777" w:rsidR="004A000C" w:rsidRDefault="004A000C" w:rsidP="004A000C">
      <w:pPr>
        <w:pStyle w:val="NormalAutoChapter"/>
        <w:rPr>
          <w:lang w:eastAsia="en-US"/>
        </w:rPr>
      </w:pPr>
      <w:r>
        <w:rPr>
          <w:color w:val="211D1E"/>
          <w:szCs w:val="22"/>
        </w:rPr>
        <w:t xml:space="preserve">However, </w:t>
      </w:r>
      <w:r>
        <w:rPr>
          <w:lang w:eastAsia="en-US"/>
        </w:rPr>
        <w:t>it would also be possible to introduce both:</w:t>
      </w:r>
    </w:p>
    <w:p w14:paraId="5015773D" w14:textId="77777777" w:rsidR="004A000C" w:rsidRDefault="004A000C" w:rsidP="004A000C">
      <w:pPr>
        <w:pStyle w:val="Normalbullet"/>
      </w:pPr>
      <w:r>
        <w:t xml:space="preserve">a duty to eliminate unlawful conduct that applies to private and public actors, and </w:t>
      </w:r>
    </w:p>
    <w:p w14:paraId="628C4ECD" w14:textId="77777777" w:rsidR="004A000C" w:rsidRDefault="004A000C" w:rsidP="004A000C">
      <w:pPr>
        <w:pStyle w:val="Normalbullet"/>
      </w:pPr>
      <w:r>
        <w:t xml:space="preserve">a broader UK-style duty to promote equality, that only applies to public authorities. </w:t>
      </w:r>
    </w:p>
    <w:p w14:paraId="3BB8010A" w14:textId="77777777" w:rsidR="004A000C" w:rsidRDefault="004A000C" w:rsidP="004A000C">
      <w:pPr>
        <w:pStyle w:val="Recommendationheading"/>
      </w:pPr>
      <w:r>
        <w:t>Question 11.3: A positive duty to prevent or eliminate unlawful conduct</w:t>
      </w:r>
    </w:p>
    <w:p w14:paraId="1D0CAC0F" w14:textId="77777777" w:rsidR="004A000C" w:rsidRDefault="004A000C" w:rsidP="004A000C">
      <w:pPr>
        <w:pStyle w:val="Recommendationhanging1"/>
      </w:pPr>
      <w:r>
        <w:t>(1)</w:t>
      </w:r>
      <w:r>
        <w:tab/>
        <w:t xml:space="preserve">Should the ADA include a duty to take reasonable and proportionate measures to prevent or eliminate unlawful conduct? Why or why not? </w:t>
      </w:r>
    </w:p>
    <w:p w14:paraId="0A31839C" w14:textId="77777777" w:rsidR="004A000C" w:rsidRDefault="004A000C" w:rsidP="004A000C">
      <w:pPr>
        <w:pStyle w:val="Recommendationhanging1"/>
      </w:pPr>
      <w:r>
        <w:t>(2)</w:t>
      </w:r>
      <w:r>
        <w:tab/>
        <w:t xml:space="preserve">If so: </w:t>
      </w:r>
    </w:p>
    <w:p w14:paraId="2892A814" w14:textId="77777777" w:rsidR="004A000C" w:rsidRDefault="004A000C" w:rsidP="004A000C">
      <w:pPr>
        <w:pStyle w:val="Recommendationhanginga"/>
      </w:pPr>
      <w:r>
        <w:tab/>
        <w:t>(a)</w:t>
      </w:r>
      <w:r>
        <w:tab/>
        <w:t>What should duty holders be required to do to comply with the duty?</w:t>
      </w:r>
    </w:p>
    <w:p w14:paraId="1D46C7C8" w14:textId="77777777" w:rsidR="004A000C" w:rsidRDefault="004A000C" w:rsidP="004A000C">
      <w:pPr>
        <w:pStyle w:val="Recommendationhanginga"/>
      </w:pPr>
      <w:r>
        <w:tab/>
        <w:t>(b)</w:t>
      </w:r>
      <w:r>
        <w:tab/>
        <w:t>What types of unlawful conduct should the duty cover?</w:t>
      </w:r>
    </w:p>
    <w:p w14:paraId="3F6B0631" w14:textId="77777777" w:rsidR="004A000C" w:rsidRDefault="004A000C" w:rsidP="004A000C">
      <w:pPr>
        <w:pStyle w:val="Recommendationhanginga"/>
      </w:pPr>
      <w:r>
        <w:tab/>
        <w:t>(c)</w:t>
      </w:r>
      <w:r>
        <w:tab/>
        <w:t>Who should the duty holders be?</w:t>
      </w:r>
    </w:p>
    <w:p w14:paraId="07D96B08" w14:textId="7440346B" w:rsidR="00C72168" w:rsidRDefault="004A000C" w:rsidP="004A000C">
      <w:pPr>
        <w:pStyle w:val="Recommendationhanginga"/>
      </w:pPr>
      <w:r>
        <w:tab/>
        <w:t>(d)</w:t>
      </w:r>
      <w:r>
        <w:tab/>
        <w:t xml:space="preserve">What attributes and areas should the duty apply to? </w:t>
      </w:r>
      <w:bookmarkEnd w:id="475"/>
      <w:bookmarkEnd w:id="476"/>
      <w:r w:rsidR="00C72168">
        <w:br w:type="page"/>
      </w:r>
    </w:p>
    <w:p w14:paraId="5E27E847" w14:textId="77777777" w:rsidR="004A000C" w:rsidRDefault="004A000C" w:rsidP="00C72168">
      <w:pPr>
        <w:pStyle w:val="NormalText"/>
      </w:pPr>
    </w:p>
    <w:p w14:paraId="13B269D9" w14:textId="77777777" w:rsidR="00C05D3A" w:rsidRDefault="00C05D3A" w:rsidP="00F41119">
      <w:pPr>
        <w:sectPr w:rsidR="00C05D3A" w:rsidSect="00744F61">
          <w:footnotePr>
            <w:numRestart w:val="eachSect"/>
          </w:footnotePr>
          <w:pgSz w:w="11906" w:h="16838" w:code="9"/>
          <w:pgMar w:top="1701" w:right="1304" w:bottom="1021" w:left="1304" w:header="567" w:footer="567" w:gutter="0"/>
          <w:cols w:space="708"/>
          <w:docGrid w:linePitch="360"/>
        </w:sectPr>
      </w:pPr>
    </w:p>
    <w:p w14:paraId="15DC7DD1" w14:textId="1C677D75" w:rsidR="006A22B0" w:rsidRPr="003A3FF6" w:rsidRDefault="006A22B0" w:rsidP="006A22B0">
      <w:pPr>
        <w:pStyle w:val="AppendixHeading"/>
      </w:pPr>
      <w:bookmarkStart w:id="510" w:name="_Toc196826976"/>
      <w:r w:rsidRPr="003A3FF6">
        <w:rPr>
          <w:noProof/>
        </w:rPr>
        <w:lastRenderedPageBreak/>
        <w:t xml:space="preserve">Appendix A: </w:t>
      </w:r>
      <w:r w:rsidR="005D6C72">
        <w:rPr>
          <w:noProof/>
        </w:rPr>
        <w:br/>
      </w:r>
      <w:r>
        <w:rPr>
          <w:noProof/>
        </w:rPr>
        <w:t xml:space="preserve">Preliminary </w:t>
      </w:r>
      <w:r w:rsidR="005D6C72">
        <w:t>s</w:t>
      </w:r>
      <w:r w:rsidRPr="003A3FF6">
        <w:t>ubmissions</w:t>
      </w:r>
      <w:bookmarkEnd w:id="510"/>
    </w:p>
    <w:p w14:paraId="46D37DFD" w14:textId="22880CF1" w:rsidR="006A22B0" w:rsidRPr="003A3FF6" w:rsidRDefault="006A22B0" w:rsidP="00C32267">
      <w:pPr>
        <w:pStyle w:val="Submissionlisthangingindent"/>
      </w:pPr>
      <w:r w:rsidRPr="003A3FF6">
        <w:rPr>
          <w:b/>
        </w:rPr>
        <w:t>PAD01</w:t>
      </w:r>
      <w:r w:rsidRPr="003A3FF6">
        <w:rPr>
          <w:b/>
        </w:rPr>
        <w:tab/>
      </w:r>
      <w:r w:rsidRPr="00B46AFC">
        <w:t>Professor</w:t>
      </w:r>
      <w:r w:rsidRPr="003A3FF6">
        <w:rPr>
          <w:b/>
        </w:rPr>
        <w:t xml:space="preserve"> </w:t>
      </w:r>
      <w:r w:rsidRPr="003A3FF6">
        <w:t>Cathy Sherry, 20 July 2023</w:t>
      </w:r>
    </w:p>
    <w:p w14:paraId="3A951C31" w14:textId="77777777" w:rsidR="006A22B0" w:rsidRPr="003A3FF6" w:rsidRDefault="006A22B0" w:rsidP="00C32267">
      <w:pPr>
        <w:pStyle w:val="Submissionlisthangingindent"/>
      </w:pPr>
      <w:r w:rsidRPr="003A3FF6">
        <w:rPr>
          <w:b/>
        </w:rPr>
        <w:t>PAD02</w:t>
      </w:r>
      <w:r w:rsidRPr="003A3FF6">
        <w:rPr>
          <w:b/>
        </w:rPr>
        <w:tab/>
      </w:r>
      <w:r w:rsidRPr="003A3FF6">
        <w:t>Intersex Human Rights Australia, 24 July 2023</w:t>
      </w:r>
    </w:p>
    <w:p w14:paraId="05675002" w14:textId="77777777" w:rsidR="006A22B0" w:rsidRPr="003A3FF6" w:rsidRDefault="006A22B0" w:rsidP="00C32267">
      <w:pPr>
        <w:pStyle w:val="Submissionlisthangingindent"/>
      </w:pPr>
      <w:r w:rsidRPr="003A3FF6">
        <w:rPr>
          <w:b/>
        </w:rPr>
        <w:t>PAD03</w:t>
      </w:r>
      <w:r w:rsidRPr="003A3FF6">
        <w:rPr>
          <w:b/>
        </w:rPr>
        <w:tab/>
      </w:r>
      <w:r w:rsidRPr="003A3FF6">
        <w:t>Confidential, 2 August 2023</w:t>
      </w:r>
    </w:p>
    <w:p w14:paraId="677505C9" w14:textId="77777777" w:rsidR="006A22B0" w:rsidRPr="003A3FF6" w:rsidRDefault="006A22B0" w:rsidP="00C32267">
      <w:pPr>
        <w:pStyle w:val="Submissionlisthangingindent"/>
      </w:pPr>
      <w:r w:rsidRPr="003A3FF6">
        <w:rPr>
          <w:b/>
        </w:rPr>
        <w:t xml:space="preserve">PAD04 </w:t>
      </w:r>
      <w:r w:rsidRPr="003A3FF6">
        <w:rPr>
          <w:b/>
        </w:rPr>
        <w:tab/>
      </w:r>
      <w:r w:rsidRPr="003A3FF6">
        <w:t>Mark Seymour, 8 August 2023</w:t>
      </w:r>
    </w:p>
    <w:p w14:paraId="0F6BDE8B" w14:textId="77777777" w:rsidR="006A22B0" w:rsidRPr="003A3FF6" w:rsidRDefault="006A22B0" w:rsidP="00C32267">
      <w:pPr>
        <w:pStyle w:val="Submissionlisthangingindent"/>
      </w:pPr>
      <w:r w:rsidRPr="00F477F9">
        <w:rPr>
          <w:b/>
        </w:rPr>
        <w:t>PAD05</w:t>
      </w:r>
      <w:r w:rsidRPr="003A3FF6">
        <w:rPr>
          <w:b/>
        </w:rPr>
        <w:t xml:space="preserve"> </w:t>
      </w:r>
      <w:r w:rsidRPr="003A3FF6">
        <w:rPr>
          <w:b/>
        </w:rPr>
        <w:tab/>
      </w:r>
      <w:r w:rsidRPr="003A3FF6">
        <w:t>Shooters Union NSW, 19 August 2023</w:t>
      </w:r>
    </w:p>
    <w:p w14:paraId="38452AE7" w14:textId="77777777" w:rsidR="006A22B0" w:rsidRPr="003A3FF6" w:rsidRDefault="006A22B0" w:rsidP="00C32267">
      <w:pPr>
        <w:pStyle w:val="Submissionlisthangingindent"/>
      </w:pPr>
      <w:r w:rsidRPr="00F477F9">
        <w:rPr>
          <w:b/>
        </w:rPr>
        <w:t>PAD06</w:t>
      </w:r>
      <w:r w:rsidRPr="00F477F9">
        <w:t xml:space="preserve"> </w:t>
      </w:r>
      <w:r w:rsidRPr="003A3FF6">
        <w:tab/>
        <w:t xml:space="preserve">Councillor Nathan </w:t>
      </w:r>
      <w:proofErr w:type="spellStart"/>
      <w:r w:rsidRPr="003A3FF6">
        <w:t>Zamprogno</w:t>
      </w:r>
      <w:proofErr w:type="spellEnd"/>
      <w:r w:rsidRPr="003A3FF6">
        <w:t>, 28 August 2023</w:t>
      </w:r>
    </w:p>
    <w:p w14:paraId="508BA06E" w14:textId="77777777" w:rsidR="006A22B0" w:rsidRPr="003A3FF6" w:rsidRDefault="006A22B0" w:rsidP="00C32267">
      <w:pPr>
        <w:pStyle w:val="Submissionlisthangingindent"/>
      </w:pPr>
      <w:r w:rsidRPr="003A3FF6">
        <w:rPr>
          <w:b/>
        </w:rPr>
        <w:t xml:space="preserve">PAD07 </w:t>
      </w:r>
      <w:r w:rsidRPr="003A3FF6">
        <w:rPr>
          <w:b/>
        </w:rPr>
        <w:tab/>
      </w:r>
      <w:r w:rsidRPr="003A3FF6">
        <w:t>Equality Australia, 31 August 2023</w:t>
      </w:r>
    </w:p>
    <w:p w14:paraId="179684DD" w14:textId="77777777" w:rsidR="006A22B0" w:rsidRPr="003A3FF6" w:rsidRDefault="006A22B0" w:rsidP="00C32267">
      <w:pPr>
        <w:pStyle w:val="Submissionlisthangingindent"/>
      </w:pPr>
      <w:r w:rsidRPr="003A3FF6">
        <w:rPr>
          <w:b/>
        </w:rPr>
        <w:t xml:space="preserve">PAD08 </w:t>
      </w:r>
      <w:r w:rsidRPr="003A3FF6">
        <w:rPr>
          <w:b/>
        </w:rPr>
        <w:tab/>
      </w:r>
      <w:r w:rsidRPr="003A3FF6">
        <w:t xml:space="preserve">Dr Jason </w:t>
      </w:r>
      <w:r>
        <w:t xml:space="preserve">M </w:t>
      </w:r>
      <w:r w:rsidRPr="003A3FF6">
        <w:t>Chin, 7 September 2023</w:t>
      </w:r>
    </w:p>
    <w:p w14:paraId="0473D127" w14:textId="77777777" w:rsidR="006A22B0" w:rsidRPr="003A3FF6" w:rsidRDefault="006A22B0" w:rsidP="00C32267">
      <w:pPr>
        <w:pStyle w:val="Submissionlisthangingindent"/>
      </w:pPr>
      <w:r w:rsidRPr="003A3FF6">
        <w:rPr>
          <w:b/>
        </w:rPr>
        <w:t xml:space="preserve">PAD09 </w:t>
      </w:r>
      <w:r w:rsidRPr="003A3FF6">
        <w:rPr>
          <w:b/>
        </w:rPr>
        <w:tab/>
      </w:r>
      <w:r w:rsidRPr="003A3FF6">
        <w:t>M E Browne, 9 September 2023</w:t>
      </w:r>
    </w:p>
    <w:p w14:paraId="6A2B87DA" w14:textId="77777777" w:rsidR="006A22B0" w:rsidRPr="003A3FF6" w:rsidRDefault="006A22B0" w:rsidP="00C32267">
      <w:pPr>
        <w:pStyle w:val="Submissionlisthangingindent"/>
      </w:pPr>
      <w:r w:rsidRPr="003A3FF6">
        <w:rPr>
          <w:b/>
        </w:rPr>
        <w:t xml:space="preserve">PAD10 </w:t>
      </w:r>
      <w:r w:rsidRPr="003A3FF6">
        <w:rPr>
          <w:b/>
        </w:rPr>
        <w:tab/>
      </w:r>
      <w:r w:rsidRPr="003A3FF6">
        <w:t xml:space="preserve">Confidential, </w:t>
      </w:r>
      <w:r>
        <w:t>15</w:t>
      </w:r>
      <w:r w:rsidRPr="003A3FF6">
        <w:t xml:space="preserve"> September 2023</w:t>
      </w:r>
    </w:p>
    <w:p w14:paraId="2307A95D" w14:textId="60CC132A" w:rsidR="006A22B0" w:rsidRPr="003A3FF6" w:rsidRDefault="006A22B0" w:rsidP="00C32267">
      <w:pPr>
        <w:pStyle w:val="Submissionlisthangingindent"/>
      </w:pPr>
      <w:r w:rsidRPr="003A3FF6">
        <w:rPr>
          <w:b/>
        </w:rPr>
        <w:t xml:space="preserve">PAD11 </w:t>
      </w:r>
      <w:r w:rsidRPr="003A3FF6">
        <w:rPr>
          <w:b/>
        </w:rPr>
        <w:tab/>
      </w:r>
      <w:r w:rsidRPr="003A3FF6">
        <w:t>Confidential, 22 September 2023</w:t>
      </w:r>
    </w:p>
    <w:p w14:paraId="77F90F3A" w14:textId="77777777" w:rsidR="006A22B0" w:rsidRPr="003A3FF6" w:rsidRDefault="006A22B0" w:rsidP="00C32267">
      <w:pPr>
        <w:pStyle w:val="Submissionlisthangingindent"/>
      </w:pPr>
      <w:r w:rsidRPr="003A3FF6">
        <w:rPr>
          <w:b/>
        </w:rPr>
        <w:t xml:space="preserve">PAD12 </w:t>
      </w:r>
      <w:r w:rsidRPr="003A3FF6">
        <w:rPr>
          <w:b/>
        </w:rPr>
        <w:tab/>
      </w:r>
      <w:r w:rsidRPr="003A3FF6">
        <w:t>Australian Christian Lobby, 22 September 2023</w:t>
      </w:r>
    </w:p>
    <w:p w14:paraId="28CA17FC" w14:textId="77777777" w:rsidR="006A22B0" w:rsidRPr="003A3FF6" w:rsidRDefault="006A22B0" w:rsidP="00C32267">
      <w:pPr>
        <w:pStyle w:val="Submissionlisthangingindent"/>
      </w:pPr>
      <w:r w:rsidRPr="003A3FF6">
        <w:rPr>
          <w:b/>
        </w:rPr>
        <w:t xml:space="preserve">PAD13 </w:t>
      </w:r>
      <w:r w:rsidRPr="003A3FF6">
        <w:rPr>
          <w:b/>
        </w:rPr>
        <w:tab/>
      </w:r>
      <w:r w:rsidRPr="003A3FF6">
        <w:t>Business Council of Australia, 26 September 2023</w:t>
      </w:r>
    </w:p>
    <w:p w14:paraId="6C06F862" w14:textId="77777777" w:rsidR="006A22B0" w:rsidRPr="003A3FF6" w:rsidRDefault="006A22B0" w:rsidP="00C32267">
      <w:pPr>
        <w:pStyle w:val="Submissionlisthangingindent"/>
      </w:pPr>
      <w:r w:rsidRPr="003A3FF6">
        <w:rPr>
          <w:b/>
        </w:rPr>
        <w:t xml:space="preserve">PAD14 </w:t>
      </w:r>
      <w:r w:rsidRPr="003A3FF6">
        <w:rPr>
          <w:b/>
        </w:rPr>
        <w:tab/>
      </w:r>
      <w:r w:rsidRPr="003A3FF6">
        <w:t>Diversity Council Australia, 26 September 2023</w:t>
      </w:r>
    </w:p>
    <w:p w14:paraId="6273BFA3" w14:textId="77777777" w:rsidR="006A22B0" w:rsidRPr="003A3FF6" w:rsidRDefault="006A22B0" w:rsidP="00C32267">
      <w:pPr>
        <w:pStyle w:val="Submissionlisthangingindent"/>
      </w:pPr>
      <w:r w:rsidRPr="003A3FF6">
        <w:rPr>
          <w:b/>
        </w:rPr>
        <w:t xml:space="preserve">PAD15 </w:t>
      </w:r>
      <w:r w:rsidRPr="003A3FF6">
        <w:rPr>
          <w:b/>
        </w:rPr>
        <w:tab/>
      </w:r>
      <w:r w:rsidRPr="003A3FF6">
        <w:t xml:space="preserve">David </w:t>
      </w:r>
      <w:r>
        <w:t xml:space="preserve">A W </w:t>
      </w:r>
      <w:r w:rsidRPr="003A3FF6">
        <w:t>Miller, 26 September 2023</w:t>
      </w:r>
    </w:p>
    <w:p w14:paraId="0D8BA9C2" w14:textId="77777777" w:rsidR="006A22B0" w:rsidRPr="003A3FF6" w:rsidRDefault="006A22B0" w:rsidP="00C32267">
      <w:pPr>
        <w:pStyle w:val="Submissionlisthangingindent"/>
      </w:pPr>
      <w:r w:rsidRPr="003A3FF6">
        <w:rPr>
          <w:b/>
        </w:rPr>
        <w:t xml:space="preserve">PAD16 </w:t>
      </w:r>
      <w:r w:rsidRPr="003A3FF6">
        <w:rPr>
          <w:b/>
        </w:rPr>
        <w:tab/>
      </w:r>
      <w:r w:rsidRPr="003A3FF6">
        <w:t>National Catholic Education Commission, 27 September 2023</w:t>
      </w:r>
    </w:p>
    <w:p w14:paraId="41FC2D46" w14:textId="77777777" w:rsidR="006A22B0" w:rsidRPr="003A3FF6" w:rsidRDefault="006A22B0" w:rsidP="00C32267">
      <w:pPr>
        <w:pStyle w:val="Submissionlisthangingindent"/>
      </w:pPr>
      <w:r w:rsidRPr="003A3FF6">
        <w:rPr>
          <w:b/>
        </w:rPr>
        <w:t xml:space="preserve">PAD17 </w:t>
      </w:r>
      <w:r w:rsidRPr="003A3FF6">
        <w:rPr>
          <w:b/>
        </w:rPr>
        <w:tab/>
      </w:r>
      <w:r w:rsidRPr="003A3FF6">
        <w:t>Dementia Australia, 27 September 2023</w:t>
      </w:r>
    </w:p>
    <w:p w14:paraId="0261C04F" w14:textId="77777777" w:rsidR="006A22B0" w:rsidRPr="003A3FF6" w:rsidRDefault="006A22B0" w:rsidP="00C32267">
      <w:pPr>
        <w:pStyle w:val="Submissionlisthangingindent"/>
      </w:pPr>
      <w:r w:rsidRPr="003A3FF6">
        <w:rPr>
          <w:b/>
        </w:rPr>
        <w:t xml:space="preserve">PAD18 </w:t>
      </w:r>
      <w:r w:rsidRPr="003A3FF6">
        <w:rPr>
          <w:b/>
        </w:rPr>
        <w:tab/>
      </w:r>
      <w:r w:rsidRPr="003A3FF6">
        <w:t>Disability Advocacy NSW, 27 September 2023</w:t>
      </w:r>
    </w:p>
    <w:p w14:paraId="7B1B3D0F" w14:textId="77777777" w:rsidR="006A22B0" w:rsidRPr="003A3FF6" w:rsidRDefault="006A22B0" w:rsidP="00C32267">
      <w:pPr>
        <w:pStyle w:val="Submissionlisthangingindent"/>
      </w:pPr>
      <w:r w:rsidRPr="003A3FF6">
        <w:rPr>
          <w:b/>
        </w:rPr>
        <w:t xml:space="preserve">PAD19 </w:t>
      </w:r>
      <w:r w:rsidRPr="003A3FF6">
        <w:rPr>
          <w:b/>
        </w:rPr>
        <w:tab/>
      </w:r>
      <w:r w:rsidRPr="003A3FF6">
        <w:t>Independent Education Union of Australia NSW/ACT</w:t>
      </w:r>
      <w:r>
        <w:t xml:space="preserve"> Branch</w:t>
      </w:r>
      <w:r w:rsidRPr="003A3FF6">
        <w:t>, 27</w:t>
      </w:r>
      <w:r>
        <w:t> </w:t>
      </w:r>
      <w:r w:rsidRPr="00421718">
        <w:t>September</w:t>
      </w:r>
      <w:r>
        <w:t> </w:t>
      </w:r>
      <w:r w:rsidRPr="003A3FF6">
        <w:t>2023</w:t>
      </w:r>
    </w:p>
    <w:p w14:paraId="5F0268A7" w14:textId="629A9ED4" w:rsidR="006A22B0" w:rsidRPr="003A3FF6" w:rsidRDefault="006A22B0" w:rsidP="00C32267">
      <w:pPr>
        <w:pStyle w:val="Submissionlisthangingindent"/>
      </w:pPr>
      <w:r w:rsidRPr="003A3FF6">
        <w:rPr>
          <w:b/>
        </w:rPr>
        <w:t>PAD19A</w:t>
      </w:r>
      <w:r w:rsidRPr="003A3FF6">
        <w:rPr>
          <w:b/>
        </w:rPr>
        <w:tab/>
      </w:r>
      <w:r w:rsidRPr="003A3FF6">
        <w:t>Independent Education Union of Australia NSW/ACT</w:t>
      </w:r>
      <w:r>
        <w:t xml:space="preserve"> Branch</w:t>
      </w:r>
      <w:r w:rsidRPr="003A3FF6">
        <w:t xml:space="preserve">, </w:t>
      </w:r>
      <w:r>
        <w:t>17</w:t>
      </w:r>
      <w:r w:rsidR="00281BB1">
        <w:t> </w:t>
      </w:r>
      <w:r>
        <w:t>April</w:t>
      </w:r>
      <w:r w:rsidR="00281BB1">
        <w:t> </w:t>
      </w:r>
      <w:r>
        <w:t>2024</w:t>
      </w:r>
    </w:p>
    <w:p w14:paraId="7A75B757" w14:textId="77777777" w:rsidR="006A22B0" w:rsidRPr="003A3FF6" w:rsidRDefault="006A22B0" w:rsidP="00C32267">
      <w:pPr>
        <w:pStyle w:val="Submissionlisthangingindent"/>
      </w:pPr>
      <w:r w:rsidRPr="003A3FF6">
        <w:rPr>
          <w:b/>
        </w:rPr>
        <w:t xml:space="preserve">PAD20 </w:t>
      </w:r>
      <w:r w:rsidRPr="003A3FF6">
        <w:rPr>
          <w:b/>
        </w:rPr>
        <w:tab/>
      </w:r>
      <w:r w:rsidRPr="003A3FF6">
        <w:t>Shooting Industry Foundation Australia, 27 September 2023</w:t>
      </w:r>
    </w:p>
    <w:p w14:paraId="11077B4C" w14:textId="77777777" w:rsidR="006A22B0" w:rsidRPr="003A3FF6" w:rsidRDefault="006A22B0" w:rsidP="00C32267">
      <w:pPr>
        <w:pStyle w:val="Submissionlisthangingindent"/>
      </w:pPr>
      <w:r w:rsidRPr="003A3FF6">
        <w:rPr>
          <w:b/>
        </w:rPr>
        <w:t xml:space="preserve">PAD21 </w:t>
      </w:r>
      <w:r w:rsidRPr="003A3FF6">
        <w:rPr>
          <w:b/>
        </w:rPr>
        <w:tab/>
      </w:r>
      <w:r w:rsidRPr="003A3FF6">
        <w:t>NSW Council for Civil Liberties</w:t>
      </w:r>
      <w:r>
        <w:t xml:space="preserve"> Inc</w:t>
      </w:r>
      <w:r w:rsidRPr="003A3FF6">
        <w:t>, 28 September 2023</w:t>
      </w:r>
    </w:p>
    <w:p w14:paraId="6711BB4B" w14:textId="77777777" w:rsidR="006A22B0" w:rsidRPr="003A3FF6" w:rsidRDefault="006A22B0" w:rsidP="00C32267">
      <w:pPr>
        <w:pStyle w:val="Submissionlisthangingindent"/>
      </w:pPr>
      <w:r w:rsidRPr="003A3FF6">
        <w:rPr>
          <w:b/>
        </w:rPr>
        <w:t xml:space="preserve">PAD22 </w:t>
      </w:r>
      <w:r w:rsidRPr="003A3FF6">
        <w:rPr>
          <w:b/>
        </w:rPr>
        <w:tab/>
      </w:r>
      <w:r w:rsidRPr="003A3FF6">
        <w:t>Amazon, 28 September 2023</w:t>
      </w:r>
    </w:p>
    <w:p w14:paraId="2E4B1E4A" w14:textId="77777777" w:rsidR="006A22B0" w:rsidRPr="003A3FF6" w:rsidRDefault="006A22B0" w:rsidP="00C32267">
      <w:pPr>
        <w:pStyle w:val="Submissionlisthangingindent"/>
      </w:pPr>
      <w:r w:rsidRPr="003A3FF6">
        <w:rPr>
          <w:b/>
        </w:rPr>
        <w:t xml:space="preserve">PAD23 </w:t>
      </w:r>
      <w:r w:rsidRPr="003A3FF6">
        <w:rPr>
          <w:b/>
        </w:rPr>
        <w:tab/>
      </w:r>
      <w:r w:rsidRPr="003A3FF6">
        <w:t>Australian National Imams Council, 28 September 2023</w:t>
      </w:r>
    </w:p>
    <w:p w14:paraId="12D5C1E5" w14:textId="77777777" w:rsidR="006A22B0" w:rsidRPr="003A3FF6" w:rsidRDefault="006A22B0" w:rsidP="00C32267">
      <w:pPr>
        <w:pStyle w:val="Submissionlisthangingindent"/>
      </w:pPr>
      <w:r w:rsidRPr="003A3FF6">
        <w:rPr>
          <w:b/>
        </w:rPr>
        <w:t xml:space="preserve">PAD24 </w:t>
      </w:r>
      <w:r w:rsidRPr="003A3FF6">
        <w:rPr>
          <w:b/>
        </w:rPr>
        <w:tab/>
      </w:r>
      <w:r w:rsidRPr="003A3FF6">
        <w:t>Australian Industry Group, 28 September 2023</w:t>
      </w:r>
    </w:p>
    <w:p w14:paraId="2D7C2CD5" w14:textId="77777777" w:rsidR="006A22B0" w:rsidRPr="003A3FF6" w:rsidRDefault="006A22B0" w:rsidP="00C32267">
      <w:pPr>
        <w:pStyle w:val="Submissionlisthangingindent"/>
      </w:pPr>
      <w:r w:rsidRPr="003A3FF6">
        <w:rPr>
          <w:b/>
        </w:rPr>
        <w:t xml:space="preserve">PAD25 </w:t>
      </w:r>
      <w:r w:rsidRPr="003A3FF6">
        <w:rPr>
          <w:b/>
        </w:rPr>
        <w:tab/>
      </w:r>
      <w:r w:rsidRPr="003A3FF6">
        <w:t>Freedom for Faith, 28 September 2023</w:t>
      </w:r>
    </w:p>
    <w:p w14:paraId="0FD0BB87" w14:textId="77777777" w:rsidR="006A22B0" w:rsidRPr="003A3FF6" w:rsidRDefault="006A22B0" w:rsidP="00C32267">
      <w:pPr>
        <w:pStyle w:val="Submissionlisthangingindent"/>
      </w:pPr>
      <w:r w:rsidRPr="003A3FF6">
        <w:rPr>
          <w:b/>
        </w:rPr>
        <w:t xml:space="preserve">PAD26 </w:t>
      </w:r>
      <w:r w:rsidRPr="003A3FF6">
        <w:rPr>
          <w:b/>
        </w:rPr>
        <w:tab/>
      </w:r>
      <w:r w:rsidRPr="003A3FF6">
        <w:t>Adventist Schools Australia, Australian Association of Christian Schools, Christian Schools Australia, 28 September 2023</w:t>
      </w:r>
    </w:p>
    <w:p w14:paraId="55B6DCD8" w14:textId="77777777" w:rsidR="006A22B0" w:rsidRPr="003A3FF6" w:rsidRDefault="006A22B0" w:rsidP="00C32267">
      <w:pPr>
        <w:pStyle w:val="Submissionlisthangingindent"/>
      </w:pPr>
      <w:r w:rsidRPr="003A3FF6">
        <w:rPr>
          <w:b/>
        </w:rPr>
        <w:lastRenderedPageBreak/>
        <w:t xml:space="preserve">PAD27 </w:t>
      </w:r>
      <w:r w:rsidRPr="003A3FF6">
        <w:rPr>
          <w:b/>
        </w:rPr>
        <w:tab/>
      </w:r>
      <w:r w:rsidRPr="003A3FF6">
        <w:t>NSW Aboriginal Women’s Advisory Network, 28 September 2023</w:t>
      </w:r>
    </w:p>
    <w:p w14:paraId="63432A26" w14:textId="77777777" w:rsidR="006A22B0" w:rsidRPr="003A3FF6" w:rsidRDefault="006A22B0" w:rsidP="00C32267">
      <w:pPr>
        <w:pStyle w:val="Submissionlisthangingindent"/>
      </w:pPr>
      <w:r w:rsidRPr="003A3FF6">
        <w:rPr>
          <w:b/>
        </w:rPr>
        <w:t xml:space="preserve">PAD28 </w:t>
      </w:r>
      <w:r w:rsidRPr="003A3FF6">
        <w:rPr>
          <w:b/>
        </w:rPr>
        <w:tab/>
      </w:r>
      <w:r w:rsidRPr="003A3FF6">
        <w:t>Coalition Against Caste Discrimination, 29 September 2023</w:t>
      </w:r>
    </w:p>
    <w:p w14:paraId="22B4F249" w14:textId="77777777" w:rsidR="006A22B0" w:rsidRPr="003A3FF6" w:rsidRDefault="006A22B0" w:rsidP="00C32267">
      <w:pPr>
        <w:pStyle w:val="Submissionlisthangingindent"/>
      </w:pPr>
      <w:r w:rsidRPr="003A3FF6">
        <w:rPr>
          <w:b/>
        </w:rPr>
        <w:t xml:space="preserve">PAD29 </w:t>
      </w:r>
      <w:r w:rsidRPr="003A3FF6">
        <w:rPr>
          <w:b/>
        </w:rPr>
        <w:tab/>
      </w:r>
      <w:r w:rsidRPr="003A3FF6">
        <w:t>Associate Professor Mark Fowler, 29 September 2023</w:t>
      </w:r>
    </w:p>
    <w:p w14:paraId="12BFA560" w14:textId="77777777" w:rsidR="006A22B0" w:rsidRPr="003A3FF6" w:rsidRDefault="006A22B0" w:rsidP="00C32267">
      <w:pPr>
        <w:pStyle w:val="Submissionlisthangingindent"/>
      </w:pPr>
      <w:r w:rsidRPr="003A3FF6">
        <w:rPr>
          <w:b/>
        </w:rPr>
        <w:t xml:space="preserve">PAD30 </w:t>
      </w:r>
      <w:r w:rsidRPr="003A3FF6">
        <w:rPr>
          <w:b/>
        </w:rPr>
        <w:tab/>
      </w:r>
      <w:r w:rsidRPr="003A3FF6">
        <w:t>Rainbow Labor NSW, 29 September 2023</w:t>
      </w:r>
    </w:p>
    <w:p w14:paraId="5D3818F5" w14:textId="77777777" w:rsidR="006A22B0" w:rsidRPr="003A3FF6" w:rsidRDefault="006A22B0" w:rsidP="00C32267">
      <w:pPr>
        <w:pStyle w:val="Submissionlisthangingindent"/>
      </w:pPr>
      <w:r w:rsidRPr="003A3FF6">
        <w:rPr>
          <w:b/>
        </w:rPr>
        <w:t xml:space="preserve">PAD31 </w:t>
      </w:r>
      <w:r w:rsidRPr="003A3FF6">
        <w:rPr>
          <w:b/>
        </w:rPr>
        <w:tab/>
      </w:r>
      <w:r w:rsidRPr="003A3FF6">
        <w:t>Law Society of NSW, 29 September 2023</w:t>
      </w:r>
    </w:p>
    <w:p w14:paraId="4C225AFA" w14:textId="450F9FC6" w:rsidR="006A22B0" w:rsidRPr="003A3FF6" w:rsidRDefault="006A22B0" w:rsidP="00C32267">
      <w:pPr>
        <w:pStyle w:val="Submissionlisthangingindent"/>
      </w:pPr>
      <w:r w:rsidRPr="003A3FF6">
        <w:rPr>
          <w:b/>
        </w:rPr>
        <w:t xml:space="preserve">PAD32 </w:t>
      </w:r>
      <w:r w:rsidRPr="003A3FF6">
        <w:rPr>
          <w:b/>
        </w:rPr>
        <w:tab/>
      </w:r>
      <w:r w:rsidRPr="003A3FF6">
        <w:t>UNSW Allens Hub for Technology, Law and Innovation</w:t>
      </w:r>
      <w:r>
        <w:rPr>
          <w:b/>
        </w:rPr>
        <w:t xml:space="preserve">, </w:t>
      </w:r>
      <w:r w:rsidRPr="003A3FF6">
        <w:t>29</w:t>
      </w:r>
      <w:r w:rsidR="002D5781">
        <w:t> </w:t>
      </w:r>
      <w:r w:rsidRPr="003A3FF6">
        <w:t>September</w:t>
      </w:r>
      <w:r w:rsidR="002D5781">
        <w:t> </w:t>
      </w:r>
      <w:r w:rsidRPr="003A3FF6">
        <w:t>2023</w:t>
      </w:r>
    </w:p>
    <w:p w14:paraId="5D08F8D8" w14:textId="77777777" w:rsidR="006A22B0" w:rsidRPr="003A3FF6" w:rsidRDefault="006A22B0" w:rsidP="00C32267">
      <w:pPr>
        <w:pStyle w:val="Submissionlisthangingindent"/>
        <w:rPr>
          <w:b/>
        </w:rPr>
      </w:pPr>
      <w:r w:rsidRPr="003A3FF6">
        <w:rPr>
          <w:b/>
        </w:rPr>
        <w:t>PAD33</w:t>
      </w:r>
      <w:r w:rsidRPr="003A3FF6">
        <w:rPr>
          <w:b/>
        </w:rPr>
        <w:tab/>
      </w:r>
      <w:r w:rsidRPr="003A3FF6">
        <w:t>Australian Feminists for Women's Rights</w:t>
      </w:r>
      <w:r>
        <w:t xml:space="preserve">, </w:t>
      </w:r>
      <w:r w:rsidRPr="003A3FF6">
        <w:t>29 September 2023</w:t>
      </w:r>
    </w:p>
    <w:p w14:paraId="3C3F5002" w14:textId="77777777" w:rsidR="006A22B0" w:rsidRPr="003A3FF6" w:rsidRDefault="006A22B0" w:rsidP="00C32267">
      <w:pPr>
        <w:pStyle w:val="Submissionlisthangingindent"/>
        <w:rPr>
          <w:b/>
        </w:rPr>
      </w:pPr>
      <w:r w:rsidRPr="003A3FF6">
        <w:rPr>
          <w:b/>
        </w:rPr>
        <w:t xml:space="preserve">PAD34 </w:t>
      </w:r>
      <w:r w:rsidRPr="003A3FF6">
        <w:rPr>
          <w:b/>
        </w:rPr>
        <w:tab/>
      </w:r>
      <w:r w:rsidRPr="003A3FF6">
        <w:t xml:space="preserve">Falun </w:t>
      </w:r>
      <w:proofErr w:type="spellStart"/>
      <w:r w:rsidRPr="003A3FF6">
        <w:t>Dafa</w:t>
      </w:r>
      <w:proofErr w:type="spellEnd"/>
      <w:r w:rsidRPr="003A3FF6">
        <w:t xml:space="preserve"> Association of Australia Inc</w:t>
      </w:r>
      <w:r>
        <w:rPr>
          <w:b/>
        </w:rPr>
        <w:t xml:space="preserve">, </w:t>
      </w:r>
      <w:r w:rsidRPr="003A3FF6">
        <w:t>29 September 2023</w:t>
      </w:r>
    </w:p>
    <w:p w14:paraId="63ED38E3" w14:textId="77777777" w:rsidR="006A22B0" w:rsidRPr="003A3FF6" w:rsidRDefault="006A22B0" w:rsidP="00C32267">
      <w:pPr>
        <w:pStyle w:val="Submissionlisthangingindent"/>
      </w:pPr>
      <w:r w:rsidRPr="003A3FF6">
        <w:rPr>
          <w:b/>
        </w:rPr>
        <w:t xml:space="preserve">PAD35 </w:t>
      </w:r>
      <w:r w:rsidRPr="003A3FF6">
        <w:rPr>
          <w:b/>
        </w:rPr>
        <w:tab/>
      </w:r>
      <w:r w:rsidRPr="003A3FF6">
        <w:t>Kingsford Legal Centre</w:t>
      </w:r>
      <w:r>
        <w:t xml:space="preserve">, </w:t>
      </w:r>
      <w:r w:rsidRPr="003A3FF6">
        <w:t>29 September 2023</w:t>
      </w:r>
    </w:p>
    <w:p w14:paraId="1EAC4657" w14:textId="77777777" w:rsidR="006A22B0" w:rsidRPr="003A3FF6" w:rsidRDefault="006A22B0" w:rsidP="00C32267">
      <w:pPr>
        <w:pStyle w:val="Submissionlisthangingindent"/>
        <w:rPr>
          <w:b/>
        </w:rPr>
      </w:pPr>
      <w:r w:rsidRPr="003A3FF6">
        <w:rPr>
          <w:b/>
        </w:rPr>
        <w:t xml:space="preserve">PAD36 </w:t>
      </w:r>
      <w:r w:rsidRPr="003A3FF6">
        <w:rPr>
          <w:b/>
        </w:rPr>
        <w:tab/>
      </w:r>
      <w:r w:rsidRPr="003A3FF6">
        <w:t>Rainbow Families</w:t>
      </w:r>
      <w:r>
        <w:rPr>
          <w:b/>
        </w:rPr>
        <w:t xml:space="preserve">, </w:t>
      </w:r>
      <w:r w:rsidRPr="003A3FF6">
        <w:t>29 September 2023</w:t>
      </w:r>
    </w:p>
    <w:p w14:paraId="52134455" w14:textId="77777777" w:rsidR="006A22B0" w:rsidRPr="003A3FF6" w:rsidRDefault="006A22B0" w:rsidP="00C32267">
      <w:pPr>
        <w:pStyle w:val="Submissionlisthangingindent"/>
      </w:pPr>
      <w:r w:rsidRPr="003A3FF6">
        <w:rPr>
          <w:b/>
        </w:rPr>
        <w:t xml:space="preserve">PAD37 </w:t>
      </w:r>
      <w:r w:rsidRPr="003A3FF6">
        <w:rPr>
          <w:b/>
        </w:rPr>
        <w:tab/>
      </w:r>
      <w:r w:rsidRPr="003A3FF6">
        <w:t>Catholic Archdiocese of Sydney</w:t>
      </w:r>
      <w:r>
        <w:t xml:space="preserve">, </w:t>
      </w:r>
      <w:r w:rsidRPr="003A3FF6">
        <w:t>29 September 2023</w:t>
      </w:r>
    </w:p>
    <w:p w14:paraId="48314AB8" w14:textId="77777777" w:rsidR="006A22B0" w:rsidRPr="003A3FF6" w:rsidRDefault="006A22B0" w:rsidP="00C32267">
      <w:pPr>
        <w:pStyle w:val="Submissionlisthangingindent"/>
      </w:pPr>
      <w:r w:rsidRPr="003A3FF6">
        <w:rPr>
          <w:b/>
        </w:rPr>
        <w:t xml:space="preserve">PAD38 </w:t>
      </w:r>
      <w:r w:rsidRPr="003A3FF6">
        <w:rPr>
          <w:b/>
        </w:rPr>
        <w:tab/>
      </w:r>
      <w:r w:rsidRPr="003A3FF6">
        <w:t>Marque Lawyers</w:t>
      </w:r>
      <w:r>
        <w:t xml:space="preserve"> Pty Ltd, </w:t>
      </w:r>
      <w:r w:rsidRPr="003A3FF6">
        <w:t>29 September 2023</w:t>
      </w:r>
    </w:p>
    <w:p w14:paraId="260C4684" w14:textId="77777777" w:rsidR="006A22B0" w:rsidRPr="003A3FF6" w:rsidRDefault="006A22B0" w:rsidP="00C32267">
      <w:pPr>
        <w:pStyle w:val="Submissionlisthangingindent"/>
      </w:pPr>
      <w:r w:rsidRPr="003A3FF6">
        <w:rPr>
          <w:b/>
        </w:rPr>
        <w:t xml:space="preserve">PAD39 </w:t>
      </w:r>
      <w:r w:rsidRPr="003A3FF6">
        <w:rPr>
          <w:b/>
        </w:rPr>
        <w:tab/>
      </w:r>
      <w:r w:rsidRPr="003A3FF6">
        <w:t>National Justice Project</w:t>
      </w:r>
      <w:r>
        <w:t xml:space="preserve">, </w:t>
      </w:r>
      <w:r w:rsidRPr="003A3FF6">
        <w:t>29 September 2023</w:t>
      </w:r>
    </w:p>
    <w:p w14:paraId="3FFA0F58" w14:textId="77777777" w:rsidR="006A22B0" w:rsidRPr="003A3FF6" w:rsidRDefault="006A22B0" w:rsidP="00C32267">
      <w:pPr>
        <w:pStyle w:val="Submissionlisthangingindent"/>
      </w:pPr>
      <w:r w:rsidRPr="003A3FF6">
        <w:rPr>
          <w:b/>
        </w:rPr>
        <w:t xml:space="preserve">PAD40 </w:t>
      </w:r>
      <w:r w:rsidRPr="003A3FF6">
        <w:rPr>
          <w:b/>
        </w:rPr>
        <w:tab/>
      </w:r>
      <w:r w:rsidRPr="003A3FF6">
        <w:t>Inner City Legal Centre</w:t>
      </w:r>
      <w:r>
        <w:t xml:space="preserve">, </w:t>
      </w:r>
      <w:r w:rsidRPr="003A3FF6">
        <w:t>29 September 2023</w:t>
      </w:r>
    </w:p>
    <w:p w14:paraId="772B7131" w14:textId="77777777" w:rsidR="006A22B0" w:rsidRPr="003A3FF6" w:rsidRDefault="006A22B0" w:rsidP="00C32267">
      <w:pPr>
        <w:pStyle w:val="Submissionlisthangingindent"/>
      </w:pPr>
      <w:r w:rsidRPr="003A3FF6">
        <w:rPr>
          <w:b/>
        </w:rPr>
        <w:t xml:space="preserve">PAD41 </w:t>
      </w:r>
      <w:r w:rsidRPr="003A3FF6">
        <w:rPr>
          <w:b/>
        </w:rPr>
        <w:tab/>
      </w:r>
      <w:r w:rsidRPr="003A3FF6">
        <w:t>NSW Ombudsman</w:t>
      </w:r>
      <w:r>
        <w:t xml:space="preserve">, </w:t>
      </w:r>
      <w:r w:rsidRPr="003A3FF6">
        <w:t>29 September 2023</w:t>
      </w:r>
    </w:p>
    <w:p w14:paraId="58A256EA" w14:textId="77777777" w:rsidR="006A22B0" w:rsidRPr="003A3FF6" w:rsidRDefault="006A22B0" w:rsidP="00C32267">
      <w:pPr>
        <w:pStyle w:val="Submissionlisthangingindent"/>
      </w:pPr>
      <w:r w:rsidRPr="003A3FF6">
        <w:rPr>
          <w:b/>
        </w:rPr>
        <w:t xml:space="preserve">PAD42 </w:t>
      </w:r>
      <w:r w:rsidRPr="003A3FF6">
        <w:rPr>
          <w:b/>
        </w:rPr>
        <w:tab/>
      </w:r>
      <w:r w:rsidRPr="003A3FF6">
        <w:t>Mental Health Carers NSW</w:t>
      </w:r>
      <w:r>
        <w:t xml:space="preserve"> Inc, </w:t>
      </w:r>
      <w:r w:rsidRPr="003A3FF6">
        <w:t>29 September 2023</w:t>
      </w:r>
    </w:p>
    <w:p w14:paraId="66ED416C" w14:textId="77777777" w:rsidR="006A22B0" w:rsidRPr="003A3FF6" w:rsidRDefault="006A22B0" w:rsidP="00C32267">
      <w:pPr>
        <w:pStyle w:val="Submissionlisthangingindent"/>
      </w:pPr>
      <w:r w:rsidRPr="003A3FF6">
        <w:rPr>
          <w:b/>
        </w:rPr>
        <w:t>PAD42A</w:t>
      </w:r>
      <w:r w:rsidRPr="003A3FF6">
        <w:rPr>
          <w:b/>
        </w:rPr>
        <w:tab/>
      </w:r>
      <w:r w:rsidRPr="003A3FF6">
        <w:t>Mental Health Carers NSW</w:t>
      </w:r>
      <w:r>
        <w:t xml:space="preserve"> Inc, 30</w:t>
      </w:r>
      <w:r w:rsidRPr="003A3FF6">
        <w:t xml:space="preserve"> September </w:t>
      </w:r>
      <w:r>
        <w:t>2024</w:t>
      </w:r>
    </w:p>
    <w:p w14:paraId="36F3B416" w14:textId="77777777" w:rsidR="006A22B0" w:rsidRPr="003A3FF6" w:rsidRDefault="006A22B0" w:rsidP="00C32267">
      <w:pPr>
        <w:pStyle w:val="Submissionlisthangingindent"/>
      </w:pPr>
      <w:r w:rsidRPr="000930E0">
        <w:rPr>
          <w:b/>
        </w:rPr>
        <w:t xml:space="preserve">PAD43 </w:t>
      </w:r>
      <w:r w:rsidRPr="000930E0">
        <w:rPr>
          <w:b/>
        </w:rPr>
        <w:tab/>
      </w:r>
      <w:r w:rsidRPr="000930E0">
        <w:t xml:space="preserve">LGB Alliance Australia, </w:t>
      </w:r>
      <w:r w:rsidRPr="00B5125A">
        <w:t>29 September 2023</w:t>
      </w:r>
    </w:p>
    <w:p w14:paraId="3E508064" w14:textId="77777777" w:rsidR="006A22B0" w:rsidRPr="003A3FF6" w:rsidRDefault="006A22B0" w:rsidP="00C32267">
      <w:pPr>
        <w:pStyle w:val="Submissionlisthangingindent"/>
      </w:pPr>
      <w:r w:rsidRPr="003A3FF6">
        <w:rPr>
          <w:b/>
        </w:rPr>
        <w:t xml:space="preserve">PAD44 </w:t>
      </w:r>
      <w:r w:rsidRPr="003A3FF6">
        <w:rPr>
          <w:b/>
        </w:rPr>
        <w:tab/>
      </w:r>
      <w:r w:rsidRPr="003A3FF6">
        <w:t>ACON</w:t>
      </w:r>
      <w:r>
        <w:t xml:space="preserve">, </w:t>
      </w:r>
      <w:r w:rsidRPr="003A3FF6">
        <w:t>29 September 2023</w:t>
      </w:r>
    </w:p>
    <w:p w14:paraId="315A5259" w14:textId="77777777" w:rsidR="006A22B0" w:rsidRPr="003A3FF6" w:rsidRDefault="006A22B0" w:rsidP="00C32267">
      <w:pPr>
        <w:pStyle w:val="Submissionlisthangingindent"/>
      </w:pPr>
      <w:r w:rsidRPr="003A3FF6">
        <w:rPr>
          <w:b/>
        </w:rPr>
        <w:t xml:space="preserve">PAD45 </w:t>
      </w:r>
      <w:r w:rsidRPr="003A3FF6">
        <w:rPr>
          <w:b/>
        </w:rPr>
        <w:tab/>
      </w:r>
      <w:r w:rsidRPr="003A3FF6">
        <w:t>Fair Game Australia</w:t>
      </w:r>
      <w:r>
        <w:t xml:space="preserve">, </w:t>
      </w:r>
      <w:r w:rsidRPr="003A3FF6">
        <w:t>29 September 2023</w:t>
      </w:r>
    </w:p>
    <w:p w14:paraId="7115E7E3" w14:textId="77777777" w:rsidR="006A22B0" w:rsidRPr="003A3FF6" w:rsidRDefault="006A22B0" w:rsidP="00C32267">
      <w:pPr>
        <w:pStyle w:val="Submissionlisthangingindent"/>
        <w:rPr>
          <w:b/>
        </w:rPr>
      </w:pPr>
      <w:r w:rsidRPr="003A3FF6">
        <w:rPr>
          <w:b/>
        </w:rPr>
        <w:t xml:space="preserve">PAD46 </w:t>
      </w:r>
      <w:r w:rsidRPr="003A3FF6">
        <w:rPr>
          <w:b/>
        </w:rPr>
        <w:tab/>
      </w:r>
      <w:r w:rsidRPr="003A3FF6">
        <w:t>Associate Professor Bruce Baer Arnold</w:t>
      </w:r>
      <w:r>
        <w:t xml:space="preserve"> and</w:t>
      </w:r>
      <w:r w:rsidRPr="003A3FF6">
        <w:t xml:space="preserve"> Associate Professor Wendy Bonython</w:t>
      </w:r>
      <w:r>
        <w:t xml:space="preserve">, </w:t>
      </w:r>
      <w:r w:rsidRPr="003A3FF6">
        <w:t>29 September 2023</w:t>
      </w:r>
    </w:p>
    <w:p w14:paraId="706DDB36" w14:textId="77777777" w:rsidR="006A22B0" w:rsidRPr="003A3FF6" w:rsidRDefault="006A22B0" w:rsidP="00C32267">
      <w:pPr>
        <w:pStyle w:val="Submissionlisthangingindent"/>
      </w:pPr>
      <w:r w:rsidRPr="003A3FF6">
        <w:rPr>
          <w:b/>
        </w:rPr>
        <w:t xml:space="preserve">PAD47 </w:t>
      </w:r>
      <w:r w:rsidRPr="003A3FF6">
        <w:rPr>
          <w:b/>
        </w:rPr>
        <w:tab/>
      </w:r>
      <w:r w:rsidRPr="003A3FF6">
        <w:t>Australian Muslim Advocacy Network</w:t>
      </w:r>
      <w:r>
        <w:t xml:space="preserve">, </w:t>
      </w:r>
      <w:r w:rsidRPr="003A3FF6">
        <w:t>29 September 2023</w:t>
      </w:r>
    </w:p>
    <w:p w14:paraId="417F8840" w14:textId="77777777" w:rsidR="006A22B0" w:rsidRPr="003A3FF6" w:rsidRDefault="006A22B0" w:rsidP="00C32267">
      <w:pPr>
        <w:pStyle w:val="Submissionlisthangingindent"/>
      </w:pPr>
      <w:r w:rsidRPr="003A3FF6">
        <w:rPr>
          <w:b/>
        </w:rPr>
        <w:t xml:space="preserve">PAD48 </w:t>
      </w:r>
      <w:r w:rsidRPr="003A3FF6">
        <w:rPr>
          <w:b/>
        </w:rPr>
        <w:tab/>
      </w:r>
      <w:r w:rsidRPr="003A3FF6">
        <w:t>Confidential</w:t>
      </w:r>
      <w:r>
        <w:t xml:space="preserve">, </w:t>
      </w:r>
      <w:r w:rsidRPr="003A3FF6">
        <w:t>29 September 2023</w:t>
      </w:r>
    </w:p>
    <w:p w14:paraId="549ACCCD" w14:textId="77777777" w:rsidR="006A22B0" w:rsidRPr="003A3FF6" w:rsidRDefault="006A22B0" w:rsidP="00C32267">
      <w:pPr>
        <w:pStyle w:val="Submissionlisthangingindent"/>
      </w:pPr>
      <w:r w:rsidRPr="003A3FF6">
        <w:rPr>
          <w:b/>
        </w:rPr>
        <w:t xml:space="preserve">PAD49 </w:t>
      </w:r>
      <w:r w:rsidRPr="003A3FF6">
        <w:rPr>
          <w:b/>
        </w:rPr>
        <w:tab/>
      </w:r>
      <w:r w:rsidRPr="00D53EF6">
        <w:t xml:space="preserve">Law Society of </w:t>
      </w:r>
      <w:r w:rsidRPr="003A3FF6">
        <w:t>NSW Young Lawyers Human Rights Sub-Committee</w:t>
      </w:r>
      <w:r>
        <w:t xml:space="preserve">, </w:t>
      </w:r>
      <w:r w:rsidRPr="003A3FF6">
        <w:t>29</w:t>
      </w:r>
      <w:r>
        <w:t> </w:t>
      </w:r>
      <w:r w:rsidRPr="003A3FF6">
        <w:t>September 2023</w:t>
      </w:r>
    </w:p>
    <w:p w14:paraId="51AFAE3C" w14:textId="6092D380" w:rsidR="006A22B0" w:rsidRPr="003A3FF6" w:rsidRDefault="006A22B0" w:rsidP="00C32267">
      <w:pPr>
        <w:pStyle w:val="Submissionlisthangingindent"/>
        <w:rPr>
          <w:b/>
        </w:rPr>
      </w:pPr>
      <w:r w:rsidRPr="003A3FF6">
        <w:rPr>
          <w:b/>
        </w:rPr>
        <w:t xml:space="preserve">PAD50 </w:t>
      </w:r>
      <w:r w:rsidRPr="003A3FF6">
        <w:rPr>
          <w:b/>
        </w:rPr>
        <w:tab/>
      </w:r>
      <w:r w:rsidRPr="003A3FF6">
        <w:t>New South Wales Nurses and Midwives' Association</w:t>
      </w:r>
      <w:r>
        <w:rPr>
          <w:b/>
        </w:rPr>
        <w:t xml:space="preserve">, </w:t>
      </w:r>
      <w:r w:rsidRPr="003A3FF6">
        <w:t>29</w:t>
      </w:r>
      <w:r w:rsidR="002D5781">
        <w:t> </w:t>
      </w:r>
      <w:r w:rsidRPr="003A3FF6">
        <w:t>September</w:t>
      </w:r>
      <w:r w:rsidR="002D5781">
        <w:t> </w:t>
      </w:r>
      <w:r w:rsidRPr="003A3FF6">
        <w:t>2023</w:t>
      </w:r>
    </w:p>
    <w:p w14:paraId="5BBC24DD" w14:textId="77777777" w:rsidR="006A22B0" w:rsidRPr="003A3FF6" w:rsidRDefault="006A22B0" w:rsidP="00C32267">
      <w:pPr>
        <w:pStyle w:val="Submissionlisthangingindent"/>
      </w:pPr>
      <w:r w:rsidRPr="003A3FF6">
        <w:rPr>
          <w:b/>
        </w:rPr>
        <w:t xml:space="preserve">PAD51 </w:t>
      </w:r>
      <w:r w:rsidRPr="003A3FF6">
        <w:rPr>
          <w:b/>
        </w:rPr>
        <w:tab/>
      </w:r>
      <w:r w:rsidRPr="003A3FF6">
        <w:t>Cleaning Accountability Framework</w:t>
      </w:r>
      <w:r>
        <w:t xml:space="preserve">, </w:t>
      </w:r>
      <w:r w:rsidRPr="003A3FF6">
        <w:t>29 September 2023</w:t>
      </w:r>
    </w:p>
    <w:p w14:paraId="5BDF0FCB" w14:textId="77777777" w:rsidR="006A22B0" w:rsidRPr="003A3FF6" w:rsidRDefault="006A22B0" w:rsidP="00C32267">
      <w:pPr>
        <w:pStyle w:val="Submissionlisthangingindent"/>
      </w:pPr>
      <w:r w:rsidRPr="003A3FF6">
        <w:rPr>
          <w:b/>
        </w:rPr>
        <w:t xml:space="preserve">PAD52 </w:t>
      </w:r>
      <w:r w:rsidRPr="003A3FF6">
        <w:rPr>
          <w:b/>
        </w:rPr>
        <w:tab/>
      </w:r>
      <w:r w:rsidRPr="003A3FF6">
        <w:t>NSW User’s and Aids Association</w:t>
      </w:r>
      <w:r>
        <w:t xml:space="preserve">, </w:t>
      </w:r>
      <w:r w:rsidRPr="003A3FF6">
        <w:t>29 September 2023</w:t>
      </w:r>
    </w:p>
    <w:p w14:paraId="176DD2F6" w14:textId="77777777" w:rsidR="006A22B0" w:rsidRPr="003A3FF6" w:rsidRDefault="006A22B0" w:rsidP="00C32267">
      <w:pPr>
        <w:pStyle w:val="Submissionlisthangingindent"/>
      </w:pPr>
      <w:r w:rsidRPr="003A3FF6">
        <w:rPr>
          <w:b/>
        </w:rPr>
        <w:t xml:space="preserve">PAD53 </w:t>
      </w:r>
      <w:r w:rsidRPr="003A3FF6">
        <w:rPr>
          <w:b/>
        </w:rPr>
        <w:tab/>
      </w:r>
      <w:r w:rsidRPr="003A3FF6">
        <w:t>People with Disability Australia</w:t>
      </w:r>
      <w:r>
        <w:t xml:space="preserve">, </w:t>
      </w:r>
      <w:r w:rsidRPr="003A3FF6">
        <w:t>29 September 2023</w:t>
      </w:r>
    </w:p>
    <w:p w14:paraId="6B42F6A4" w14:textId="35A25BA5" w:rsidR="006A22B0" w:rsidRPr="003A3FF6" w:rsidRDefault="006A22B0" w:rsidP="00C32267">
      <w:pPr>
        <w:pStyle w:val="Submissionlisthangingindent"/>
        <w:rPr>
          <w:b/>
        </w:rPr>
      </w:pPr>
      <w:r w:rsidRPr="003A3FF6">
        <w:rPr>
          <w:b/>
        </w:rPr>
        <w:t>PAD54</w:t>
      </w:r>
      <w:r w:rsidRPr="003A3FF6">
        <w:rPr>
          <w:b/>
        </w:rPr>
        <w:tab/>
      </w:r>
      <w:r w:rsidRPr="00D53EF6">
        <w:t>UTS,</w:t>
      </w:r>
      <w:r>
        <w:rPr>
          <w:b/>
        </w:rPr>
        <w:t xml:space="preserve"> </w:t>
      </w:r>
      <w:r w:rsidRPr="003A3FF6">
        <w:t>Jumbunna Institute for Indigenous Education and Research</w:t>
      </w:r>
      <w:r>
        <w:rPr>
          <w:b/>
        </w:rPr>
        <w:t xml:space="preserve">, </w:t>
      </w:r>
      <w:r w:rsidRPr="003A3FF6">
        <w:t>29</w:t>
      </w:r>
      <w:r w:rsidR="002D5781">
        <w:t> </w:t>
      </w:r>
      <w:r w:rsidRPr="003A3FF6">
        <w:t>September 2023</w:t>
      </w:r>
    </w:p>
    <w:p w14:paraId="02FCD22A" w14:textId="77777777" w:rsidR="006A22B0" w:rsidRPr="003A3FF6" w:rsidRDefault="006A22B0" w:rsidP="00C32267">
      <w:pPr>
        <w:pStyle w:val="Submissionlisthangingindent"/>
        <w:rPr>
          <w:b/>
        </w:rPr>
      </w:pPr>
      <w:r w:rsidRPr="003A3FF6">
        <w:rPr>
          <w:b/>
        </w:rPr>
        <w:lastRenderedPageBreak/>
        <w:t>PAD55</w:t>
      </w:r>
      <w:r w:rsidRPr="003A3FF6">
        <w:rPr>
          <w:b/>
        </w:rPr>
        <w:tab/>
      </w:r>
      <w:r w:rsidRPr="003A3FF6">
        <w:t>Women’s Legal Service NSW</w:t>
      </w:r>
      <w:r>
        <w:rPr>
          <w:b/>
        </w:rPr>
        <w:t xml:space="preserve">, </w:t>
      </w:r>
      <w:r w:rsidRPr="003A3FF6">
        <w:t>29 September 2023</w:t>
      </w:r>
    </w:p>
    <w:p w14:paraId="38174DFB" w14:textId="646F32C4" w:rsidR="006A22B0" w:rsidRPr="003A3FF6" w:rsidRDefault="006A22B0" w:rsidP="00C32267">
      <w:pPr>
        <w:pStyle w:val="Submissionlisthangingindent"/>
        <w:rPr>
          <w:b/>
        </w:rPr>
      </w:pPr>
      <w:r w:rsidRPr="003A3FF6">
        <w:rPr>
          <w:b/>
        </w:rPr>
        <w:t xml:space="preserve">PAD56 </w:t>
      </w:r>
      <w:r w:rsidRPr="003A3FF6">
        <w:rPr>
          <w:b/>
        </w:rPr>
        <w:tab/>
      </w:r>
      <w:r w:rsidRPr="003A3FF6">
        <w:t>Presbyterian Church of Australia in New South Wales</w:t>
      </w:r>
      <w:r>
        <w:rPr>
          <w:b/>
        </w:rPr>
        <w:t xml:space="preserve">, </w:t>
      </w:r>
      <w:r w:rsidRPr="003A3FF6">
        <w:t>29</w:t>
      </w:r>
      <w:r w:rsidR="002D5781">
        <w:t> </w:t>
      </w:r>
      <w:r w:rsidRPr="003A3FF6">
        <w:t>September</w:t>
      </w:r>
      <w:r w:rsidR="002D5781">
        <w:t> </w:t>
      </w:r>
      <w:r w:rsidRPr="003A3FF6">
        <w:t>2023</w:t>
      </w:r>
    </w:p>
    <w:p w14:paraId="71175CEA" w14:textId="77777777" w:rsidR="006A22B0" w:rsidRPr="003A3FF6" w:rsidRDefault="006A22B0" w:rsidP="00C32267">
      <w:pPr>
        <w:pStyle w:val="Submissionlisthangingindent"/>
        <w:rPr>
          <w:b/>
        </w:rPr>
      </w:pPr>
      <w:r w:rsidRPr="003A3FF6">
        <w:rPr>
          <w:b/>
        </w:rPr>
        <w:t>PAD57</w:t>
      </w:r>
      <w:r w:rsidRPr="003A3FF6">
        <w:rPr>
          <w:b/>
        </w:rPr>
        <w:tab/>
      </w:r>
      <w:r w:rsidRPr="003A3FF6">
        <w:t>Respect Inc</w:t>
      </w:r>
      <w:r>
        <w:rPr>
          <w:b/>
        </w:rPr>
        <w:t xml:space="preserve">, </w:t>
      </w:r>
      <w:r w:rsidRPr="003A3FF6">
        <w:t>29 September 2023</w:t>
      </w:r>
    </w:p>
    <w:p w14:paraId="28547FD6" w14:textId="77777777" w:rsidR="006A22B0" w:rsidRPr="003A3FF6" w:rsidRDefault="006A22B0" w:rsidP="00C32267">
      <w:pPr>
        <w:pStyle w:val="Submissionlisthangingindent"/>
        <w:rPr>
          <w:b/>
        </w:rPr>
      </w:pPr>
      <w:r w:rsidRPr="003A3FF6">
        <w:rPr>
          <w:b/>
        </w:rPr>
        <w:t>PAD58</w:t>
      </w:r>
      <w:r w:rsidRPr="003A3FF6">
        <w:rPr>
          <w:b/>
        </w:rPr>
        <w:tab/>
      </w:r>
      <w:r w:rsidRPr="003A3FF6">
        <w:t>Hindu Council of Australia</w:t>
      </w:r>
      <w:r>
        <w:rPr>
          <w:b/>
        </w:rPr>
        <w:t xml:space="preserve">, </w:t>
      </w:r>
      <w:r w:rsidRPr="003A3FF6">
        <w:t>29 September 2023</w:t>
      </w:r>
    </w:p>
    <w:p w14:paraId="4CB8EDE9" w14:textId="77777777" w:rsidR="006A22B0" w:rsidRPr="003A3FF6" w:rsidRDefault="006A22B0" w:rsidP="00C32267">
      <w:pPr>
        <w:pStyle w:val="Submissionlisthangingindent"/>
      </w:pPr>
      <w:r w:rsidRPr="003A3FF6">
        <w:rPr>
          <w:b/>
        </w:rPr>
        <w:t>PAD59</w:t>
      </w:r>
      <w:r w:rsidRPr="003A3FF6">
        <w:rPr>
          <w:b/>
        </w:rPr>
        <w:tab/>
      </w:r>
      <w:r w:rsidRPr="0066441F">
        <w:t>Professor Margaret</w:t>
      </w:r>
      <w:r w:rsidRPr="003A3FF6">
        <w:t xml:space="preserve"> Thornton</w:t>
      </w:r>
      <w:r>
        <w:t xml:space="preserve">, </w:t>
      </w:r>
      <w:r w:rsidRPr="003A3FF6">
        <w:t>29 September 2023</w:t>
      </w:r>
    </w:p>
    <w:p w14:paraId="6D8BF42F" w14:textId="77777777" w:rsidR="006A22B0" w:rsidRPr="003A3FF6" w:rsidRDefault="006A22B0" w:rsidP="00C32267">
      <w:pPr>
        <w:pStyle w:val="Submissionlisthangingindent"/>
      </w:pPr>
      <w:r w:rsidRPr="003A3FF6">
        <w:rPr>
          <w:b/>
        </w:rPr>
        <w:t xml:space="preserve">PAD60 </w:t>
      </w:r>
      <w:r w:rsidRPr="003A3FF6">
        <w:rPr>
          <w:b/>
        </w:rPr>
        <w:tab/>
      </w:r>
      <w:r w:rsidRPr="003A3FF6">
        <w:t>HIV</w:t>
      </w:r>
      <w:r>
        <w:t>/</w:t>
      </w:r>
      <w:r w:rsidRPr="003A3FF6">
        <w:t>AIDS Legal Centre, Positive Life NSW</w:t>
      </w:r>
      <w:r>
        <w:t xml:space="preserve">, </w:t>
      </w:r>
      <w:r w:rsidRPr="003A3FF6">
        <w:t>29 September 2023</w:t>
      </w:r>
    </w:p>
    <w:p w14:paraId="2D23A889" w14:textId="5865429B" w:rsidR="006A22B0" w:rsidRPr="003A3FF6" w:rsidRDefault="006A22B0" w:rsidP="00C32267">
      <w:pPr>
        <w:pStyle w:val="Submissionlisthangingindent"/>
      </w:pPr>
      <w:r w:rsidRPr="003A3FF6">
        <w:rPr>
          <w:b/>
        </w:rPr>
        <w:t>PAD61</w:t>
      </w:r>
      <w:r w:rsidRPr="003A3FF6">
        <w:rPr>
          <w:b/>
        </w:rPr>
        <w:tab/>
      </w:r>
      <w:r w:rsidRPr="003A3FF6">
        <w:t>Adrian Buckley</w:t>
      </w:r>
      <w:r>
        <w:t xml:space="preserve">, </w:t>
      </w:r>
      <w:r w:rsidRPr="003A3FF6">
        <w:t>29 September 2023</w:t>
      </w:r>
    </w:p>
    <w:p w14:paraId="4C05542E" w14:textId="77777777" w:rsidR="006A22B0" w:rsidRPr="003A3FF6" w:rsidRDefault="006A22B0" w:rsidP="00C32267">
      <w:pPr>
        <w:pStyle w:val="Submissionlisthangingindent"/>
      </w:pPr>
      <w:r w:rsidRPr="003A3FF6">
        <w:rPr>
          <w:b/>
        </w:rPr>
        <w:t>PAD62</w:t>
      </w:r>
      <w:r w:rsidRPr="003A3FF6">
        <w:rPr>
          <w:b/>
        </w:rPr>
        <w:tab/>
      </w:r>
      <w:r w:rsidRPr="003A3FF6">
        <w:t>Australian Lawyers for Human Rights</w:t>
      </w:r>
    </w:p>
    <w:p w14:paraId="037B3C56" w14:textId="77777777" w:rsidR="006A22B0" w:rsidRPr="003A3FF6" w:rsidRDefault="006A22B0" w:rsidP="00C32267">
      <w:pPr>
        <w:pStyle w:val="Submissionlisthangingindent"/>
      </w:pPr>
      <w:r w:rsidRPr="003A3FF6">
        <w:rPr>
          <w:b/>
        </w:rPr>
        <w:t>PAD63</w:t>
      </w:r>
      <w:r w:rsidRPr="003A3FF6">
        <w:rPr>
          <w:b/>
        </w:rPr>
        <w:tab/>
      </w:r>
      <w:r w:rsidRPr="003A3FF6">
        <w:t>Racial Justice Centre</w:t>
      </w:r>
      <w:r>
        <w:t xml:space="preserve"> Ltd, </w:t>
      </w:r>
      <w:r w:rsidRPr="003A3FF6">
        <w:t>29 September 2023</w:t>
      </w:r>
    </w:p>
    <w:p w14:paraId="29C657A1" w14:textId="77777777" w:rsidR="006A22B0" w:rsidRPr="003A3FF6" w:rsidRDefault="006A22B0" w:rsidP="00C32267">
      <w:pPr>
        <w:pStyle w:val="Submissionlisthangingindent"/>
      </w:pPr>
      <w:r w:rsidRPr="003A3FF6">
        <w:rPr>
          <w:b/>
        </w:rPr>
        <w:t>PAD64</w:t>
      </w:r>
      <w:r w:rsidRPr="003A3FF6">
        <w:rPr>
          <w:b/>
        </w:rPr>
        <w:tab/>
      </w:r>
      <w:r w:rsidRPr="00E762CF">
        <w:t>Helena Chui, 29 September 2023</w:t>
      </w:r>
    </w:p>
    <w:p w14:paraId="391C91A8" w14:textId="77777777" w:rsidR="006A22B0" w:rsidRPr="003A3FF6" w:rsidRDefault="006A22B0" w:rsidP="00C32267">
      <w:pPr>
        <w:pStyle w:val="Submissionlisthangingindent"/>
        <w:rPr>
          <w:b/>
        </w:rPr>
      </w:pPr>
      <w:r w:rsidRPr="003A3FF6">
        <w:rPr>
          <w:b/>
        </w:rPr>
        <w:t>PAD65</w:t>
      </w:r>
      <w:r w:rsidRPr="003A3FF6">
        <w:rPr>
          <w:b/>
        </w:rPr>
        <w:tab/>
      </w:r>
      <w:r w:rsidRPr="003A3FF6">
        <w:t>Family First Party Australia</w:t>
      </w:r>
      <w:r w:rsidRPr="0066441F">
        <w:t>, 2 October 2023</w:t>
      </w:r>
    </w:p>
    <w:p w14:paraId="180CAF87" w14:textId="77777777" w:rsidR="006A22B0" w:rsidRPr="003A3FF6" w:rsidRDefault="006A22B0" w:rsidP="00C32267">
      <w:pPr>
        <w:pStyle w:val="Submissionlisthangingindent"/>
      </w:pPr>
      <w:r w:rsidRPr="003A3FF6">
        <w:rPr>
          <w:b/>
        </w:rPr>
        <w:t>PAD66</w:t>
      </w:r>
      <w:r w:rsidRPr="003A3FF6">
        <w:rPr>
          <w:b/>
        </w:rPr>
        <w:tab/>
      </w:r>
      <w:r w:rsidRPr="003A3FF6">
        <w:t>Neophile</w:t>
      </w:r>
      <w:r>
        <w:t>, 3</w:t>
      </w:r>
      <w:r w:rsidRPr="0066441F">
        <w:t xml:space="preserve"> October 2023</w:t>
      </w:r>
    </w:p>
    <w:p w14:paraId="39B68B2F" w14:textId="77777777" w:rsidR="006A22B0" w:rsidRPr="003A3FF6" w:rsidRDefault="006A22B0" w:rsidP="00C32267">
      <w:pPr>
        <w:pStyle w:val="Submissionlisthangingindent"/>
      </w:pPr>
      <w:r w:rsidRPr="003A3FF6">
        <w:rPr>
          <w:b/>
        </w:rPr>
        <w:t>PAD67</w:t>
      </w:r>
      <w:r w:rsidRPr="003A3FF6">
        <w:rPr>
          <w:b/>
        </w:rPr>
        <w:tab/>
      </w:r>
      <w:r w:rsidRPr="00863AD1">
        <w:t>Church of Scientology Australia, 3 October 2023</w:t>
      </w:r>
    </w:p>
    <w:p w14:paraId="2B066C4F" w14:textId="77777777" w:rsidR="006A22B0" w:rsidRPr="003A3FF6" w:rsidRDefault="006A22B0" w:rsidP="00C32267">
      <w:pPr>
        <w:pStyle w:val="Submissionlisthangingindent"/>
        <w:rPr>
          <w:b/>
        </w:rPr>
      </w:pPr>
      <w:r w:rsidRPr="003A3FF6">
        <w:rPr>
          <w:b/>
        </w:rPr>
        <w:t>PAD68</w:t>
      </w:r>
      <w:r w:rsidRPr="003A3FF6">
        <w:rPr>
          <w:b/>
        </w:rPr>
        <w:tab/>
      </w:r>
      <w:r w:rsidRPr="003A3FF6">
        <w:t>Vision Australia</w:t>
      </w:r>
      <w:r>
        <w:t>, 3 October 2023</w:t>
      </w:r>
      <w:r w:rsidRPr="003A3FF6">
        <w:rPr>
          <w:b/>
        </w:rPr>
        <w:t xml:space="preserve"> </w:t>
      </w:r>
    </w:p>
    <w:p w14:paraId="3075CB32" w14:textId="77777777" w:rsidR="006A22B0" w:rsidRPr="003A3FF6" w:rsidRDefault="006A22B0" w:rsidP="00C32267">
      <w:pPr>
        <w:pStyle w:val="Submissionlisthangingindent"/>
        <w:rPr>
          <w:b/>
        </w:rPr>
      </w:pPr>
      <w:r w:rsidRPr="003A3FF6">
        <w:rPr>
          <w:b/>
        </w:rPr>
        <w:t>PAD69</w:t>
      </w:r>
      <w:r w:rsidRPr="003A3FF6">
        <w:rPr>
          <w:b/>
        </w:rPr>
        <w:tab/>
      </w:r>
      <w:r w:rsidRPr="003A3FF6">
        <w:t xml:space="preserve">Australian Human Rights </w:t>
      </w:r>
      <w:r w:rsidRPr="0066441F">
        <w:t>Commission, 4</w:t>
      </w:r>
      <w:r>
        <w:rPr>
          <w:b/>
        </w:rPr>
        <w:t xml:space="preserve"> </w:t>
      </w:r>
      <w:r>
        <w:t>October 2023</w:t>
      </w:r>
    </w:p>
    <w:p w14:paraId="3201155B" w14:textId="77777777" w:rsidR="006A22B0" w:rsidRPr="003A3FF6" w:rsidRDefault="006A22B0" w:rsidP="00C32267">
      <w:pPr>
        <w:pStyle w:val="Submissionlisthangingindent"/>
        <w:rPr>
          <w:b/>
        </w:rPr>
      </w:pPr>
      <w:r w:rsidRPr="003A3FF6">
        <w:rPr>
          <w:b/>
        </w:rPr>
        <w:t xml:space="preserve">PAD70 </w:t>
      </w:r>
      <w:r w:rsidRPr="003A3FF6">
        <w:rPr>
          <w:b/>
        </w:rPr>
        <w:tab/>
      </w:r>
      <w:r w:rsidRPr="003A3FF6">
        <w:t>Full Stop Australia</w:t>
      </w:r>
      <w:r>
        <w:t>, 4 October 2023</w:t>
      </w:r>
    </w:p>
    <w:p w14:paraId="6E9D15E1" w14:textId="2A27EB00" w:rsidR="006A22B0" w:rsidRPr="003A3FF6" w:rsidRDefault="006A22B0" w:rsidP="00C32267">
      <w:pPr>
        <w:pStyle w:val="Submissionlisthangingindent"/>
        <w:rPr>
          <w:b/>
        </w:rPr>
      </w:pPr>
      <w:r w:rsidRPr="003A3FF6">
        <w:rPr>
          <w:b/>
        </w:rPr>
        <w:t>PAD71</w:t>
      </w:r>
      <w:r>
        <w:rPr>
          <w:b/>
        </w:rPr>
        <w:tab/>
      </w:r>
      <w:r w:rsidRPr="003A3FF6">
        <w:t>Carers NSW</w:t>
      </w:r>
      <w:r>
        <w:t>, 4 October 2023</w:t>
      </w:r>
    </w:p>
    <w:p w14:paraId="1B5D4011" w14:textId="77777777" w:rsidR="006A22B0" w:rsidRPr="003A3FF6" w:rsidRDefault="006A22B0" w:rsidP="00C32267">
      <w:pPr>
        <w:pStyle w:val="Submissionlisthangingindent"/>
      </w:pPr>
      <w:r w:rsidRPr="003A3FF6">
        <w:rPr>
          <w:b/>
        </w:rPr>
        <w:t>PAD72</w:t>
      </w:r>
      <w:r w:rsidRPr="003A3FF6">
        <w:rPr>
          <w:b/>
        </w:rPr>
        <w:tab/>
      </w:r>
      <w:r w:rsidRPr="003A3FF6">
        <w:t>Feminist Legal Clinic Inc</w:t>
      </w:r>
      <w:r>
        <w:t>, 5 October 2023</w:t>
      </w:r>
    </w:p>
    <w:p w14:paraId="636F923B" w14:textId="77777777" w:rsidR="006A22B0" w:rsidRPr="003A3FF6" w:rsidRDefault="006A22B0" w:rsidP="00C32267">
      <w:pPr>
        <w:pStyle w:val="Submissionlisthangingindent"/>
        <w:rPr>
          <w:b/>
        </w:rPr>
      </w:pPr>
      <w:r w:rsidRPr="003A3FF6">
        <w:rPr>
          <w:b/>
        </w:rPr>
        <w:t>PAD73</w:t>
      </w:r>
      <w:r w:rsidRPr="003A3FF6">
        <w:tab/>
        <w:t>Community Legal Centres NSW</w:t>
      </w:r>
      <w:r>
        <w:t>, 6 October 2023</w:t>
      </w:r>
    </w:p>
    <w:p w14:paraId="4A49DB44" w14:textId="77777777" w:rsidR="006A22B0" w:rsidRPr="003A3FF6" w:rsidRDefault="006A22B0" w:rsidP="00C32267">
      <w:pPr>
        <w:pStyle w:val="Submissionlisthangingindent"/>
        <w:rPr>
          <w:b/>
        </w:rPr>
      </w:pPr>
      <w:r w:rsidRPr="003A3FF6">
        <w:rPr>
          <w:b/>
        </w:rPr>
        <w:t>PAD74</w:t>
      </w:r>
      <w:r w:rsidRPr="003A3FF6">
        <w:tab/>
        <w:t>Scarlet Alliance, Australian Sex Workers Association</w:t>
      </w:r>
      <w:r>
        <w:t>, 6</w:t>
      </w:r>
      <w:r w:rsidRPr="0066441F">
        <w:t xml:space="preserve"> </w:t>
      </w:r>
      <w:r>
        <w:t>October 2023</w:t>
      </w:r>
    </w:p>
    <w:p w14:paraId="0E6DA6E2" w14:textId="77777777" w:rsidR="006A22B0" w:rsidRPr="003A3FF6" w:rsidRDefault="006A22B0" w:rsidP="00C32267">
      <w:pPr>
        <w:pStyle w:val="Submissionlisthangingindent"/>
        <w:rPr>
          <w:b/>
        </w:rPr>
      </w:pPr>
      <w:r w:rsidRPr="003A3FF6">
        <w:rPr>
          <w:b/>
        </w:rPr>
        <w:t xml:space="preserve">PAD75 </w:t>
      </w:r>
      <w:r w:rsidRPr="003A3FF6">
        <w:rPr>
          <w:b/>
        </w:rPr>
        <w:tab/>
      </w:r>
      <w:r w:rsidRPr="003A3FF6">
        <w:t>Family Advocacy</w:t>
      </w:r>
      <w:r>
        <w:t>, 6 October 2023</w:t>
      </w:r>
    </w:p>
    <w:p w14:paraId="1FA7E426" w14:textId="77777777" w:rsidR="006A22B0" w:rsidRPr="003A3FF6" w:rsidRDefault="006A22B0" w:rsidP="00C32267">
      <w:pPr>
        <w:pStyle w:val="Submissionlisthangingindent"/>
      </w:pPr>
      <w:r w:rsidRPr="003A3FF6">
        <w:rPr>
          <w:b/>
        </w:rPr>
        <w:t xml:space="preserve">PAD76 </w:t>
      </w:r>
      <w:r w:rsidRPr="003A3FF6">
        <w:rPr>
          <w:b/>
        </w:rPr>
        <w:tab/>
      </w:r>
      <w:r w:rsidRPr="003A3FF6">
        <w:t>Australian Retailers Association</w:t>
      </w:r>
      <w:r>
        <w:t>, 9</w:t>
      </w:r>
      <w:r w:rsidRPr="0066441F">
        <w:t xml:space="preserve"> </w:t>
      </w:r>
      <w:r>
        <w:t>October 2023</w:t>
      </w:r>
    </w:p>
    <w:p w14:paraId="06E85A8D" w14:textId="77777777" w:rsidR="006A22B0" w:rsidRPr="003A3FF6" w:rsidRDefault="006A22B0" w:rsidP="00C32267">
      <w:pPr>
        <w:pStyle w:val="Submissionlisthangingindent"/>
        <w:rPr>
          <w:b/>
        </w:rPr>
      </w:pPr>
      <w:r w:rsidRPr="003A3FF6">
        <w:rPr>
          <w:b/>
        </w:rPr>
        <w:t xml:space="preserve">PAD77 </w:t>
      </w:r>
      <w:r w:rsidRPr="003A3FF6">
        <w:rPr>
          <w:b/>
        </w:rPr>
        <w:tab/>
      </w:r>
      <w:r w:rsidRPr="003A3FF6">
        <w:t>Sex Workers Outreach Project NSW</w:t>
      </w:r>
      <w:r>
        <w:t>, 9 October 2023</w:t>
      </w:r>
    </w:p>
    <w:p w14:paraId="1AE69769" w14:textId="77777777" w:rsidR="006A22B0" w:rsidRPr="003A3FF6" w:rsidRDefault="006A22B0" w:rsidP="00C32267">
      <w:pPr>
        <w:pStyle w:val="Submissionlisthangingindent"/>
      </w:pPr>
      <w:r w:rsidRPr="003A3FF6">
        <w:rPr>
          <w:b/>
        </w:rPr>
        <w:t xml:space="preserve">PAD78 </w:t>
      </w:r>
      <w:r w:rsidRPr="003A3FF6">
        <w:rPr>
          <w:b/>
        </w:rPr>
        <w:tab/>
      </w:r>
      <w:r>
        <w:t>Office of the</w:t>
      </w:r>
      <w:r w:rsidRPr="003A3FF6">
        <w:t xml:space="preserve"> Advocate for Children and Young People</w:t>
      </w:r>
      <w:r>
        <w:t>, 9 October 2023</w:t>
      </w:r>
    </w:p>
    <w:p w14:paraId="1B4B55DD" w14:textId="77777777" w:rsidR="006A22B0" w:rsidRPr="003A3FF6" w:rsidRDefault="006A22B0" w:rsidP="00C32267">
      <w:pPr>
        <w:pStyle w:val="Submissionlisthangingindent"/>
        <w:rPr>
          <w:b/>
        </w:rPr>
      </w:pPr>
      <w:r w:rsidRPr="003A3FF6">
        <w:rPr>
          <w:b/>
        </w:rPr>
        <w:t xml:space="preserve">PAD79 </w:t>
      </w:r>
      <w:r w:rsidRPr="003A3FF6">
        <w:rPr>
          <w:b/>
        </w:rPr>
        <w:tab/>
      </w:r>
      <w:r w:rsidRPr="003A3FF6">
        <w:t>Equal Pay for Equal Play</w:t>
      </w:r>
      <w:r>
        <w:t xml:space="preserve"> NSW, 11</w:t>
      </w:r>
      <w:r w:rsidRPr="00B8447E">
        <w:t xml:space="preserve"> </w:t>
      </w:r>
      <w:r>
        <w:t>October 2023</w:t>
      </w:r>
    </w:p>
    <w:p w14:paraId="3429B409" w14:textId="77777777" w:rsidR="006A22B0" w:rsidRPr="003A3FF6" w:rsidRDefault="006A22B0" w:rsidP="00C32267">
      <w:pPr>
        <w:pStyle w:val="Submissionlisthangingindent"/>
      </w:pPr>
      <w:r w:rsidRPr="003A3FF6">
        <w:rPr>
          <w:b/>
        </w:rPr>
        <w:t xml:space="preserve">PAD80 </w:t>
      </w:r>
      <w:r w:rsidRPr="003A3FF6">
        <w:rPr>
          <w:b/>
        </w:rPr>
        <w:tab/>
      </w:r>
      <w:r w:rsidRPr="003A3FF6">
        <w:t>Catholic Schools NSW</w:t>
      </w:r>
      <w:r>
        <w:t>, 12</w:t>
      </w:r>
      <w:r w:rsidRPr="00B8447E">
        <w:t xml:space="preserve"> </w:t>
      </w:r>
      <w:r>
        <w:t>October 2023</w:t>
      </w:r>
    </w:p>
    <w:p w14:paraId="3EEC9250" w14:textId="77777777" w:rsidR="006A22B0" w:rsidRPr="003A3FF6" w:rsidRDefault="006A22B0" w:rsidP="00C32267">
      <w:pPr>
        <w:pStyle w:val="Submissionlisthangingindent"/>
        <w:rPr>
          <w:b/>
        </w:rPr>
      </w:pPr>
      <w:r w:rsidRPr="003A3FF6">
        <w:rPr>
          <w:b/>
        </w:rPr>
        <w:t xml:space="preserve">PAD81 </w:t>
      </w:r>
      <w:r w:rsidRPr="003A3FF6">
        <w:rPr>
          <w:b/>
        </w:rPr>
        <w:tab/>
      </w:r>
      <w:r w:rsidRPr="003A3FF6">
        <w:t>Sydney University Postgraduate Representative Association</w:t>
      </w:r>
      <w:r>
        <w:t>, 13 October 2023</w:t>
      </w:r>
    </w:p>
    <w:p w14:paraId="14B5E720" w14:textId="77777777" w:rsidR="006A22B0" w:rsidRPr="003A3FF6" w:rsidRDefault="006A22B0" w:rsidP="00C32267">
      <w:pPr>
        <w:pStyle w:val="Submissionlisthangingindent"/>
        <w:rPr>
          <w:b/>
        </w:rPr>
      </w:pPr>
      <w:r w:rsidRPr="003A3FF6">
        <w:rPr>
          <w:b/>
        </w:rPr>
        <w:t xml:space="preserve">PAD82 </w:t>
      </w:r>
      <w:r w:rsidRPr="003A3FF6">
        <w:rPr>
          <w:b/>
        </w:rPr>
        <w:tab/>
      </w:r>
      <w:r w:rsidRPr="003A3FF6">
        <w:t>Public Interest Advocacy Centre</w:t>
      </w:r>
      <w:r>
        <w:t>,</w:t>
      </w:r>
      <w:r w:rsidRPr="00B8447E">
        <w:t xml:space="preserve"> </w:t>
      </w:r>
      <w:r>
        <w:t>13</w:t>
      </w:r>
      <w:r w:rsidRPr="00B8447E">
        <w:t xml:space="preserve"> </w:t>
      </w:r>
      <w:r>
        <w:t>October 2023</w:t>
      </w:r>
    </w:p>
    <w:p w14:paraId="217064DC" w14:textId="77777777" w:rsidR="006A22B0" w:rsidRPr="003A3FF6" w:rsidRDefault="006A22B0" w:rsidP="00C32267">
      <w:pPr>
        <w:pStyle w:val="Submissionlisthangingindent"/>
        <w:rPr>
          <w:b/>
        </w:rPr>
      </w:pPr>
      <w:r w:rsidRPr="003A3FF6">
        <w:rPr>
          <w:b/>
        </w:rPr>
        <w:t xml:space="preserve">PAD83 </w:t>
      </w:r>
      <w:r w:rsidRPr="003A3FF6">
        <w:rPr>
          <w:b/>
        </w:rPr>
        <w:tab/>
      </w:r>
      <w:r w:rsidRPr="003A3FF6">
        <w:t>Anti-Discrimination NSW</w:t>
      </w:r>
      <w:r>
        <w:t>, 13</w:t>
      </w:r>
      <w:r w:rsidRPr="00B8447E">
        <w:t xml:space="preserve"> </w:t>
      </w:r>
      <w:r>
        <w:t>October 2023</w:t>
      </w:r>
    </w:p>
    <w:p w14:paraId="6FDA022B" w14:textId="77777777" w:rsidR="006A22B0" w:rsidRPr="003A3FF6" w:rsidRDefault="006A22B0" w:rsidP="00C32267">
      <w:pPr>
        <w:pStyle w:val="Submissionlisthangingindent"/>
        <w:rPr>
          <w:b/>
        </w:rPr>
      </w:pPr>
      <w:r w:rsidRPr="003A3FF6">
        <w:rPr>
          <w:b/>
        </w:rPr>
        <w:t xml:space="preserve">PAD84 </w:t>
      </w:r>
      <w:r w:rsidRPr="003A3FF6">
        <w:rPr>
          <w:b/>
        </w:rPr>
        <w:tab/>
      </w:r>
      <w:r w:rsidRPr="003A3FF6">
        <w:t>Australian Discrimination Law Experts Group</w:t>
      </w:r>
      <w:r>
        <w:t>, 13</w:t>
      </w:r>
      <w:r w:rsidRPr="00B8447E">
        <w:t xml:space="preserve"> </w:t>
      </w:r>
      <w:r>
        <w:t>October 2023</w:t>
      </w:r>
    </w:p>
    <w:p w14:paraId="199218F2" w14:textId="77777777" w:rsidR="006A22B0" w:rsidRPr="003A3FF6" w:rsidRDefault="006A22B0" w:rsidP="00C32267">
      <w:pPr>
        <w:pStyle w:val="Submissionlisthangingindent"/>
        <w:rPr>
          <w:b/>
        </w:rPr>
      </w:pPr>
      <w:r w:rsidRPr="003A3FF6">
        <w:rPr>
          <w:b/>
        </w:rPr>
        <w:t xml:space="preserve">PAD85 </w:t>
      </w:r>
      <w:r w:rsidRPr="003A3FF6">
        <w:rPr>
          <w:b/>
        </w:rPr>
        <w:tab/>
      </w:r>
      <w:r w:rsidRPr="003A3FF6">
        <w:t>NSW Greens</w:t>
      </w:r>
      <w:r>
        <w:t>, 16 October 2023</w:t>
      </w:r>
    </w:p>
    <w:p w14:paraId="14D3AFFE" w14:textId="77777777" w:rsidR="006A22B0" w:rsidRPr="003A3FF6" w:rsidRDefault="006A22B0" w:rsidP="00C32267">
      <w:pPr>
        <w:pStyle w:val="Submissionlisthangingindent"/>
      </w:pPr>
      <w:r w:rsidRPr="003A3FF6">
        <w:rPr>
          <w:b/>
        </w:rPr>
        <w:lastRenderedPageBreak/>
        <w:t xml:space="preserve">PAD86 </w:t>
      </w:r>
      <w:r w:rsidRPr="003A3FF6">
        <w:rPr>
          <w:b/>
        </w:rPr>
        <w:tab/>
      </w:r>
      <w:r w:rsidRPr="003A3FF6">
        <w:t>N</w:t>
      </w:r>
      <w:r>
        <w:t xml:space="preserve">ew </w:t>
      </w:r>
      <w:r w:rsidRPr="003A3FF6">
        <w:t>S</w:t>
      </w:r>
      <w:r>
        <w:t xml:space="preserve">outh </w:t>
      </w:r>
      <w:r w:rsidRPr="003A3FF6">
        <w:t>W</w:t>
      </w:r>
      <w:r>
        <w:t>ales</w:t>
      </w:r>
      <w:r w:rsidRPr="003A3FF6">
        <w:t xml:space="preserve"> Bar Association</w:t>
      </w:r>
      <w:r>
        <w:t>, 18</w:t>
      </w:r>
      <w:r w:rsidRPr="00B8447E">
        <w:t xml:space="preserve"> </w:t>
      </w:r>
      <w:r>
        <w:t>October 2023</w:t>
      </w:r>
    </w:p>
    <w:p w14:paraId="18135FF8" w14:textId="77777777" w:rsidR="006A22B0" w:rsidRPr="003A3FF6" w:rsidRDefault="006A22B0" w:rsidP="00C32267">
      <w:pPr>
        <w:pStyle w:val="Submissionlisthangingindent"/>
        <w:rPr>
          <w:b/>
        </w:rPr>
      </w:pPr>
      <w:r w:rsidRPr="003A3FF6">
        <w:rPr>
          <w:b/>
        </w:rPr>
        <w:t xml:space="preserve">PAD87 </w:t>
      </w:r>
      <w:r w:rsidRPr="003A3FF6">
        <w:rPr>
          <w:b/>
        </w:rPr>
        <w:tab/>
      </w:r>
      <w:r w:rsidRPr="003A3FF6">
        <w:t>Legal Aid NSW</w:t>
      </w:r>
      <w:r>
        <w:t>, 20 October 2023</w:t>
      </w:r>
    </w:p>
    <w:p w14:paraId="3A556584" w14:textId="42632763" w:rsidR="006A22B0" w:rsidRPr="00FE3EAC" w:rsidRDefault="006A22B0" w:rsidP="00C32267">
      <w:pPr>
        <w:pStyle w:val="Submissionlisthangingindent"/>
        <w:rPr>
          <w:b/>
        </w:rPr>
      </w:pPr>
      <w:r w:rsidRPr="003A3FF6">
        <w:rPr>
          <w:b/>
        </w:rPr>
        <w:t xml:space="preserve">PAD88 </w:t>
      </w:r>
      <w:r w:rsidRPr="003A3FF6">
        <w:rPr>
          <w:b/>
        </w:rPr>
        <w:tab/>
      </w:r>
      <w:r w:rsidRPr="003A3FF6">
        <w:t>Catholic Women’s League Australia, New South Wales Inc</w:t>
      </w:r>
      <w:r>
        <w:t>, 20</w:t>
      </w:r>
      <w:r w:rsidR="002D5781">
        <w:t> </w:t>
      </w:r>
      <w:r>
        <w:t>October</w:t>
      </w:r>
      <w:r w:rsidR="002D5781">
        <w:t> </w:t>
      </w:r>
      <w:r>
        <w:t>2023</w:t>
      </w:r>
    </w:p>
    <w:p w14:paraId="79244A2C" w14:textId="77777777" w:rsidR="006A22B0" w:rsidRPr="003A3FF6" w:rsidRDefault="006A22B0" w:rsidP="00C32267">
      <w:pPr>
        <w:pStyle w:val="Submissionlisthangingindent"/>
        <w:rPr>
          <w:b/>
        </w:rPr>
      </w:pPr>
      <w:r w:rsidRPr="003A3FF6">
        <w:rPr>
          <w:b/>
        </w:rPr>
        <w:t xml:space="preserve">PAD89 </w:t>
      </w:r>
      <w:r w:rsidRPr="003A3FF6">
        <w:rPr>
          <w:b/>
        </w:rPr>
        <w:tab/>
      </w:r>
      <w:r w:rsidRPr="003A3FF6">
        <w:t>Anonymous</w:t>
      </w:r>
      <w:r>
        <w:t>, 23 October 2023</w:t>
      </w:r>
    </w:p>
    <w:p w14:paraId="003E764B" w14:textId="77777777" w:rsidR="006A22B0" w:rsidRPr="003A3FF6" w:rsidRDefault="006A22B0" w:rsidP="00C32267">
      <w:pPr>
        <w:pStyle w:val="Submissionlisthangingindent"/>
      </w:pPr>
      <w:r w:rsidRPr="003A3FF6">
        <w:rPr>
          <w:b/>
        </w:rPr>
        <w:t xml:space="preserve">PAD90 </w:t>
      </w:r>
      <w:r w:rsidRPr="003A3FF6">
        <w:rPr>
          <w:b/>
        </w:rPr>
        <w:tab/>
      </w:r>
      <w:r w:rsidRPr="003A3FF6">
        <w:t>Unions NSW</w:t>
      </w:r>
      <w:r>
        <w:t>, 25</w:t>
      </w:r>
      <w:r w:rsidRPr="003D23C8">
        <w:t xml:space="preserve"> </w:t>
      </w:r>
      <w:r>
        <w:t>October 2023</w:t>
      </w:r>
    </w:p>
    <w:p w14:paraId="774CDBE8" w14:textId="77777777" w:rsidR="006A22B0" w:rsidRPr="003A3FF6" w:rsidRDefault="006A22B0" w:rsidP="00C32267">
      <w:pPr>
        <w:pStyle w:val="Submissionlisthangingindent"/>
        <w:rPr>
          <w:b/>
        </w:rPr>
      </w:pPr>
      <w:r w:rsidRPr="003A3FF6">
        <w:rPr>
          <w:b/>
        </w:rPr>
        <w:t xml:space="preserve">PAD91 </w:t>
      </w:r>
      <w:r w:rsidRPr="003A3FF6">
        <w:rPr>
          <w:b/>
        </w:rPr>
        <w:tab/>
      </w:r>
      <w:r w:rsidRPr="003A3FF6">
        <w:t>Transport for NSW</w:t>
      </w:r>
      <w:r>
        <w:t>, 31 October 2023</w:t>
      </w:r>
    </w:p>
    <w:p w14:paraId="5A9D4A1E" w14:textId="77777777" w:rsidR="006A22B0" w:rsidRPr="003A3FF6" w:rsidRDefault="006A22B0" w:rsidP="00C32267">
      <w:pPr>
        <w:pStyle w:val="Submissionlisthangingindent"/>
      </w:pPr>
      <w:r w:rsidRPr="003A3FF6">
        <w:rPr>
          <w:b/>
        </w:rPr>
        <w:t xml:space="preserve">PAD92 </w:t>
      </w:r>
      <w:r w:rsidRPr="003A3FF6">
        <w:rPr>
          <w:b/>
        </w:rPr>
        <w:tab/>
      </w:r>
      <w:r w:rsidRPr="003A3FF6">
        <w:t>J Grass</w:t>
      </w:r>
      <w:r>
        <w:t>, 28 November 2023</w:t>
      </w:r>
    </w:p>
    <w:p w14:paraId="5F314C45" w14:textId="77777777" w:rsidR="006A22B0" w:rsidRPr="003A3FF6" w:rsidRDefault="006A22B0" w:rsidP="00C32267">
      <w:pPr>
        <w:pStyle w:val="Submissionlisthangingindent"/>
        <w:rPr>
          <w:b/>
        </w:rPr>
      </w:pPr>
      <w:r w:rsidRPr="003A3FF6">
        <w:rPr>
          <w:b/>
        </w:rPr>
        <w:t xml:space="preserve">PAD93 </w:t>
      </w:r>
      <w:r w:rsidRPr="003A3FF6">
        <w:rPr>
          <w:b/>
        </w:rPr>
        <w:tab/>
      </w:r>
      <w:r w:rsidRPr="003A3FF6">
        <w:t>The Sussan Group</w:t>
      </w:r>
      <w:r>
        <w:t>, 20 March 2024</w:t>
      </w:r>
    </w:p>
    <w:p w14:paraId="0147D813" w14:textId="77777777" w:rsidR="006A22B0" w:rsidRPr="003A3FF6" w:rsidRDefault="006A22B0" w:rsidP="00C32267">
      <w:pPr>
        <w:pStyle w:val="Submissionlisthangingindent"/>
        <w:rPr>
          <w:b/>
        </w:rPr>
      </w:pPr>
      <w:r w:rsidRPr="003A3FF6">
        <w:rPr>
          <w:b/>
        </w:rPr>
        <w:t xml:space="preserve">PAD94 </w:t>
      </w:r>
      <w:r w:rsidRPr="003A3FF6">
        <w:rPr>
          <w:b/>
        </w:rPr>
        <w:tab/>
      </w:r>
      <w:r w:rsidRPr="003A3FF6">
        <w:t>Michael Page</w:t>
      </w:r>
      <w:r>
        <w:t xml:space="preserve"> International, 16 April 2024</w:t>
      </w:r>
    </w:p>
    <w:p w14:paraId="3C38FEAF" w14:textId="77777777" w:rsidR="006A22B0" w:rsidRPr="003A3FF6" w:rsidRDefault="006A22B0" w:rsidP="00C32267">
      <w:pPr>
        <w:pStyle w:val="Submissionlisthangingindent"/>
        <w:rPr>
          <w:b/>
        </w:rPr>
      </w:pPr>
      <w:r w:rsidRPr="003A3FF6">
        <w:rPr>
          <w:b/>
        </w:rPr>
        <w:t>PAD95</w:t>
      </w:r>
      <w:r w:rsidRPr="003A3FF6">
        <w:t xml:space="preserve"> </w:t>
      </w:r>
      <w:r w:rsidRPr="003A3FF6">
        <w:tab/>
        <w:t xml:space="preserve">Aber </w:t>
      </w:r>
      <w:proofErr w:type="spellStart"/>
      <w:r w:rsidRPr="003A3FF6">
        <w:t>Karhani</w:t>
      </w:r>
      <w:proofErr w:type="spellEnd"/>
      <w:r>
        <w:t>, 2 November 2024</w:t>
      </w:r>
    </w:p>
    <w:p w14:paraId="718F58BD" w14:textId="77777777" w:rsidR="006A22B0" w:rsidRPr="003A3FF6" w:rsidRDefault="006A22B0" w:rsidP="00C32267">
      <w:pPr>
        <w:pStyle w:val="Submissionlisthangingindent"/>
      </w:pPr>
      <w:r w:rsidRPr="003A3FF6">
        <w:rPr>
          <w:b/>
        </w:rPr>
        <w:t xml:space="preserve">PAD96 </w:t>
      </w:r>
      <w:r w:rsidRPr="003A3FF6">
        <w:rPr>
          <w:b/>
        </w:rPr>
        <w:tab/>
      </w:r>
      <w:r w:rsidRPr="003A3FF6">
        <w:t>Philip Sacks</w:t>
      </w:r>
      <w:r>
        <w:t>, 28 November 2024</w:t>
      </w:r>
    </w:p>
    <w:p w14:paraId="0F206F26" w14:textId="77777777" w:rsidR="002D5781" w:rsidRDefault="002D5781" w:rsidP="00F41119">
      <w:pPr>
        <w:sectPr w:rsidR="002D5781" w:rsidSect="00744F61">
          <w:headerReference w:type="even" r:id="rId39"/>
          <w:footnotePr>
            <w:numRestart w:val="eachSect"/>
          </w:footnotePr>
          <w:type w:val="oddPage"/>
          <w:pgSz w:w="11906" w:h="16838" w:code="9"/>
          <w:pgMar w:top="1701" w:right="1304" w:bottom="1021" w:left="1304" w:header="567" w:footer="567" w:gutter="0"/>
          <w:cols w:space="708"/>
          <w:docGrid w:linePitch="360"/>
        </w:sectPr>
      </w:pPr>
    </w:p>
    <w:p w14:paraId="6408C0EE" w14:textId="6FF81C6D" w:rsidR="00C32267" w:rsidRDefault="00C32267" w:rsidP="00C32267">
      <w:pPr>
        <w:pStyle w:val="AppendixHeading"/>
        <w:rPr>
          <w:noProof/>
        </w:rPr>
      </w:pPr>
      <w:bookmarkStart w:id="511" w:name="_Toc153176926"/>
      <w:bookmarkStart w:id="512" w:name="_Toc196826977"/>
      <w:r>
        <w:rPr>
          <w:noProof/>
        </w:rPr>
        <w:lastRenderedPageBreak/>
        <w:t xml:space="preserve">Appendix </w:t>
      </w:r>
      <w:r w:rsidRPr="00545CE1">
        <w:rPr>
          <w:noProof/>
        </w:rPr>
        <w:t>B:</w:t>
      </w:r>
      <w:r>
        <w:rPr>
          <w:noProof/>
        </w:rPr>
        <w:br/>
        <w:t xml:space="preserve">Preliminary </w:t>
      </w:r>
      <w:r w:rsidR="005D6C72">
        <w:rPr>
          <w:noProof/>
        </w:rPr>
        <w:t>c</w:t>
      </w:r>
      <w:r>
        <w:rPr>
          <w:noProof/>
        </w:rPr>
        <w:t>onsultations</w:t>
      </w:r>
      <w:bookmarkEnd w:id="511"/>
      <w:bookmarkEnd w:id="512"/>
    </w:p>
    <w:p w14:paraId="3EDE65F1" w14:textId="77777777" w:rsidR="00C32267" w:rsidRPr="006008C9" w:rsidRDefault="00C32267" w:rsidP="00C32267">
      <w:pPr>
        <w:pStyle w:val="Heading2"/>
        <w:rPr>
          <w:noProof/>
        </w:rPr>
      </w:pPr>
      <w:bookmarkStart w:id="513" w:name="_Toc152084757"/>
      <w:bookmarkStart w:id="514" w:name="_Toc153176927"/>
      <w:bookmarkStart w:id="515" w:name="_Toc196826978"/>
      <w:r w:rsidRPr="006008C9">
        <w:rPr>
          <w:noProof/>
        </w:rPr>
        <w:t>Australian Discrimination Law Experts Group (PCAD01)</w:t>
      </w:r>
      <w:bookmarkEnd w:id="513"/>
      <w:bookmarkEnd w:id="514"/>
      <w:bookmarkEnd w:id="515"/>
    </w:p>
    <w:p w14:paraId="74F9B593" w14:textId="77777777" w:rsidR="00C32267" w:rsidRPr="006008C9" w:rsidRDefault="00C32267" w:rsidP="00C32267">
      <w:pPr>
        <w:pStyle w:val="NormalText"/>
        <w:rPr>
          <w:b/>
          <w:bCs/>
        </w:rPr>
      </w:pPr>
      <w:r w:rsidRPr="006008C9">
        <w:rPr>
          <w:b/>
          <w:bCs/>
        </w:rPr>
        <w:t>29 August 2023</w:t>
      </w:r>
    </w:p>
    <w:p w14:paraId="2AB7BF3E" w14:textId="77777777" w:rsidR="00C32267" w:rsidRPr="006008C9" w:rsidRDefault="00C32267" w:rsidP="00C32267">
      <w:pPr>
        <w:pStyle w:val="Submissionlisthangingindent"/>
      </w:pPr>
      <w:r w:rsidRPr="006008C9">
        <w:t xml:space="preserve">Dr Alice Taylor </w:t>
      </w:r>
    </w:p>
    <w:p w14:paraId="6630644B" w14:textId="77777777" w:rsidR="00C32267" w:rsidRPr="006008C9" w:rsidRDefault="00C32267" w:rsidP="00C32267">
      <w:pPr>
        <w:pStyle w:val="Submissionlisthangingindent"/>
      </w:pPr>
      <w:r w:rsidRPr="006008C9">
        <w:t xml:space="preserve">Associate Professor Anne Hewitt </w:t>
      </w:r>
    </w:p>
    <w:p w14:paraId="698488FB" w14:textId="77777777" w:rsidR="00C32267" w:rsidRPr="006008C9" w:rsidRDefault="00C32267" w:rsidP="00C32267">
      <w:pPr>
        <w:pStyle w:val="Submissionlisthangingindent"/>
      </w:pPr>
      <w:r w:rsidRPr="006008C9">
        <w:t>Professor Beth Goldblatt</w:t>
      </w:r>
    </w:p>
    <w:p w14:paraId="1C87E911" w14:textId="77777777" w:rsidR="00C32267" w:rsidRPr="006008C9" w:rsidRDefault="00C32267" w:rsidP="00C32267">
      <w:pPr>
        <w:pStyle w:val="Submissionlisthangingindent"/>
      </w:pPr>
      <w:r w:rsidRPr="006008C9">
        <w:t xml:space="preserve">Liam Elphick </w:t>
      </w:r>
    </w:p>
    <w:p w14:paraId="2504E986" w14:textId="77777777" w:rsidR="00C32267" w:rsidRPr="006008C9" w:rsidRDefault="00C32267" w:rsidP="00C32267">
      <w:pPr>
        <w:pStyle w:val="Submissionlisthangingindent"/>
      </w:pPr>
      <w:r w:rsidRPr="006008C9">
        <w:t>Peta Spyrou</w:t>
      </w:r>
    </w:p>
    <w:p w14:paraId="487F83EF" w14:textId="77777777" w:rsidR="00C32267" w:rsidRPr="006008C9" w:rsidRDefault="00C32267" w:rsidP="00C32267">
      <w:pPr>
        <w:pStyle w:val="Submissionlisthangingindent"/>
      </w:pPr>
      <w:r w:rsidRPr="006008C9">
        <w:t>Dr Robin Banks</w:t>
      </w:r>
    </w:p>
    <w:p w14:paraId="5EF541E3" w14:textId="77777777" w:rsidR="00C32267" w:rsidRPr="006008C9" w:rsidRDefault="00C32267" w:rsidP="00C32267">
      <w:pPr>
        <w:pStyle w:val="Submissionlisthangingindent"/>
      </w:pPr>
      <w:r w:rsidRPr="006008C9">
        <w:t xml:space="preserve">Professor Simon Rice OAM </w:t>
      </w:r>
    </w:p>
    <w:p w14:paraId="01ED880C" w14:textId="77777777" w:rsidR="00C32267" w:rsidRPr="006008C9" w:rsidRDefault="00C32267" w:rsidP="00C32267">
      <w:pPr>
        <w:pStyle w:val="Submissionlisthangingindent"/>
        <w:rPr>
          <w:highlight w:val="yellow"/>
        </w:rPr>
      </w:pPr>
      <w:r w:rsidRPr="006008C9">
        <w:t>Professor Margaret Thornton</w:t>
      </w:r>
    </w:p>
    <w:p w14:paraId="1088DB07" w14:textId="77777777" w:rsidR="00C32267" w:rsidRPr="006008C9" w:rsidRDefault="00C32267" w:rsidP="00C32267">
      <w:pPr>
        <w:pStyle w:val="Heading2"/>
        <w:rPr>
          <w:noProof/>
        </w:rPr>
      </w:pPr>
      <w:bookmarkStart w:id="516" w:name="_Toc196826979"/>
      <w:bookmarkStart w:id="517" w:name="_Toc152084758"/>
      <w:bookmarkStart w:id="518" w:name="_Toc153176928"/>
      <w:r w:rsidRPr="006008C9">
        <w:rPr>
          <w:noProof/>
        </w:rPr>
        <w:t>Anti-Discrimination New South Wales (PCAD02)</w:t>
      </w:r>
      <w:bookmarkEnd w:id="516"/>
    </w:p>
    <w:p w14:paraId="6D474487" w14:textId="77777777" w:rsidR="00C32267" w:rsidRPr="006008C9" w:rsidRDefault="00C32267" w:rsidP="00C32267">
      <w:pPr>
        <w:pStyle w:val="NormalText"/>
        <w:rPr>
          <w:b/>
          <w:bCs/>
          <w:noProof/>
        </w:rPr>
      </w:pPr>
      <w:r w:rsidRPr="006008C9">
        <w:rPr>
          <w:b/>
          <w:bCs/>
          <w:noProof/>
        </w:rPr>
        <w:t>20 November 2023</w:t>
      </w:r>
    </w:p>
    <w:p w14:paraId="621CED98" w14:textId="77777777" w:rsidR="00C32267" w:rsidRPr="006008C9" w:rsidRDefault="00C32267" w:rsidP="00C32267">
      <w:pPr>
        <w:pStyle w:val="Submissionlisthangingindent"/>
      </w:pPr>
      <w:r w:rsidRPr="006008C9">
        <w:t xml:space="preserve">Helen McKenzie (President) </w:t>
      </w:r>
    </w:p>
    <w:p w14:paraId="0AD3D87B" w14:textId="77777777" w:rsidR="00C32267" w:rsidRPr="006008C9" w:rsidRDefault="00C32267" w:rsidP="00C32267">
      <w:pPr>
        <w:pStyle w:val="Heading2"/>
        <w:rPr>
          <w:noProof/>
        </w:rPr>
      </w:pPr>
      <w:bookmarkStart w:id="519" w:name="_Toc196826980"/>
      <w:r w:rsidRPr="006008C9">
        <w:rPr>
          <w:noProof/>
        </w:rPr>
        <w:t>Anti-Discrimination New South Wales staff workshop (PCAD03)</w:t>
      </w:r>
      <w:bookmarkEnd w:id="519"/>
    </w:p>
    <w:p w14:paraId="7C24AE9D" w14:textId="77777777" w:rsidR="00C32267" w:rsidRPr="006008C9" w:rsidRDefault="00C32267" w:rsidP="00C32267">
      <w:pPr>
        <w:pStyle w:val="NormalText"/>
        <w:rPr>
          <w:b/>
          <w:bCs/>
        </w:rPr>
      </w:pPr>
      <w:r w:rsidRPr="006008C9">
        <w:rPr>
          <w:b/>
          <w:bCs/>
        </w:rPr>
        <w:t>5 December 2023</w:t>
      </w:r>
    </w:p>
    <w:p w14:paraId="264BA543" w14:textId="77777777" w:rsidR="00C32267" w:rsidRPr="006008C9" w:rsidRDefault="00C32267" w:rsidP="00C32267">
      <w:pPr>
        <w:pStyle w:val="Heading2"/>
        <w:rPr>
          <w:noProof/>
        </w:rPr>
      </w:pPr>
      <w:bookmarkStart w:id="520" w:name="_Toc196826981"/>
      <w:r w:rsidRPr="006008C9">
        <w:rPr>
          <w:noProof/>
        </w:rPr>
        <w:t>NSW Civil and Administrative Tribunal (PCAD04)</w:t>
      </w:r>
      <w:bookmarkEnd w:id="520"/>
    </w:p>
    <w:p w14:paraId="3F0FC84B" w14:textId="77777777" w:rsidR="00C32267" w:rsidRPr="006008C9" w:rsidRDefault="00C32267" w:rsidP="00C32267">
      <w:pPr>
        <w:pStyle w:val="NormalText"/>
        <w:rPr>
          <w:b/>
          <w:bCs/>
          <w:noProof/>
        </w:rPr>
      </w:pPr>
      <w:r w:rsidRPr="006008C9">
        <w:rPr>
          <w:b/>
          <w:bCs/>
          <w:noProof/>
        </w:rPr>
        <w:t>20 December 2023</w:t>
      </w:r>
    </w:p>
    <w:p w14:paraId="5B83ADA0" w14:textId="77777777" w:rsidR="00C32267" w:rsidRPr="006008C9" w:rsidRDefault="00C32267" w:rsidP="00C32267">
      <w:pPr>
        <w:pStyle w:val="Submissionlisthangingindent"/>
      </w:pPr>
      <w:r w:rsidRPr="006008C9">
        <w:t>Justice Lea Armstrong, President</w:t>
      </w:r>
    </w:p>
    <w:p w14:paraId="65A8BECC" w14:textId="77777777" w:rsidR="00C32267" w:rsidRPr="006008C9" w:rsidRDefault="00C32267" w:rsidP="00C32267">
      <w:pPr>
        <w:pStyle w:val="Submissionlisthangingindent"/>
      </w:pPr>
      <w:r w:rsidRPr="006008C9">
        <w:t>Judge Susanne Cole (Deputy President and Division Head of Administrative and Equal Opportunity Division and Occupational Division)</w:t>
      </w:r>
    </w:p>
    <w:p w14:paraId="15AC72A0" w14:textId="77777777" w:rsidR="00C32267" w:rsidRDefault="00C32267" w:rsidP="00C32267">
      <w:pPr>
        <w:pStyle w:val="Submissionlisthangingindent"/>
      </w:pPr>
      <w:r w:rsidRPr="006008C9">
        <w:t>Theresa Simon (Principal Member)</w:t>
      </w:r>
    </w:p>
    <w:p w14:paraId="13B627CA" w14:textId="77777777" w:rsidR="00C32267" w:rsidRPr="006008C9" w:rsidRDefault="00C32267" w:rsidP="00C32267">
      <w:pPr>
        <w:pStyle w:val="Heading2"/>
        <w:rPr>
          <w:noProof/>
        </w:rPr>
      </w:pPr>
      <w:bookmarkStart w:id="521" w:name="_Toc196826982"/>
      <w:r w:rsidRPr="006008C9">
        <w:rPr>
          <w:noProof/>
        </w:rPr>
        <w:t>NSW Civil and Administrative Tribunal (PCAD0</w:t>
      </w:r>
      <w:r>
        <w:rPr>
          <w:noProof/>
        </w:rPr>
        <w:t>5</w:t>
      </w:r>
      <w:r w:rsidRPr="006008C9">
        <w:rPr>
          <w:noProof/>
        </w:rPr>
        <w:t>)</w:t>
      </w:r>
      <w:bookmarkEnd w:id="521"/>
    </w:p>
    <w:p w14:paraId="4E2124AF" w14:textId="77777777" w:rsidR="00C32267" w:rsidRPr="006008C9" w:rsidRDefault="00C32267" w:rsidP="00C32267">
      <w:pPr>
        <w:pStyle w:val="NormalText"/>
        <w:rPr>
          <w:b/>
          <w:bCs/>
          <w:noProof/>
        </w:rPr>
      </w:pPr>
      <w:r>
        <w:rPr>
          <w:b/>
          <w:bCs/>
          <w:noProof/>
        </w:rPr>
        <w:t>17 March 2025</w:t>
      </w:r>
    </w:p>
    <w:p w14:paraId="68891F2B" w14:textId="77777777" w:rsidR="00C32267" w:rsidRPr="006008C9" w:rsidRDefault="00C32267" w:rsidP="00C32267">
      <w:pPr>
        <w:pStyle w:val="Submissionlisthangingindent"/>
      </w:pPr>
      <w:r w:rsidRPr="006008C9">
        <w:t>Justice Lea Armstrong, President</w:t>
      </w:r>
    </w:p>
    <w:p w14:paraId="6F7DAD67" w14:textId="77777777" w:rsidR="00C32267" w:rsidRPr="006008C9" w:rsidRDefault="00C32267" w:rsidP="00C32267">
      <w:pPr>
        <w:pStyle w:val="Submissionlisthangingindent"/>
      </w:pPr>
      <w:r w:rsidRPr="006008C9">
        <w:t xml:space="preserve">Judge </w:t>
      </w:r>
      <w:r>
        <w:t>Rashelle Seiden SC</w:t>
      </w:r>
      <w:r w:rsidRPr="006008C9">
        <w:t xml:space="preserve"> (Deputy President </w:t>
      </w:r>
      <w:r>
        <w:t xml:space="preserve">and Division Head </w:t>
      </w:r>
      <w:r w:rsidRPr="006008C9">
        <w:t>of Administrative and Equal Opportunity Division and Occupational Division)</w:t>
      </w:r>
    </w:p>
    <w:p w14:paraId="622718EC" w14:textId="3EE4084E" w:rsidR="00C300DD" w:rsidRPr="00F41119" w:rsidRDefault="00C32267" w:rsidP="00170021">
      <w:pPr>
        <w:pStyle w:val="Submissionlisthangingindent"/>
      </w:pPr>
      <w:r>
        <w:t>Acting Judge Nancy Hennessy</w:t>
      </w:r>
      <w:r w:rsidRPr="006008C9">
        <w:t xml:space="preserve"> (</w:t>
      </w:r>
      <w:r>
        <w:t>Deputy President)</w:t>
      </w:r>
      <w:bookmarkEnd w:id="517"/>
      <w:bookmarkEnd w:id="518"/>
    </w:p>
    <w:sectPr w:rsidR="00C300DD" w:rsidRPr="00F41119" w:rsidSect="00744F61">
      <w:headerReference w:type="even" r:id="rId40"/>
      <w:footerReference w:type="even" r:id="rId41"/>
      <w:footerReference w:type="default" r:id="rId42"/>
      <w:footnotePr>
        <w:numRestart w:val="eachSect"/>
      </w:footnotePr>
      <w:type w:val="oddPage"/>
      <w:pgSz w:w="11906" w:h="16838" w:code="9"/>
      <w:pgMar w:top="1701" w:right="1304" w:bottom="1021"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6067C" w14:textId="77777777" w:rsidR="006B11C8" w:rsidRDefault="006B11C8">
      <w:r>
        <w:separator/>
      </w:r>
    </w:p>
    <w:p w14:paraId="5503B0F7" w14:textId="77777777" w:rsidR="006B11C8" w:rsidRDefault="006B11C8"/>
  </w:endnote>
  <w:endnote w:type="continuationSeparator" w:id="0">
    <w:p w14:paraId="2E922CCE" w14:textId="77777777" w:rsidR="006B11C8" w:rsidRDefault="006B11C8">
      <w:r>
        <w:continuationSeparator/>
      </w:r>
    </w:p>
    <w:p w14:paraId="38CD9A60" w14:textId="77777777" w:rsidR="006B11C8" w:rsidRDefault="006B1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Public Sans SemiBold">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Black">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CE8E3" w14:textId="2A28F89F" w:rsidR="00132881" w:rsidRDefault="00132881" w:rsidP="00132881">
    <w:pPr>
      <w:pStyle w:val="FooterEven"/>
      <w:ind w:left="0"/>
    </w:pPr>
    <w:r>
      <w:rPr>
        <w:b/>
        <w:bCs/>
      </w:rPr>
      <w:fldChar w:fldCharType="begin"/>
    </w:r>
    <w:r>
      <w:rPr>
        <w:b/>
        <w:bCs/>
      </w:rPr>
      <w:instrText xml:space="preserve"> PAGE </w:instrText>
    </w:r>
    <w:r>
      <w:rPr>
        <w:b/>
        <w:bCs/>
      </w:rPr>
      <w:fldChar w:fldCharType="separate"/>
    </w:r>
    <w:r>
      <w:rPr>
        <w:b/>
        <w:bCs/>
      </w:rPr>
      <w:t>2</w:t>
    </w:r>
    <w:r>
      <w:rPr>
        <w:b/>
        <w:bCs/>
      </w:rPr>
      <w:fldChar w:fldCharType="end"/>
    </w:r>
    <w:r>
      <w:rPr>
        <w:b/>
        <w:bCs/>
      </w:rPr>
      <w:tab/>
    </w:r>
    <w:r w:rsidR="00B87C05">
      <w:rPr>
        <w:b/>
        <w:bCs/>
      </w:rPr>
      <w:t xml:space="preserve">Review of the </w:t>
    </w:r>
    <w:r w:rsidR="00B87C05" w:rsidRPr="001D3FD7">
      <w:rPr>
        <w:b/>
        <w:bCs/>
        <w:i/>
        <w:iCs/>
      </w:rPr>
      <w:t>Anti-Discrimination Act 1977</w:t>
    </w:r>
    <w:r w:rsidR="00B87C05">
      <w:rPr>
        <w:b/>
        <w:bCs/>
      </w:rPr>
      <w:t xml:space="preserve"> (NSW): Unlawful conduct</w:t>
    </w:r>
    <w:r>
      <w:rPr>
        <w:b/>
        <w:bCs/>
      </w:rPr>
      <w:t xml:space="preserve">  </w:t>
    </w:r>
    <w:r w:rsidR="00B87C05">
      <w:t>CP 2</w:t>
    </w:r>
    <w:r w:rsidR="0097530B">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47AC" w14:textId="4093FBC8" w:rsidR="00132881" w:rsidRDefault="00132881" w:rsidP="00132881">
    <w:pPr>
      <w:pStyle w:val="Footerodd"/>
      <w:ind w:left="-567" w:hanging="11"/>
    </w:pPr>
    <w:r>
      <w:rPr>
        <w:noProof/>
      </w:rPr>
      <mc:AlternateContent>
        <mc:Choice Requires="wps">
          <w:drawing>
            <wp:anchor distT="0" distB="0" distL="114299" distR="114299" simplePos="0" relativeHeight="251728896" behindDoc="0" locked="0" layoutInCell="1" allowOverlap="1" wp14:anchorId="09516AB5" wp14:editId="13776591">
              <wp:simplePos x="0" y="0"/>
              <wp:positionH relativeFrom="page">
                <wp:posOffset>7150100</wp:posOffset>
              </wp:positionH>
              <wp:positionV relativeFrom="page">
                <wp:posOffset>21799550</wp:posOffset>
              </wp:positionV>
              <wp:extent cx="0" cy="1375410"/>
              <wp:effectExtent l="0" t="0" r="19050" b="152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4766FF" id="Straight Connector 12" o:spid="_x0000_s1026" style="position:absolute;flip:x;z-index:2517288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63pt,1716.5pt" to="563pt,18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" strokecolor="#16517d" strokeweight=".5pt">
              <v:stroke joinstyle="miter"/>
              <o:lock v:ext="edit" shapetype="f"/>
              <w10:wrap anchorx="page" anchory="page"/>
            </v:line>
          </w:pict>
        </mc:Fallback>
      </mc:AlternateContent>
    </w:r>
    <w:r>
      <w:rPr>
        <w:noProof/>
      </w:rPr>
      <mc:AlternateContent>
        <mc:Choice Requires="wps">
          <w:drawing>
            <wp:anchor distT="0" distB="0" distL="114299" distR="114299" simplePos="0" relativeHeight="251727872" behindDoc="0" locked="0" layoutInCell="1" allowOverlap="1" wp14:anchorId="66802DE9" wp14:editId="5E6E335C">
              <wp:simplePos x="0" y="0"/>
              <wp:positionH relativeFrom="page">
                <wp:posOffset>6997700</wp:posOffset>
              </wp:positionH>
              <wp:positionV relativeFrom="page">
                <wp:posOffset>21647150</wp:posOffset>
              </wp:positionV>
              <wp:extent cx="0" cy="1375410"/>
              <wp:effectExtent l="0" t="0" r="38100" b="342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4BD94F" id="Straight Connector 13" o:spid="_x0000_s1026" style="position:absolute;flip:x;z-index:2517278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51pt,1704.5pt" to="551pt,18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" strokecolor="#16517d" strokeweight=".5pt">
              <v:stroke joinstyle="miter"/>
              <o:lock v:ext="edit" shapetype="f"/>
              <w10:wrap anchorx="page" anchory="page"/>
            </v:line>
          </w:pict>
        </mc:Fallback>
      </mc:AlternateContent>
    </w:r>
    <w:r w:rsidR="003E7BFD">
      <w:t>CP 2</w:t>
    </w:r>
    <w:r w:rsidR="0097530B">
      <w:t>4</w:t>
    </w:r>
    <w:r>
      <w:t xml:space="preserve">  </w:t>
    </w:r>
    <w:r w:rsidR="003E7BFD">
      <w:rPr>
        <w:b/>
        <w:bCs/>
      </w:rPr>
      <w:t xml:space="preserve">Review of the </w:t>
    </w:r>
    <w:r w:rsidR="003E7BFD" w:rsidRPr="00451E4C">
      <w:rPr>
        <w:b/>
        <w:bCs/>
        <w:i/>
        <w:iCs/>
      </w:rPr>
      <w:t>Anti-Discrimination Act 1977</w:t>
    </w:r>
    <w:r w:rsidR="003E7BFD">
      <w:rPr>
        <w:b/>
        <w:bCs/>
      </w:rPr>
      <w:t xml:space="preserve"> (NSW): Unlawful conduct</w:t>
    </w:r>
    <w:r>
      <w:tab/>
    </w:r>
    <w:r>
      <w:rPr>
        <w:b/>
        <w:bCs/>
      </w:rPr>
      <w:fldChar w:fldCharType="begin"/>
    </w:r>
    <w:r>
      <w:rPr>
        <w:b/>
        <w:bCs/>
      </w:rPr>
      <w:instrText xml:space="preserve"> PAGE </w:instrText>
    </w:r>
    <w:r>
      <w:rPr>
        <w:b/>
        <w:bCs/>
      </w:rPr>
      <w:fldChar w:fldCharType="separate"/>
    </w:r>
    <w:r>
      <w:rPr>
        <w:b/>
        <w:bCs/>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CE81" w14:textId="017339A3" w:rsidR="00B87C05" w:rsidRDefault="00B87C05" w:rsidP="00B87C05">
    <w:pPr>
      <w:pStyle w:val="Footerodd"/>
      <w:ind w:left="-567" w:hanging="11"/>
    </w:pPr>
    <w:r>
      <w:rPr>
        <w:noProof/>
      </w:rPr>
      <mc:AlternateContent>
        <mc:Choice Requires="wps">
          <w:drawing>
            <wp:anchor distT="0" distB="0" distL="114299" distR="114299" simplePos="0" relativeHeight="251731968" behindDoc="0" locked="0" layoutInCell="1" allowOverlap="1" wp14:anchorId="79092CA3" wp14:editId="70025A21">
              <wp:simplePos x="0" y="0"/>
              <wp:positionH relativeFrom="page">
                <wp:posOffset>7150100</wp:posOffset>
              </wp:positionH>
              <wp:positionV relativeFrom="page">
                <wp:posOffset>21799550</wp:posOffset>
              </wp:positionV>
              <wp:extent cx="0" cy="1375410"/>
              <wp:effectExtent l="0" t="0" r="19050" b="15240"/>
              <wp:wrapNone/>
              <wp:docPr id="605397091" name="Straight Connector 6053970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6790B0" id="Straight Connector 605397091" o:spid="_x0000_s1026" style="position:absolute;flip:x;z-index:2517319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63pt,1716.5pt" to="563pt,18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" strokecolor="#16517d" strokeweight=".5pt">
              <v:stroke joinstyle="miter"/>
              <o:lock v:ext="edit" shapetype="f"/>
              <w10:wrap anchorx="page" anchory="page"/>
            </v:line>
          </w:pict>
        </mc:Fallback>
      </mc:AlternateContent>
    </w:r>
    <w:r>
      <w:rPr>
        <w:noProof/>
      </w:rPr>
      <mc:AlternateContent>
        <mc:Choice Requires="wps">
          <w:drawing>
            <wp:anchor distT="0" distB="0" distL="114299" distR="114299" simplePos="0" relativeHeight="251730944" behindDoc="0" locked="0" layoutInCell="1" allowOverlap="1" wp14:anchorId="25489A01" wp14:editId="6D48CF22">
              <wp:simplePos x="0" y="0"/>
              <wp:positionH relativeFrom="page">
                <wp:posOffset>6997700</wp:posOffset>
              </wp:positionH>
              <wp:positionV relativeFrom="page">
                <wp:posOffset>21647150</wp:posOffset>
              </wp:positionV>
              <wp:extent cx="0" cy="1375410"/>
              <wp:effectExtent l="0" t="0" r="38100" b="34290"/>
              <wp:wrapNone/>
              <wp:docPr id="407510048" name="Straight Connector 4075100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D2451A" id="Straight Connector 407510048" o:spid="_x0000_s1026" style="position:absolute;flip:x;z-index:2517309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51pt,1704.5pt" to="551pt,18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" strokecolor="#16517d" strokeweight=".5pt">
              <v:stroke joinstyle="miter"/>
              <o:lock v:ext="edit" shapetype="f"/>
              <w10:wrap anchorx="page" anchory="page"/>
            </v:line>
          </w:pict>
        </mc:Fallback>
      </mc:AlternateContent>
    </w:r>
    <w:r w:rsidR="00540448">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2E969" w14:textId="77777777" w:rsidR="00166BE4" w:rsidRDefault="00166BE4" w:rsidP="00132881">
    <w:pPr>
      <w:pStyle w:val="FooterEven"/>
      <w:ind w:left="0"/>
    </w:pPr>
    <w:r>
      <w:rPr>
        <w:b/>
        <w:bCs/>
      </w:rPr>
      <w:fldChar w:fldCharType="begin"/>
    </w:r>
    <w:r>
      <w:rPr>
        <w:b/>
        <w:bCs/>
      </w:rPr>
      <w:instrText xml:space="preserve"> PAGE </w:instrText>
    </w:r>
    <w:r>
      <w:rPr>
        <w:b/>
        <w:bCs/>
      </w:rPr>
      <w:fldChar w:fldCharType="separate"/>
    </w:r>
    <w:r>
      <w:rPr>
        <w:b/>
        <w:bCs/>
      </w:rPr>
      <w:t>2</w:t>
    </w:r>
    <w:r>
      <w:rPr>
        <w:b/>
        <w:bCs/>
      </w:rPr>
      <w:fldChar w:fldCharType="end"/>
    </w:r>
    <w:r>
      <w:rPr>
        <w:b/>
        <w:bCs/>
      </w:rPr>
      <w:tab/>
      <w:t xml:space="preserve">Review of the </w:t>
    </w:r>
    <w:r w:rsidRPr="001D3FD7">
      <w:rPr>
        <w:b/>
        <w:bCs/>
        <w:i/>
        <w:iCs/>
      </w:rPr>
      <w:t>Anti-Discrimination Act 1977</w:t>
    </w:r>
    <w:r>
      <w:rPr>
        <w:b/>
        <w:bCs/>
      </w:rPr>
      <w:t xml:space="preserve"> (NSW): Unlawful conduct  </w:t>
    </w:r>
    <w:r>
      <w:t>CP 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D96AA" w14:textId="77777777" w:rsidR="00307497" w:rsidRDefault="00307497" w:rsidP="00B87C05">
    <w:pPr>
      <w:pStyle w:val="Footerodd"/>
      <w:ind w:left="-567" w:hanging="11"/>
    </w:pPr>
    <w:r>
      <w:rPr>
        <w:noProof/>
      </w:rPr>
      <mc:AlternateContent>
        <mc:Choice Requires="wps">
          <w:drawing>
            <wp:anchor distT="0" distB="0" distL="114299" distR="114299" simplePos="0" relativeHeight="251768832" behindDoc="0" locked="0" layoutInCell="1" allowOverlap="1" wp14:anchorId="1679E8AD" wp14:editId="5DE0046C">
              <wp:simplePos x="0" y="0"/>
              <wp:positionH relativeFrom="page">
                <wp:posOffset>7150100</wp:posOffset>
              </wp:positionH>
              <wp:positionV relativeFrom="page">
                <wp:posOffset>21799550</wp:posOffset>
              </wp:positionV>
              <wp:extent cx="0" cy="1375410"/>
              <wp:effectExtent l="0" t="0" r="19050" b="15240"/>
              <wp:wrapNone/>
              <wp:docPr id="657511281" name="Straight Connector 657511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CB9462" id="Straight Connector 657511281" o:spid="_x0000_s1026" style="position:absolute;flip:x;z-index:2517688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63pt,1716.5pt" to="563pt,18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" strokecolor="#16517d" strokeweight=".5pt">
              <v:stroke joinstyle="miter"/>
              <o:lock v:ext="edit" shapetype="f"/>
              <w10:wrap anchorx="page" anchory="page"/>
            </v:line>
          </w:pict>
        </mc:Fallback>
      </mc:AlternateContent>
    </w:r>
    <w:r>
      <w:rPr>
        <w:noProof/>
      </w:rPr>
      <mc:AlternateContent>
        <mc:Choice Requires="wps">
          <w:drawing>
            <wp:anchor distT="0" distB="0" distL="114299" distR="114299" simplePos="0" relativeHeight="251767808" behindDoc="0" locked="0" layoutInCell="1" allowOverlap="1" wp14:anchorId="76167953" wp14:editId="57395A0A">
              <wp:simplePos x="0" y="0"/>
              <wp:positionH relativeFrom="page">
                <wp:posOffset>6997700</wp:posOffset>
              </wp:positionH>
              <wp:positionV relativeFrom="page">
                <wp:posOffset>21647150</wp:posOffset>
              </wp:positionV>
              <wp:extent cx="0" cy="1375410"/>
              <wp:effectExtent l="0" t="0" r="38100" b="34290"/>
              <wp:wrapNone/>
              <wp:docPr id="432510165" name="Straight Connector 432510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114E35" id="Straight Connector 432510165" o:spid="_x0000_s1026" style="position:absolute;flip:x;z-index:25176780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51pt,1704.5pt" to="551pt,18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" strokecolor="#16517d" strokeweight=".5pt">
              <v:stroke joinstyle="miter"/>
              <o:lock v:ext="edit" shapetype="f"/>
              <w10:wrap anchorx="page" anchory="page"/>
            </v:line>
          </w:pict>
        </mc:Fallback>
      </mc:AlternateConten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BD2C7" w14:textId="77777777" w:rsidR="007E6AB2" w:rsidRDefault="007E6AB2" w:rsidP="00B87C05">
    <w:pPr>
      <w:pStyle w:val="Footerodd"/>
      <w:ind w:left="-567" w:hanging="11"/>
    </w:pPr>
    <w:r>
      <w:rPr>
        <w:noProof/>
      </w:rPr>
      <mc:AlternateContent>
        <mc:Choice Requires="wps">
          <w:drawing>
            <wp:anchor distT="0" distB="0" distL="114299" distR="114299" simplePos="0" relativeHeight="251765760" behindDoc="0" locked="0" layoutInCell="1" allowOverlap="1" wp14:anchorId="3DA1DEE8" wp14:editId="05F1301F">
              <wp:simplePos x="0" y="0"/>
              <wp:positionH relativeFrom="page">
                <wp:posOffset>7150100</wp:posOffset>
              </wp:positionH>
              <wp:positionV relativeFrom="page">
                <wp:posOffset>21799550</wp:posOffset>
              </wp:positionV>
              <wp:extent cx="0" cy="1375410"/>
              <wp:effectExtent l="0" t="0" r="19050" b="15240"/>
              <wp:wrapNone/>
              <wp:docPr id="263676417" name="Straight Connector 263676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78EA27" id="Straight Connector 263676417" o:spid="_x0000_s1026" style="position:absolute;flip:x;z-index:25176576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63pt,1716.5pt" to="563pt,18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" strokecolor="#16517d" strokeweight=".5pt">
              <v:stroke joinstyle="miter"/>
              <o:lock v:ext="edit" shapetype="f"/>
              <w10:wrap anchorx="page" anchory="page"/>
            </v:line>
          </w:pict>
        </mc:Fallback>
      </mc:AlternateContent>
    </w:r>
    <w:r>
      <w:rPr>
        <w:noProof/>
      </w:rPr>
      <mc:AlternateContent>
        <mc:Choice Requires="wps">
          <w:drawing>
            <wp:anchor distT="0" distB="0" distL="114299" distR="114299" simplePos="0" relativeHeight="251764736" behindDoc="0" locked="0" layoutInCell="1" allowOverlap="1" wp14:anchorId="10CFB8EE" wp14:editId="0BF647A0">
              <wp:simplePos x="0" y="0"/>
              <wp:positionH relativeFrom="page">
                <wp:posOffset>6997700</wp:posOffset>
              </wp:positionH>
              <wp:positionV relativeFrom="page">
                <wp:posOffset>21647150</wp:posOffset>
              </wp:positionV>
              <wp:extent cx="0" cy="1375410"/>
              <wp:effectExtent l="0" t="0" r="38100" b="34290"/>
              <wp:wrapNone/>
              <wp:docPr id="600862420" name="Straight Connector 600862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AB8F62" id="Straight Connector 600862420" o:spid="_x0000_s1026" style="position:absolute;flip:x;z-index:2517647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51pt,1704.5pt" to="551pt,18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" strokecolor="#16517d" strokeweight=".5pt">
              <v:stroke joinstyle="miter"/>
              <o:lock v:ext="edit" shapetype="f"/>
              <w10:wrap anchorx="page" anchory="page"/>
            </v:line>
          </w:pict>
        </mc:Fallback>
      </mc:AlternateConten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1C0CF" w14:textId="77777777" w:rsidR="00132881" w:rsidRDefault="00132881" w:rsidP="00132881">
    <w:pPr>
      <w:pStyle w:val="FooterEven"/>
      <w:ind w:left="0"/>
    </w:pPr>
    <w:r>
      <w:rPr>
        <w:b/>
        <w:bCs/>
      </w:rPr>
      <w:fldChar w:fldCharType="begin"/>
    </w:r>
    <w:r>
      <w:rPr>
        <w:b/>
        <w:bCs/>
      </w:rPr>
      <w:instrText xml:space="preserve"> PAGE </w:instrText>
    </w:r>
    <w:r>
      <w:rPr>
        <w:b/>
        <w:bCs/>
      </w:rPr>
      <w:fldChar w:fldCharType="separate"/>
    </w:r>
    <w:r>
      <w:rPr>
        <w:b/>
        <w:bCs/>
      </w:rPr>
      <w:t>2</w:t>
    </w:r>
    <w:r>
      <w:rPr>
        <w:b/>
        <w:bCs/>
      </w:rPr>
      <w:fldChar w:fldCharType="end"/>
    </w:r>
    <w:r>
      <w:rPr>
        <w:b/>
        <w:bCs/>
      </w:rPr>
      <w:tab/>
      <w:t xml:space="preserve">Title  </w:t>
    </w:r>
    <w:r>
      <w:t>PUBLICATION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833C" w14:textId="056BED22" w:rsidR="00132881" w:rsidRDefault="00132881" w:rsidP="00132881">
    <w:pPr>
      <w:pStyle w:val="Footerodd"/>
      <w:ind w:left="-567" w:hanging="11"/>
    </w:pPr>
    <w:r>
      <w:rPr>
        <w:noProof/>
      </w:rPr>
      <mc:AlternateContent>
        <mc:Choice Requires="wps">
          <w:drawing>
            <wp:anchor distT="0" distB="0" distL="114299" distR="114299" simplePos="0" relativeHeight="251762688" behindDoc="0" locked="0" layoutInCell="1" allowOverlap="1" wp14:anchorId="30635B50" wp14:editId="6EB2E8BF">
              <wp:simplePos x="0" y="0"/>
              <wp:positionH relativeFrom="page">
                <wp:posOffset>7150100</wp:posOffset>
              </wp:positionH>
              <wp:positionV relativeFrom="page">
                <wp:posOffset>21799550</wp:posOffset>
              </wp:positionV>
              <wp:extent cx="0" cy="1375410"/>
              <wp:effectExtent l="0" t="0" r="19050" b="15240"/>
              <wp:wrapNone/>
              <wp:docPr id="1875884615" name="Straight Connector 18758846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077A52" id="Straight Connector 1875884615" o:spid="_x0000_s1026" style="position:absolute;flip:x;z-index:2517626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63pt,1716.5pt" to="563pt,18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" strokecolor="#16517d" strokeweight=".5pt">
              <v:stroke joinstyle="miter"/>
              <o:lock v:ext="edit" shapetype="f"/>
              <w10:wrap anchorx="page" anchory="page"/>
            </v:line>
          </w:pict>
        </mc:Fallback>
      </mc:AlternateContent>
    </w:r>
    <w:r>
      <w:rPr>
        <w:noProof/>
      </w:rPr>
      <mc:AlternateContent>
        <mc:Choice Requires="wps">
          <w:drawing>
            <wp:anchor distT="0" distB="0" distL="114299" distR="114299" simplePos="0" relativeHeight="251761664" behindDoc="0" locked="0" layoutInCell="1" allowOverlap="1" wp14:anchorId="6097DBAC" wp14:editId="3CD35217">
              <wp:simplePos x="0" y="0"/>
              <wp:positionH relativeFrom="page">
                <wp:posOffset>6997700</wp:posOffset>
              </wp:positionH>
              <wp:positionV relativeFrom="page">
                <wp:posOffset>21647150</wp:posOffset>
              </wp:positionV>
              <wp:extent cx="0" cy="1375410"/>
              <wp:effectExtent l="0" t="0" r="38100" b="34290"/>
              <wp:wrapNone/>
              <wp:docPr id="1133577212" name="Straight Connector 1133577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F97E02" id="Straight Connector 1133577212" o:spid="_x0000_s1026" style="position:absolute;flip:x;z-index:2517616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51pt,1704.5pt" to="551pt,18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" strokecolor="#16517d" strokeweight=".5pt">
              <v:stroke joinstyle="miter"/>
              <o:lock v:ext="edit" shapetype="f"/>
              <w10:wrap anchorx="page" anchory="page"/>
            </v:line>
          </w:pict>
        </mc:Fallback>
      </mc:AlternateContent>
    </w:r>
    <w:r w:rsidR="00744F61">
      <w:t xml:space="preserve">CP 24  </w:t>
    </w:r>
    <w:r w:rsidR="00744F61">
      <w:rPr>
        <w:b/>
        <w:bCs/>
      </w:rPr>
      <w:t xml:space="preserve">Review of the </w:t>
    </w:r>
    <w:r w:rsidR="00744F61" w:rsidRPr="00451E4C">
      <w:rPr>
        <w:b/>
        <w:bCs/>
        <w:i/>
        <w:iCs/>
      </w:rPr>
      <w:t>Anti-Discrimination Act 1977</w:t>
    </w:r>
    <w:r w:rsidR="00744F61">
      <w:rPr>
        <w:b/>
        <w:bCs/>
      </w:rPr>
      <w:t xml:space="preserve"> (NSW): Unlawful conduct</w:t>
    </w:r>
    <w:r>
      <w:tab/>
    </w:r>
    <w:r>
      <w:rPr>
        <w:b/>
        <w:bCs/>
      </w:rPr>
      <w:fldChar w:fldCharType="begin"/>
    </w:r>
    <w:r>
      <w:rPr>
        <w:b/>
        <w:bCs/>
      </w:rPr>
      <w:instrText xml:space="preserve"> PAGE </w:instrText>
    </w:r>
    <w:r>
      <w:rPr>
        <w:b/>
        <w:bCs/>
      </w:rPr>
      <w:fldChar w:fldCharType="separate"/>
    </w:r>
    <w:r>
      <w:rPr>
        <w:b/>
        <w:bCs/>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5A2F8" w14:textId="77777777" w:rsidR="006B11C8" w:rsidRPr="008C4E3F" w:rsidRDefault="006B11C8" w:rsidP="00D258B7">
      <w:pPr>
        <w:pStyle w:val="Separator"/>
      </w:pPr>
      <w:r w:rsidRPr="008C4E3F">
        <w:t>___</w:t>
      </w:r>
      <w:r>
        <w:t>_____</w:t>
      </w:r>
      <w:r w:rsidRPr="008C4E3F">
        <w:t>___</w:t>
      </w:r>
    </w:p>
    <w:p w14:paraId="0389D698" w14:textId="77777777" w:rsidR="006B11C8" w:rsidRDefault="006B11C8" w:rsidP="00D258B7">
      <w:pPr>
        <w:pStyle w:val="Separator"/>
      </w:pPr>
    </w:p>
  </w:footnote>
  <w:footnote w:type="continuationSeparator" w:id="0">
    <w:p w14:paraId="6F49B73D" w14:textId="77777777" w:rsidR="006B11C8" w:rsidRDefault="006B11C8" w:rsidP="00CD4DE6">
      <w:pPr>
        <w:pStyle w:val="Separator"/>
      </w:pPr>
      <w:r>
        <w:continuationSeparator/>
      </w:r>
    </w:p>
    <w:p w14:paraId="7A079565" w14:textId="77777777" w:rsidR="006B11C8" w:rsidRDefault="006B11C8" w:rsidP="00CD4DE6">
      <w:pPr>
        <w:pStyle w:val="Separator"/>
      </w:pPr>
    </w:p>
  </w:footnote>
  <w:footnote w:type="continuationNotice" w:id="1">
    <w:p w14:paraId="334C1241" w14:textId="77777777" w:rsidR="006B11C8" w:rsidRDefault="006B11C8" w:rsidP="00CD4DE6">
      <w:pPr>
        <w:pStyle w:val="Separator"/>
      </w:pPr>
    </w:p>
    <w:p w14:paraId="0865091B" w14:textId="77777777" w:rsidR="006B11C8" w:rsidRDefault="006B11C8" w:rsidP="00CD4DE6">
      <w:pPr>
        <w:pStyle w:val="Separator"/>
      </w:pPr>
    </w:p>
  </w:footnote>
  <w:footnote w:id="2">
    <w:p w14:paraId="026ED182" w14:textId="47312600" w:rsidR="008D4914" w:rsidRPr="00410DAB" w:rsidRDefault="008D4914" w:rsidP="008D4914">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The terms of reference for this review are set out at page </w:t>
      </w:r>
      <w:r w:rsidR="00A01E0B">
        <w:rPr>
          <w:rFonts w:ascii="Public Sans" w:hAnsi="Public Sans" w:cs="Arial"/>
        </w:rPr>
        <w:t>i</w:t>
      </w:r>
      <w:r w:rsidR="00AD73AD">
        <w:rPr>
          <w:rFonts w:ascii="Public Sans" w:hAnsi="Public Sans" w:cs="Arial"/>
        </w:rPr>
        <w:t>x</w:t>
      </w:r>
      <w:r w:rsidR="00A01E0B">
        <w:rPr>
          <w:rFonts w:ascii="Public Sans" w:hAnsi="Public Sans" w:cs="Arial"/>
        </w:rPr>
        <w:t xml:space="preserve"> </w:t>
      </w:r>
      <w:r w:rsidRPr="00410DAB">
        <w:rPr>
          <w:rFonts w:ascii="Public Sans" w:hAnsi="Public Sans" w:cs="Arial"/>
        </w:rPr>
        <w:t>of this consultation paper.</w:t>
      </w:r>
    </w:p>
  </w:footnote>
  <w:footnote w:id="3">
    <w:p w14:paraId="70681854" w14:textId="77777777" w:rsidR="008D4914" w:rsidRPr="00410DAB" w:rsidRDefault="008D4914" w:rsidP="008D4914">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w:t>
      </w:r>
      <w:r w:rsidRPr="00410DAB">
        <w:rPr>
          <w:rFonts w:ascii="Public Sans" w:hAnsi="Public Sans" w:cs="Arial"/>
          <w:i/>
          <w:iCs/>
        </w:rPr>
        <w:t>Parliamentary Debates</w:t>
      </w:r>
      <w:r w:rsidRPr="00410DAB">
        <w:rPr>
          <w:rFonts w:ascii="Public Sans" w:hAnsi="Public Sans" w:cs="Arial"/>
        </w:rPr>
        <w:t xml:space="preserve">, Legislative Assembly, Second Reading Speech, 23 November 1976, 3347. </w:t>
      </w:r>
    </w:p>
  </w:footnote>
  <w:footnote w:id="4">
    <w:p w14:paraId="647A3FE2" w14:textId="77777777" w:rsidR="008D4914" w:rsidRPr="00410DAB" w:rsidRDefault="008D4914" w:rsidP="008D4914">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[1.9].</w:t>
      </w:r>
    </w:p>
  </w:footnote>
  <w:footnote w:id="5">
    <w:p w14:paraId="40F1AB20" w14:textId="23BA87A5" w:rsidR="008D4914" w:rsidRPr="00410DAB" w:rsidRDefault="008D4914" w:rsidP="008D4914">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For an overview, see Queensland Human Rights Commission, </w:t>
      </w:r>
      <w:r w:rsidRPr="00410DAB">
        <w:rPr>
          <w:rFonts w:ascii="Public Sans" w:hAnsi="Public Sans" w:cs="Arial"/>
          <w:i/>
          <w:iCs/>
        </w:rPr>
        <w:t>Building Belonging: Review of Queensland’s Anti-Discrimination Act 1991</w:t>
      </w:r>
      <w:r w:rsidRPr="00410DAB">
        <w:rPr>
          <w:rFonts w:ascii="Public Sans" w:hAnsi="Public Sans" w:cs="Arial"/>
        </w:rPr>
        <w:t xml:space="preserve"> (2022) 46–49. More recent reviews include Law Reform Commission of Western Australia, </w:t>
      </w:r>
      <w:r w:rsidRPr="00410DAB">
        <w:rPr>
          <w:rFonts w:ascii="Public Sans" w:hAnsi="Public Sans" w:cs="Arial"/>
          <w:i/>
          <w:iCs/>
        </w:rPr>
        <w:t>Review of the Equal Opportunity Act 1984 (WA)</w:t>
      </w:r>
      <w:r w:rsidRPr="00410DAB">
        <w:rPr>
          <w:rFonts w:ascii="Public Sans" w:hAnsi="Public Sans" w:cs="Arial"/>
        </w:rPr>
        <w:t>, Project 111, Final Report (2022); Royal Commission into Violence, Abuse, Neglect and Exploitation of People with Disability</w:t>
      </w:r>
      <w:r w:rsidRPr="00410DAB">
        <w:rPr>
          <w:rFonts w:ascii="Public Sans" w:hAnsi="Public Sans" w:cs="Arial"/>
          <w:i/>
          <w:iCs/>
        </w:rPr>
        <w:t xml:space="preserve">, Final Report </w:t>
      </w:r>
      <w:r w:rsidRPr="00410DAB">
        <w:rPr>
          <w:rFonts w:ascii="Public Sans" w:hAnsi="Public Sans" w:cs="Arial"/>
        </w:rPr>
        <w:t xml:space="preserve">(2023); Australian Law Reform Commission, </w:t>
      </w:r>
      <w:r w:rsidRPr="00410DAB">
        <w:rPr>
          <w:rFonts w:ascii="Public Sans" w:hAnsi="Public Sans" w:cs="Arial"/>
          <w:i/>
          <w:iCs/>
        </w:rPr>
        <w:t>Maximising the Realisation of Human Rights: Religious Educational Institutions and Anti-Discrimination Laws</w:t>
      </w:r>
      <w:r w:rsidRPr="00410DAB">
        <w:rPr>
          <w:rFonts w:ascii="Public Sans" w:hAnsi="Public Sans" w:cs="Arial"/>
        </w:rPr>
        <w:t xml:space="preserve">, Report 142 (2024). </w:t>
      </w:r>
      <w:r w:rsidRPr="00410DAB">
        <w:rPr>
          <w:rFonts w:ascii="Public Sans" w:hAnsi="Public Sans" w:cs="Arial"/>
          <w:color w:val="FF0000"/>
        </w:rPr>
        <w:t xml:space="preserve"> </w:t>
      </w:r>
    </w:p>
  </w:footnote>
  <w:footnote w:id="6">
    <w:p w14:paraId="123EC54B" w14:textId="77777777" w:rsidR="008D4914" w:rsidRPr="00410DAB" w:rsidRDefault="008D4914" w:rsidP="008D4914">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Public Interest Advocacy Centre, </w:t>
      </w:r>
      <w:r w:rsidRPr="00410DAB">
        <w:rPr>
          <w:rFonts w:ascii="Public Sans" w:hAnsi="Public Sans" w:cs="Arial"/>
          <w:i/>
          <w:iCs/>
        </w:rPr>
        <w:t>Leader to Laggard: The Case for Modernising the NSW Anti</w:t>
      </w:r>
      <w:r w:rsidRPr="00410DAB">
        <w:rPr>
          <w:rFonts w:ascii="Cambria Math" w:hAnsi="Cambria Math" w:cs="Cambria Math"/>
          <w:i/>
          <w:iCs/>
        </w:rPr>
        <w:t>‐</w:t>
      </w:r>
      <w:r w:rsidRPr="00410DAB">
        <w:rPr>
          <w:rFonts w:ascii="Public Sans" w:hAnsi="Public Sans" w:cs="Arial"/>
          <w:i/>
          <w:iCs/>
        </w:rPr>
        <w:t>Discrimination Act</w:t>
      </w:r>
      <w:r w:rsidRPr="00410DAB">
        <w:rPr>
          <w:rFonts w:ascii="Public Sans" w:hAnsi="Public Sans" w:cs="Arial"/>
        </w:rPr>
        <w:t xml:space="preserve"> (2021); </w:t>
      </w:r>
      <w:bookmarkStart w:id="27" w:name="_Hlk194488932"/>
      <w:r w:rsidRPr="00410DAB">
        <w:rPr>
          <w:rFonts w:ascii="Public Sans" w:hAnsi="Public Sans" w:cs="Arial"/>
        </w:rPr>
        <w:t>Public Interest Advocacy Centre and others, Open Letter to the NSW Attorney General, 5 August 2021.</w:t>
      </w:r>
      <w:bookmarkEnd w:id="27"/>
    </w:p>
  </w:footnote>
  <w:footnote w:id="7">
    <w:p w14:paraId="0D23797C" w14:textId="77777777" w:rsidR="008D4914" w:rsidRPr="00410DAB" w:rsidRDefault="008D4914" w:rsidP="008D4914">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Government, “NSW Government Commissions Review of Anti-Discrimination Law” (Media Release, Attorney General, 20 July 2023).</w:t>
      </w:r>
      <w:r w:rsidRPr="00410DAB" w:rsidDel="00436C12">
        <w:rPr>
          <w:rFonts w:ascii="Public Sans" w:hAnsi="Public Sans" w:cs="Arial"/>
        </w:rPr>
        <w:t xml:space="preserve"> </w:t>
      </w:r>
    </w:p>
  </w:footnote>
  <w:footnote w:id="8">
    <w:p w14:paraId="24F8361B" w14:textId="77777777" w:rsidR="008D4914" w:rsidRPr="00410DAB" w:rsidRDefault="008D4914" w:rsidP="008D4914">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Serious Racial and Religious Vilification</w:t>
      </w:r>
      <w:r w:rsidRPr="00410DAB">
        <w:rPr>
          <w:rFonts w:ascii="Public Sans" w:hAnsi="Public Sans" w:cs="Arial"/>
        </w:rPr>
        <w:t>, Report 151 (2024).</w:t>
      </w:r>
    </w:p>
  </w:footnote>
  <w:footnote w:id="9">
    <w:p w14:paraId="61407C27" w14:textId="726700C8" w:rsidR="008D4914" w:rsidRPr="00410DAB" w:rsidRDefault="008D4914" w:rsidP="008D4914">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M Garrick, “NT's CLP Government Confirms Plans to Scrap Labor's Hate Speech Changes” (2 March 2025) </w:t>
      </w:r>
      <w:r w:rsidRPr="00410DAB">
        <w:rPr>
          <w:rFonts w:ascii="Public Sans" w:hAnsi="Public Sans" w:cs="Arial"/>
          <w:i/>
          <w:iCs/>
        </w:rPr>
        <w:t>ABC News</w:t>
      </w:r>
      <w:r w:rsidRPr="00410DAB">
        <w:rPr>
          <w:rFonts w:ascii="Public Sans" w:hAnsi="Public Sans" w:cs="Arial"/>
        </w:rPr>
        <w:t xml:space="preserve"> &lt;</w:t>
      </w:r>
      <w:hyperlink r:id="rId1" w:history="1">
        <w:r w:rsidR="00706A0C" w:rsidRPr="00410DAB">
          <w:rPr>
            <w:rStyle w:val="Hyperlink"/>
            <w:rFonts w:ascii="Public Sans" w:hAnsi="Public Sans" w:cs="Arial"/>
          </w:rPr>
          <w:t>www.abc.net.au/news/2025-03-02/nt-anti-discrimination-hate-speech-laws-repealed/104991288</w:t>
        </w:r>
      </w:hyperlink>
      <w:r w:rsidRPr="00410DAB">
        <w:rPr>
          <w:rFonts w:ascii="Public Sans" w:hAnsi="Public Sans" w:cs="Arial"/>
        </w:rPr>
        <w:t>&gt; (retrieved 9 April 2025)</w:t>
      </w:r>
      <w:r w:rsidR="001F2649">
        <w:rPr>
          <w:rFonts w:ascii="Public Sans" w:hAnsi="Public Sans" w:cs="Arial"/>
        </w:rPr>
        <w:t xml:space="preserve">; </w:t>
      </w:r>
      <w:r w:rsidR="001F2649" w:rsidRPr="00410DAB">
        <w:rPr>
          <w:rFonts w:ascii="Public Sans" w:hAnsi="Public Sans" w:cs="Arial"/>
        </w:rPr>
        <w:t xml:space="preserve">D Frecklington, “Media Statement: Crisafulli Government to Consult on Anti-Discrimination Laws” (14 March 2025) </w:t>
      </w:r>
      <w:r w:rsidR="001F2649" w:rsidRPr="00410DAB">
        <w:rPr>
          <w:rFonts w:ascii="Public Sans" w:hAnsi="Public Sans" w:cs="Arial"/>
          <w:i/>
          <w:iCs/>
        </w:rPr>
        <w:t>Queensland Government</w:t>
      </w:r>
      <w:r w:rsidR="001F2649" w:rsidRPr="00410DAB">
        <w:rPr>
          <w:rFonts w:ascii="Public Sans" w:hAnsi="Public Sans" w:cs="Arial"/>
        </w:rPr>
        <w:t xml:space="preserve"> &lt;</w:t>
      </w:r>
      <w:hyperlink r:id="rId2" w:history="1">
        <w:r w:rsidR="001F2649" w:rsidRPr="00410DAB">
          <w:rPr>
            <w:rStyle w:val="Hyperlink"/>
            <w:rFonts w:ascii="Public Sans" w:hAnsi="Public Sans" w:cs="Arial"/>
          </w:rPr>
          <w:t>statements.qld.gov.au/statements/102168</w:t>
        </w:r>
      </w:hyperlink>
      <w:r w:rsidR="001F2649" w:rsidRPr="00410DAB">
        <w:rPr>
          <w:rFonts w:ascii="Public Sans" w:hAnsi="Public Sans" w:cs="Arial"/>
        </w:rPr>
        <w:t>&gt; (retrieved 2 April 2024)</w:t>
      </w:r>
      <w:r w:rsidR="00E82113">
        <w:rPr>
          <w:rFonts w:ascii="Public Sans" w:hAnsi="Public Sans" w:cs="Arial"/>
        </w:rPr>
        <w:t>.</w:t>
      </w:r>
      <w:r w:rsidRPr="00410DAB">
        <w:rPr>
          <w:rFonts w:ascii="Public Sans" w:hAnsi="Public Sans" w:cs="Arial"/>
        </w:rPr>
        <w:t xml:space="preserve"> </w:t>
      </w:r>
      <w:r w:rsidR="001D03E2">
        <w:rPr>
          <w:rFonts w:ascii="Public Sans" w:hAnsi="Public Sans" w:cs="Arial"/>
        </w:rPr>
        <w:t>On 30 April 2025, the Queensland Parliament passed amendments to delay</w:t>
      </w:r>
      <w:r w:rsidR="001F2649">
        <w:rPr>
          <w:rFonts w:ascii="Public Sans" w:hAnsi="Public Sans" w:cs="Arial"/>
        </w:rPr>
        <w:t xml:space="preserve"> the</w:t>
      </w:r>
      <w:r w:rsidR="001D03E2">
        <w:rPr>
          <w:rFonts w:ascii="Public Sans" w:hAnsi="Public Sans" w:cs="Arial"/>
        </w:rPr>
        <w:t xml:space="preserve"> commencement to a date to be fixed by proclamation. However, as of 9 May 2025, this had yet to receive assent: </w:t>
      </w:r>
      <w:r w:rsidR="001D03E2" w:rsidRPr="0070548C">
        <w:rPr>
          <w:rFonts w:ascii="Public Sans" w:hAnsi="Public Sans" w:cs="Arial"/>
        </w:rPr>
        <w:t>Crime and Corruption (Restoring Reporting Powers) Amendment Bill 2025</w:t>
      </w:r>
      <w:r w:rsidR="001D03E2">
        <w:rPr>
          <w:rFonts w:ascii="Public Sans" w:hAnsi="Public Sans" w:cs="Arial"/>
        </w:rPr>
        <w:t xml:space="preserve">. </w:t>
      </w:r>
      <w:r w:rsidRPr="00410DAB">
        <w:rPr>
          <w:rFonts w:ascii="Public Sans" w:hAnsi="Public Sans" w:cs="Arial"/>
        </w:rPr>
        <w:t xml:space="preserve"> </w:t>
      </w:r>
    </w:p>
  </w:footnote>
  <w:footnote w:id="10">
    <w:p w14:paraId="0FA70421" w14:textId="77777777" w:rsidR="00330A39" w:rsidRPr="00B64DC4" w:rsidRDefault="00330A39" w:rsidP="00330A3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Anti-Discrimination Act review</w:t>
      </w:r>
      <w:r w:rsidRPr="00410DAB">
        <w:rPr>
          <w:rFonts w:ascii="Public Sans" w:hAnsi="Public Sans" w:cs="Arial"/>
          <w:i/>
          <w:iCs/>
          <w:color w:val="FF0000"/>
        </w:rPr>
        <w:t xml:space="preserve"> </w:t>
      </w:r>
      <w:r w:rsidRPr="00BD006D">
        <w:rPr>
          <w:rFonts w:ascii="Public Sans" w:hAnsi="Public Sans" w:cs="Arial"/>
        </w:rPr>
        <w:t>&lt;</w:t>
      </w:r>
      <w:hyperlink r:id="rId3" w:history="1">
        <w:r w:rsidRPr="005D24E4">
          <w:rPr>
            <w:rStyle w:val="Hyperlink"/>
            <w:rFonts w:ascii="Public Sans" w:hAnsi="Public Sans" w:cs="Arial"/>
          </w:rPr>
          <w:t>https://lawreform.nsw.gov.au/current-projects/anti-discrimination-act-review.html</w:t>
        </w:r>
      </w:hyperlink>
      <w:r w:rsidRPr="00BD006D">
        <w:rPr>
          <w:rFonts w:ascii="Public Sans" w:hAnsi="Public Sans" w:cs="Arial"/>
        </w:rPr>
        <w:t>&gt;</w:t>
      </w:r>
      <w:r>
        <w:rPr>
          <w:rFonts w:ascii="Public Sans" w:hAnsi="Public Sans" w:cs="Arial"/>
        </w:rPr>
        <w:t>.</w:t>
      </w:r>
    </w:p>
  </w:footnote>
  <w:footnote w:id="11">
    <w:p w14:paraId="234C2992" w14:textId="54575D9D" w:rsidR="008D4914" w:rsidRPr="00410DAB" w:rsidRDefault="008D4914" w:rsidP="008D4914">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 list of questions is available at page </w:t>
      </w:r>
      <w:r w:rsidR="00FE6396">
        <w:rPr>
          <w:rFonts w:ascii="Public Sans" w:hAnsi="Public Sans" w:cs="Arial"/>
        </w:rPr>
        <w:t xml:space="preserve">x </w:t>
      </w:r>
      <w:r w:rsidRPr="00410DAB">
        <w:rPr>
          <w:rFonts w:ascii="Public Sans" w:hAnsi="Public Sans" w:cs="Arial"/>
        </w:rPr>
        <w:t>of this consultation paper.</w:t>
      </w:r>
    </w:p>
  </w:footnote>
  <w:footnote w:id="12">
    <w:p w14:paraId="3BE38953" w14:textId="14F6A638" w:rsidR="008D4914" w:rsidRPr="00410DAB" w:rsidRDefault="008D4914" w:rsidP="008D4914">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How to make a submission</w:t>
      </w:r>
      <w:r w:rsidRPr="00410DAB">
        <w:rPr>
          <w:rFonts w:ascii="Public Sans" w:hAnsi="Public Sans" w:cs="Arial"/>
        </w:rPr>
        <w:t xml:space="preserve"> &lt;</w:t>
      </w:r>
      <w:hyperlink r:id="rId4" w:history="1">
        <w:r w:rsidRPr="00410DAB">
          <w:rPr>
            <w:rStyle w:val="Hyperlink"/>
            <w:rFonts w:ascii="Public Sans" w:hAnsi="Public Sans" w:cs="Arial"/>
          </w:rPr>
          <w:t>lawreform.nsw.gov.au/contribute-to-law-reform/submission.html</w:t>
        </w:r>
      </w:hyperlink>
      <w:r w:rsidRPr="00410DAB">
        <w:rPr>
          <w:rFonts w:ascii="Public Sans" w:hAnsi="Public Sans" w:cs="Arial"/>
        </w:rPr>
        <w:t>&gt;.</w:t>
      </w:r>
    </w:p>
  </w:footnote>
  <w:footnote w:id="13">
    <w:p w14:paraId="23181357" w14:textId="0B410AAF" w:rsidR="008D4914" w:rsidRPr="00410DAB" w:rsidRDefault="008D4914" w:rsidP="008D4914">
      <w:pPr>
        <w:pStyle w:val="FootnoteText"/>
        <w:rPr>
          <w:rFonts w:ascii="Public Sans" w:hAnsi="Public Sans" w:cs="Arial"/>
          <w:color w:val="000000" w:themeColor="text1"/>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Privacy and Information Management</w:t>
      </w:r>
      <w:r w:rsidRPr="00410DAB">
        <w:rPr>
          <w:rFonts w:ascii="Public Sans" w:hAnsi="Public Sans" w:cs="Arial"/>
          <w:i/>
          <w:iCs/>
          <w:color w:val="FF0000"/>
        </w:rPr>
        <w:t xml:space="preserve"> </w:t>
      </w:r>
      <w:r w:rsidRPr="00410DAB">
        <w:rPr>
          <w:rFonts w:ascii="Public Sans" w:hAnsi="Public Sans" w:cs="Arial"/>
          <w:i/>
          <w:iCs/>
          <w:color w:val="000000" w:themeColor="text1"/>
        </w:rPr>
        <w:t xml:space="preserve">Policy </w:t>
      </w:r>
      <w:r w:rsidRPr="00410DAB">
        <w:rPr>
          <w:rFonts w:ascii="Public Sans" w:hAnsi="Public Sans" w:cs="Arial"/>
          <w:color w:val="000000" w:themeColor="text1"/>
        </w:rPr>
        <w:t>&lt;</w:t>
      </w:r>
      <w:hyperlink r:id="rId5" w:history="1">
        <w:r w:rsidRPr="00410DAB">
          <w:rPr>
            <w:rFonts w:ascii="Public Sans" w:hAnsi="Public Sans"/>
            <w:color w:val="146CFD"/>
            <w:u w:val="single"/>
          </w:rPr>
          <w:t>lawreform.nsw.gov.au/about-us/policy-documents/privacy-information-management.html</w:t>
        </w:r>
      </w:hyperlink>
      <w:r w:rsidRPr="00410DAB">
        <w:rPr>
          <w:rFonts w:ascii="Public Sans" w:hAnsi="Public Sans" w:cs="Arial"/>
          <w:color w:val="000000" w:themeColor="text1"/>
        </w:rPr>
        <w:t>&gt;.</w:t>
      </w:r>
    </w:p>
  </w:footnote>
  <w:footnote w:id="14">
    <w:p w14:paraId="6DAAB071" w14:textId="2DC7103E" w:rsidR="008D4914" w:rsidRPr="00410DAB" w:rsidRDefault="008D4914" w:rsidP="008D4914">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What We Do</w:t>
      </w:r>
      <w:r w:rsidRPr="00410DAB">
        <w:rPr>
          <w:rFonts w:ascii="Public Sans" w:hAnsi="Public Sans" w:cs="Arial"/>
          <w:i/>
          <w:iCs/>
          <w:color w:val="000000" w:themeColor="text1"/>
        </w:rPr>
        <w:t xml:space="preserve"> </w:t>
      </w:r>
      <w:r w:rsidRPr="00410DAB">
        <w:rPr>
          <w:rFonts w:ascii="Public Sans" w:hAnsi="Public Sans" w:cs="Arial"/>
        </w:rPr>
        <w:t>&lt;</w:t>
      </w:r>
      <w:hyperlink r:id="rId6" w:history="1">
        <w:r w:rsidRPr="00410DAB">
          <w:rPr>
            <w:rFonts w:ascii="Public Sans" w:hAnsi="Public Sans"/>
            <w:color w:val="146CFD"/>
            <w:u w:val="single"/>
          </w:rPr>
          <w:t>lawreform.nsw.gov.au/about-us/what-we-do.html</w:t>
        </w:r>
      </w:hyperlink>
      <w:r w:rsidRPr="00410DAB">
        <w:rPr>
          <w:rFonts w:ascii="Public Sans" w:hAnsi="Public Sans" w:cs="Arial"/>
        </w:rPr>
        <w:t>&gt;.</w:t>
      </w:r>
      <w:hyperlink r:id="rId7" w:history="1"/>
    </w:p>
  </w:footnote>
  <w:footnote w:id="15">
    <w:p w14:paraId="575FE084"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An earlier South Australian Act provided more limited protection against racial discrimination in certain areas, including the provision of services, accommodation and employment: </w:t>
      </w:r>
      <w:bookmarkStart w:id="52" w:name="_Hlk196206356"/>
      <w:r w:rsidRPr="00410DAB">
        <w:rPr>
          <w:rFonts w:ascii="Public Sans" w:hAnsi="Public Sans" w:cs="Arial"/>
          <w:i/>
          <w:iCs/>
        </w:rPr>
        <w:t>Prohibition of Discrimination Act 1966</w:t>
      </w:r>
      <w:r w:rsidRPr="00410DAB">
        <w:rPr>
          <w:rFonts w:ascii="Public Sans" w:hAnsi="Public Sans" w:cs="Arial"/>
        </w:rPr>
        <w:t xml:space="preserve"> (SA) s 3–8</w:t>
      </w:r>
      <w:bookmarkEnd w:id="52"/>
      <w:r w:rsidRPr="00410DAB">
        <w:rPr>
          <w:rFonts w:ascii="Public Sans" w:hAnsi="Public Sans" w:cs="Arial"/>
        </w:rPr>
        <w:t xml:space="preserve">, repealed by </w:t>
      </w:r>
      <w:r w:rsidRPr="00410DAB">
        <w:rPr>
          <w:rFonts w:ascii="Public Sans" w:hAnsi="Public Sans" w:cs="Arial"/>
          <w:i/>
          <w:iCs/>
        </w:rPr>
        <w:t>Racial Discrimination Act 1976</w:t>
      </w:r>
      <w:r w:rsidRPr="00410DAB">
        <w:rPr>
          <w:rFonts w:ascii="Public Sans" w:hAnsi="Public Sans" w:cs="Arial"/>
        </w:rPr>
        <w:t xml:space="preserve"> (SA) s 2.</w:t>
      </w:r>
    </w:p>
  </w:footnote>
  <w:footnote w:id="16">
    <w:p w14:paraId="23E822FA" w14:textId="77777777" w:rsidR="005E6EC4" w:rsidRPr="00410DAB" w:rsidRDefault="005E6EC4" w:rsidP="005E6EC4">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World Conference on Human Rights, </w:t>
      </w:r>
      <w:r w:rsidRPr="00410DAB">
        <w:rPr>
          <w:rFonts w:ascii="Public Sans" w:hAnsi="Public Sans" w:cs="Arial"/>
          <w:i/>
          <w:iCs/>
        </w:rPr>
        <w:t>Vienna Declaration and Programme of Action</w:t>
      </w:r>
      <w:r w:rsidRPr="00410DAB">
        <w:rPr>
          <w:rFonts w:ascii="Public Sans" w:hAnsi="Public Sans" w:cs="Arial"/>
        </w:rPr>
        <w:t>, UN Doc A/CONF.157/23 (25 June 1993) [5], endorsed by United Nations General Assembly, World Conference on Human Rights, GA Res 48/121, UNGAOR, UN Doc A/48/49 (20 December 1993) [5].</w:t>
      </w:r>
    </w:p>
  </w:footnote>
  <w:footnote w:id="17">
    <w:p w14:paraId="1B92A21F" w14:textId="77777777" w:rsidR="005E6EC4" w:rsidRPr="00410DAB" w:rsidRDefault="005E6EC4" w:rsidP="005E6EC4">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D Moeckli, </w:t>
      </w:r>
      <w:r w:rsidRPr="00410DAB">
        <w:rPr>
          <w:rFonts w:ascii="Public Sans" w:hAnsi="Public Sans" w:cs="Arial"/>
          <w:i/>
          <w:iCs/>
        </w:rPr>
        <w:t>Human Rights and Non-Discrimination in the War on Terror</w:t>
      </w:r>
      <w:r w:rsidRPr="00410DAB">
        <w:rPr>
          <w:rFonts w:ascii="Public Sans" w:hAnsi="Public Sans" w:cs="Arial"/>
        </w:rPr>
        <w:t xml:space="preserve"> (Oxford University Press, 2008) 57.</w:t>
      </w:r>
    </w:p>
  </w:footnote>
  <w:footnote w:id="18">
    <w:p w14:paraId="363FBCE6"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International Convention on the Elimination of All Forms of Racial Discrimination</w:t>
      </w:r>
      <w:r w:rsidRPr="00410DAB">
        <w:rPr>
          <w:rFonts w:ascii="Public Sans" w:hAnsi="Public Sans" w:cs="Arial"/>
        </w:rPr>
        <w:t>, 660 UNTS 195 (entered into force 4 January 1969) art 2(d).</w:t>
      </w:r>
    </w:p>
  </w:footnote>
  <w:footnote w:id="19">
    <w:p w14:paraId="463EA590"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International Convention on the Elimination of All Forms of Racial Discrimination</w:t>
      </w:r>
      <w:r w:rsidRPr="00410DAB">
        <w:rPr>
          <w:rFonts w:ascii="Public Sans" w:hAnsi="Public Sans" w:cs="Arial"/>
        </w:rPr>
        <w:t>, 660 UNTS 195 (entered into force 4 January 1969) art 1(1).</w:t>
      </w:r>
    </w:p>
  </w:footnote>
  <w:footnote w:id="20">
    <w:p w14:paraId="6C624F44"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Racial Discrimination Act</w:t>
      </w:r>
      <w:r w:rsidRPr="00410DAB">
        <w:rPr>
          <w:rFonts w:ascii="Public Sans" w:hAnsi="Public Sans" w:cs="Arial"/>
        </w:rPr>
        <w:t xml:space="preserve"> </w:t>
      </w:r>
      <w:r w:rsidRPr="00410DAB">
        <w:rPr>
          <w:rFonts w:ascii="Public Sans" w:hAnsi="Public Sans" w:cs="Arial"/>
          <w:i/>
          <w:iCs/>
        </w:rPr>
        <w:t>1975</w:t>
      </w:r>
      <w:r w:rsidRPr="00410DAB">
        <w:rPr>
          <w:rFonts w:ascii="Public Sans" w:hAnsi="Public Sans" w:cs="Arial"/>
        </w:rPr>
        <w:t xml:space="preserve"> (Cth) s 9(1).</w:t>
      </w:r>
    </w:p>
  </w:footnote>
  <w:footnote w:id="21">
    <w:p w14:paraId="1287C843"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International Covenant on Civil and Political Rights</w:t>
      </w:r>
      <w:r w:rsidRPr="00410DAB">
        <w:rPr>
          <w:rFonts w:ascii="Public Sans" w:hAnsi="Public Sans" w:cs="Arial"/>
        </w:rPr>
        <w:t xml:space="preserve">, 999 UNTS 171 (entered into force 23 March 1976) </w:t>
      </w:r>
      <w:r w:rsidRPr="00410DAB">
        <w:rPr>
          <w:rFonts w:ascii="Public Sans" w:hAnsi="Public Sans"/>
        </w:rPr>
        <w:t xml:space="preserve">art 2(1); </w:t>
      </w:r>
      <w:r w:rsidRPr="00410DAB">
        <w:rPr>
          <w:rFonts w:ascii="Public Sans" w:hAnsi="Public Sans" w:cs="Arial"/>
          <w:i/>
          <w:iCs/>
        </w:rPr>
        <w:t>International Covenant on Economic, Social and Cultural Rights</w:t>
      </w:r>
      <w:r w:rsidRPr="00410DAB">
        <w:rPr>
          <w:rFonts w:ascii="Public Sans" w:hAnsi="Public Sans" w:cs="Arial"/>
        </w:rPr>
        <w:t xml:space="preserve">, 993 UNTS 3 (entered into force 3 January 1976) </w:t>
      </w:r>
      <w:r w:rsidRPr="00410DAB">
        <w:rPr>
          <w:rFonts w:ascii="Public Sans" w:hAnsi="Public Sans"/>
        </w:rPr>
        <w:t>art 2(2).</w:t>
      </w:r>
    </w:p>
  </w:footnote>
  <w:footnote w:id="22">
    <w:p w14:paraId="7E1A5CD2"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International Covenant on Civil and Political Rights</w:t>
      </w:r>
      <w:r w:rsidRPr="00410DAB">
        <w:rPr>
          <w:rFonts w:ascii="Public Sans" w:hAnsi="Public Sans" w:cs="Arial"/>
        </w:rPr>
        <w:t>, 999 UNTS 171 (entered into force 23 March 1976) art 26.</w:t>
      </w:r>
    </w:p>
  </w:footnote>
  <w:footnote w:id="23">
    <w:p w14:paraId="5467E41E"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Convention on the Elimination of All Forms of Discrimination against Women</w:t>
      </w:r>
      <w:r w:rsidRPr="00410DAB">
        <w:rPr>
          <w:rFonts w:ascii="Public Sans" w:hAnsi="Public Sans" w:cs="Arial"/>
        </w:rPr>
        <w:t>, 1249 UNTS 13 (entered into force 3 September 1981).</w:t>
      </w:r>
    </w:p>
  </w:footnote>
  <w:footnote w:id="24">
    <w:p w14:paraId="30A7283E"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Convention on the Elimination of All Forms of Discrimination against Women</w:t>
      </w:r>
      <w:r w:rsidRPr="00410DAB">
        <w:rPr>
          <w:rFonts w:ascii="Public Sans" w:hAnsi="Public Sans" w:cs="Arial"/>
        </w:rPr>
        <w:t xml:space="preserve">, 1249 UNTS 13 (entered into force 3 September 1981) art 1. See also </w:t>
      </w:r>
      <w:bookmarkStart w:id="55" w:name="_Hlk194579701"/>
      <w:r w:rsidRPr="00410DAB">
        <w:rPr>
          <w:rFonts w:ascii="Public Sans" w:hAnsi="Public Sans" w:cs="Arial"/>
        </w:rPr>
        <w:t xml:space="preserve">Human Rights Committee, </w:t>
      </w:r>
      <w:r w:rsidRPr="00410DAB">
        <w:rPr>
          <w:rFonts w:ascii="Public Sans" w:hAnsi="Public Sans" w:cs="Arial"/>
          <w:i/>
          <w:iCs/>
        </w:rPr>
        <w:t>General Comment No 18 on Non-Discrimination</w:t>
      </w:r>
      <w:r w:rsidRPr="00410DAB">
        <w:rPr>
          <w:rFonts w:ascii="Public Sans" w:hAnsi="Public Sans" w:cs="Arial"/>
        </w:rPr>
        <w:t xml:space="preserve"> (10 November 1989) </w:t>
      </w:r>
      <w:bookmarkEnd w:id="55"/>
      <w:r w:rsidRPr="00410DAB">
        <w:rPr>
          <w:rFonts w:ascii="Public Sans" w:hAnsi="Public Sans" w:cs="Arial"/>
        </w:rPr>
        <w:t>[7].</w:t>
      </w:r>
    </w:p>
  </w:footnote>
  <w:footnote w:id="25">
    <w:p w14:paraId="17BFA818"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Sex Discrimination Act 1984</w:t>
      </w:r>
      <w:r w:rsidRPr="00410DAB">
        <w:rPr>
          <w:rFonts w:ascii="Public Sans" w:hAnsi="Public Sans" w:cs="Arial"/>
        </w:rPr>
        <w:t xml:space="preserve"> (Cth) s 3(a).</w:t>
      </w:r>
    </w:p>
  </w:footnote>
  <w:footnote w:id="26">
    <w:p w14:paraId="2EA064D4"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Convention on the Rights of the Child</w:t>
      </w:r>
      <w:r w:rsidRPr="00410DAB">
        <w:rPr>
          <w:rFonts w:ascii="Public Sans" w:hAnsi="Public Sans" w:cs="Arial"/>
        </w:rPr>
        <w:t xml:space="preserve">, 1577 UNTS 3 (entered into force 2 September 1990); </w:t>
      </w:r>
      <w:r w:rsidRPr="00410DAB">
        <w:rPr>
          <w:rFonts w:ascii="Public Sans" w:hAnsi="Public Sans" w:cs="Arial"/>
          <w:i/>
          <w:iCs/>
        </w:rPr>
        <w:t>Convention on the Rights of Persons with Disabilities</w:t>
      </w:r>
      <w:r w:rsidRPr="00410DAB">
        <w:rPr>
          <w:rFonts w:ascii="Public Sans" w:hAnsi="Public Sans" w:cs="Arial"/>
        </w:rPr>
        <w:t>, 2515 UNTS 3 (entered into force 3 May 2008).</w:t>
      </w:r>
    </w:p>
  </w:footnote>
  <w:footnote w:id="27">
    <w:p w14:paraId="5A48F720"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Convention on the Rights of Persons with Disabilities</w:t>
      </w:r>
      <w:r w:rsidRPr="00410DAB">
        <w:rPr>
          <w:rFonts w:ascii="Public Sans" w:hAnsi="Public Sans" w:cs="Arial"/>
        </w:rPr>
        <w:t>, 2515 UNTS 3 (entered into force 3 May 2008) art 5(1).</w:t>
      </w:r>
    </w:p>
  </w:footnote>
  <w:footnote w:id="28">
    <w:p w14:paraId="3C3D65DC"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Committee on the Rights of Persons with Disabilities, </w:t>
      </w:r>
      <w:r w:rsidRPr="00410DAB">
        <w:rPr>
          <w:rFonts w:ascii="Public Sans" w:hAnsi="Public Sans" w:cs="Arial"/>
          <w:i/>
          <w:iCs/>
        </w:rPr>
        <w:t>General Comment No 6 on Equality and Non-Discrimination</w:t>
      </w:r>
      <w:r w:rsidRPr="00410DAB">
        <w:rPr>
          <w:rFonts w:ascii="Public Sans" w:hAnsi="Public Sans" w:cs="Arial"/>
        </w:rPr>
        <w:t>, UN Doc CRPD/C/GC/6 (26 April 2018) [16].</w:t>
      </w:r>
    </w:p>
  </w:footnote>
  <w:footnote w:id="29">
    <w:p w14:paraId="1A797D98" w14:textId="77777777" w:rsidR="001F30E2" w:rsidRPr="00410DAB" w:rsidRDefault="001F30E2" w:rsidP="001F30E2">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D Allen, “An Evaluation of the Mechanisms Designed to Promote Substantive Equality in the </w:t>
      </w:r>
      <w:r w:rsidRPr="00410DAB">
        <w:rPr>
          <w:rFonts w:ascii="Public Sans" w:hAnsi="Public Sans" w:cs="Arial"/>
          <w:i/>
          <w:iCs/>
          <w:szCs w:val="18"/>
        </w:rPr>
        <w:t>Equal Opportunity Act 2010</w:t>
      </w:r>
      <w:r w:rsidRPr="00410DAB">
        <w:rPr>
          <w:rFonts w:ascii="Public Sans" w:hAnsi="Public Sans" w:cs="Arial"/>
          <w:szCs w:val="18"/>
        </w:rPr>
        <w:t xml:space="preserve"> (Vic)” (2020) 44 </w:t>
      </w:r>
      <w:r w:rsidRPr="00410DAB">
        <w:rPr>
          <w:rFonts w:ascii="Public Sans" w:hAnsi="Public Sans" w:cs="Arial"/>
          <w:i/>
          <w:iCs/>
          <w:szCs w:val="18"/>
        </w:rPr>
        <w:t>Melbourne University Law Review</w:t>
      </w:r>
      <w:r w:rsidRPr="00410DAB">
        <w:rPr>
          <w:rFonts w:ascii="Public Sans" w:hAnsi="Public Sans" w:cs="Arial"/>
          <w:szCs w:val="18"/>
        </w:rPr>
        <w:t xml:space="preserve"> 459, 464.</w:t>
      </w:r>
    </w:p>
  </w:footnote>
  <w:footnote w:id="30">
    <w:p w14:paraId="41D3ED6F" w14:textId="77777777" w:rsidR="001F30E2" w:rsidRPr="00410DAB" w:rsidRDefault="001F30E2" w:rsidP="001F30E2">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S Fredman, “Substantive Equality Revisited” (2016) 14 </w:t>
      </w:r>
      <w:r w:rsidRPr="00410DAB">
        <w:rPr>
          <w:rFonts w:ascii="Public Sans" w:hAnsi="Public Sans" w:cs="Arial"/>
          <w:i/>
          <w:iCs/>
          <w:color w:val="000000" w:themeColor="text1"/>
          <w:szCs w:val="18"/>
        </w:rPr>
        <w:t>International Journal of Constitutional Law</w:t>
      </w:r>
      <w:r w:rsidRPr="00410DAB">
        <w:rPr>
          <w:rFonts w:ascii="Public Sans" w:hAnsi="Public Sans" w:cs="Arial"/>
          <w:color w:val="000000" w:themeColor="text1"/>
          <w:szCs w:val="18"/>
        </w:rPr>
        <w:t xml:space="preserve"> 712, 718–20.</w:t>
      </w:r>
    </w:p>
  </w:footnote>
  <w:footnote w:id="31">
    <w:p w14:paraId="7A48A485"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szCs w:val="18"/>
        </w:rPr>
        <w:t xml:space="preserve">D Allen, “An Evaluation of the Mechanisms Designed to Promote Substantive Equality in the </w:t>
      </w:r>
      <w:r w:rsidRPr="00410DAB">
        <w:rPr>
          <w:rFonts w:ascii="Public Sans" w:hAnsi="Public Sans" w:cs="Arial"/>
          <w:i/>
          <w:iCs/>
          <w:szCs w:val="18"/>
        </w:rPr>
        <w:t>Equal Opportunity Act 2010</w:t>
      </w:r>
      <w:r w:rsidRPr="00410DAB">
        <w:rPr>
          <w:rFonts w:ascii="Public Sans" w:hAnsi="Public Sans" w:cs="Arial"/>
          <w:szCs w:val="18"/>
        </w:rPr>
        <w:t xml:space="preserve"> (Vic)” (2020) 44 </w:t>
      </w:r>
      <w:r w:rsidRPr="00410DAB">
        <w:rPr>
          <w:rFonts w:ascii="Public Sans" w:hAnsi="Public Sans" w:cs="Arial"/>
          <w:i/>
          <w:iCs/>
          <w:szCs w:val="18"/>
        </w:rPr>
        <w:t>Melbourne University Law Review</w:t>
      </w:r>
      <w:r w:rsidRPr="00410DAB">
        <w:rPr>
          <w:rFonts w:ascii="Public Sans" w:hAnsi="Public Sans" w:cs="Arial"/>
          <w:szCs w:val="18"/>
        </w:rPr>
        <w:t xml:space="preserve"> 459, 464.</w:t>
      </w:r>
    </w:p>
  </w:footnote>
  <w:footnote w:id="32">
    <w:p w14:paraId="4FDC836B" w14:textId="77777777" w:rsidR="001F30E2" w:rsidRPr="00410DAB" w:rsidRDefault="001F30E2" w:rsidP="001F30E2">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Discrimination Act 1991</w:t>
      </w:r>
      <w:r w:rsidRPr="00410DAB">
        <w:rPr>
          <w:rFonts w:ascii="Public Sans" w:hAnsi="Public Sans" w:cs="Arial"/>
          <w:szCs w:val="18"/>
        </w:rPr>
        <w:t xml:space="preserve"> (ACT) s 4(d); </w:t>
      </w:r>
      <w:r w:rsidRPr="00410DAB">
        <w:rPr>
          <w:rFonts w:ascii="Public Sans" w:hAnsi="Public Sans" w:cs="Arial"/>
          <w:i/>
          <w:iCs/>
          <w:szCs w:val="18"/>
        </w:rPr>
        <w:t>Equal Opportunity Act 2010</w:t>
      </w:r>
      <w:r w:rsidRPr="00410DAB">
        <w:rPr>
          <w:rFonts w:ascii="Public Sans" w:hAnsi="Public Sans" w:cs="Arial"/>
          <w:szCs w:val="18"/>
        </w:rPr>
        <w:t xml:space="preserve"> (Vic) s 3(d)(iii). </w:t>
      </w:r>
    </w:p>
  </w:footnote>
  <w:footnote w:id="33">
    <w:p w14:paraId="59AA7883"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OHCHR and the Equal Rights Trust, </w:t>
      </w:r>
      <w:r w:rsidRPr="00410DAB">
        <w:rPr>
          <w:rFonts w:ascii="Public Sans" w:hAnsi="Public Sans" w:cs="Arial"/>
          <w:i/>
          <w:iCs/>
        </w:rPr>
        <w:t>Protecting Minority Rights: A Practical Guide to Developing Comprehensive Anti-Discrimination Legislation</w:t>
      </w:r>
      <w:r w:rsidRPr="00410DAB">
        <w:rPr>
          <w:rFonts w:ascii="Public Sans" w:hAnsi="Public Sans" w:cs="Arial"/>
        </w:rPr>
        <w:t>, 2023, 51.</w:t>
      </w:r>
    </w:p>
  </w:footnote>
  <w:footnote w:id="34">
    <w:p w14:paraId="7BDE0EDB"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ACT Law Reform Advisory Council, </w:t>
      </w:r>
      <w:r w:rsidRPr="00410DAB">
        <w:rPr>
          <w:rFonts w:ascii="Public Sans" w:hAnsi="Public Sans" w:cs="Arial"/>
          <w:i/>
          <w:iCs/>
        </w:rPr>
        <w:t>Review of the Discrimination Act 1991 (ACT)</w:t>
      </w:r>
      <w:r w:rsidRPr="00410DAB">
        <w:rPr>
          <w:rFonts w:ascii="Public Sans" w:hAnsi="Public Sans" w:cs="Arial"/>
        </w:rPr>
        <w:t xml:space="preserve">, Final Report (2015) 99. See also </w:t>
      </w:r>
      <w:bookmarkStart w:id="58" w:name="_Hlk194495511"/>
      <w:r w:rsidRPr="00410DAB">
        <w:rPr>
          <w:rFonts w:ascii="Public Sans" w:hAnsi="Public Sans" w:cs="Arial"/>
        </w:rPr>
        <w:t xml:space="preserve">ACT, Legislative Assembly, </w:t>
      </w:r>
      <w:r w:rsidRPr="00410DAB">
        <w:rPr>
          <w:rFonts w:ascii="Public Sans" w:hAnsi="Public Sans" w:cs="Arial"/>
          <w:i/>
          <w:iCs/>
        </w:rPr>
        <w:t>Yoursay Listening Report:</w:t>
      </w:r>
      <w:r w:rsidRPr="00410DAB">
        <w:rPr>
          <w:rFonts w:ascii="Public Sans" w:hAnsi="Public Sans" w:cs="Arial"/>
        </w:rPr>
        <w:t xml:space="preserve"> </w:t>
      </w:r>
      <w:r w:rsidRPr="00410DAB">
        <w:rPr>
          <w:rFonts w:ascii="Public Sans" w:hAnsi="Public Sans" w:cs="Arial"/>
          <w:i/>
          <w:iCs/>
        </w:rPr>
        <w:t>Discrimination Law Reform</w:t>
      </w:r>
      <w:r w:rsidRPr="00410DAB">
        <w:rPr>
          <w:rFonts w:ascii="Public Sans" w:hAnsi="Public Sans" w:cs="Arial"/>
        </w:rPr>
        <w:t xml:space="preserve"> (2022) 4</w:t>
      </w:r>
      <w:bookmarkEnd w:id="58"/>
      <w:r w:rsidRPr="00410DAB">
        <w:rPr>
          <w:rFonts w:ascii="Public Sans" w:hAnsi="Public Sans" w:cs="Arial"/>
        </w:rPr>
        <w:t>.</w:t>
      </w:r>
    </w:p>
  </w:footnote>
  <w:footnote w:id="35">
    <w:p w14:paraId="10ECDC86"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Discrimination Act 1991 </w:t>
      </w:r>
      <w:r w:rsidRPr="00410DAB">
        <w:rPr>
          <w:rFonts w:ascii="Public Sans" w:hAnsi="Public Sans" w:cs="Arial"/>
        </w:rPr>
        <w:t>(ACT) s 33C(b).</w:t>
      </w:r>
    </w:p>
  </w:footnote>
  <w:footnote w:id="36">
    <w:p w14:paraId="69D4C8FC"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[6.2].</w:t>
      </w:r>
    </w:p>
  </w:footnote>
  <w:footnote w:id="37">
    <w:p w14:paraId="232F5041"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Style w:val="normaltextrun"/>
          <w:rFonts w:ascii="Public Sans" w:hAnsi="Public Sans"/>
          <w:color w:val="000000"/>
          <w:szCs w:val="18"/>
          <w:shd w:val="clear" w:color="auto" w:fill="FFFFFF"/>
        </w:rPr>
        <w:t xml:space="preserve">Queensland Human Rights Commission, </w:t>
      </w:r>
      <w:r w:rsidRPr="00410DAB">
        <w:rPr>
          <w:rStyle w:val="normaltextrun"/>
          <w:rFonts w:ascii="Public Sans" w:hAnsi="Public Sans"/>
          <w:i/>
          <w:iCs/>
          <w:color w:val="000000"/>
          <w:szCs w:val="18"/>
          <w:shd w:val="clear" w:color="auto" w:fill="FFFFFF"/>
        </w:rPr>
        <w:t xml:space="preserve">Building Belonging: Review of Queensland’s Anti-Discrimination Act 1991 </w:t>
      </w:r>
      <w:r w:rsidRPr="00410DAB">
        <w:rPr>
          <w:rStyle w:val="normaltextrun"/>
          <w:rFonts w:ascii="Public Sans" w:hAnsi="Public Sans"/>
          <w:color w:val="000000"/>
          <w:szCs w:val="18"/>
          <w:shd w:val="clear" w:color="auto" w:fill="FFFFFF"/>
        </w:rPr>
        <w:t>(2022)</w:t>
      </w:r>
      <w:r w:rsidRPr="00410DAB">
        <w:rPr>
          <w:rStyle w:val="eop"/>
          <w:rFonts w:ascii="Public Sans" w:hAnsi="Public Sans"/>
          <w:color w:val="000000"/>
          <w:szCs w:val="18"/>
          <w:shd w:val="clear" w:color="auto" w:fill="FFFFFF"/>
        </w:rPr>
        <w:t xml:space="preserve"> </w:t>
      </w:r>
      <w:r w:rsidRPr="00410DAB">
        <w:rPr>
          <w:rFonts w:ascii="Public Sans" w:hAnsi="Public Sans" w:cs="Arial"/>
          <w:szCs w:val="18"/>
        </w:rPr>
        <w:t>52.</w:t>
      </w:r>
    </w:p>
  </w:footnote>
  <w:footnote w:id="38">
    <w:p w14:paraId="692685E2"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3(c); </w:t>
      </w:r>
      <w:r w:rsidRPr="00410DAB">
        <w:rPr>
          <w:rFonts w:ascii="Public Sans" w:hAnsi="Public Sans" w:cs="Arial"/>
          <w:i/>
          <w:iCs/>
        </w:rPr>
        <w:t>Discrimination Act 1991</w:t>
      </w:r>
      <w:r w:rsidRPr="00410DAB">
        <w:rPr>
          <w:rFonts w:ascii="Public Sans" w:hAnsi="Public Sans" w:cs="Arial"/>
        </w:rPr>
        <w:t xml:space="preserve"> (ACT) s 4(c). </w:t>
      </w:r>
    </w:p>
  </w:footnote>
  <w:footnote w:id="39">
    <w:p w14:paraId="05EB18C1" w14:textId="13DAC359"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Justice Legislation Amendment (Anti-vilification and Social Cohesion) Act 2025</w:t>
      </w:r>
      <w:r w:rsidRPr="00410DAB">
        <w:rPr>
          <w:rFonts w:ascii="Public Sans" w:hAnsi="Public Sans" w:cs="Arial"/>
        </w:rPr>
        <w:t xml:space="preserve"> (Vic) s 1(ab).</w:t>
      </w:r>
    </w:p>
  </w:footnote>
  <w:footnote w:id="40">
    <w:p w14:paraId="27215BF0"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Australian Human Rights Commission Act 1986</w:t>
      </w:r>
      <w:r w:rsidRPr="00410DAB">
        <w:rPr>
          <w:rFonts w:ascii="Public Sans" w:hAnsi="Public Sans" w:cs="Arial"/>
        </w:rPr>
        <w:t xml:space="preserve"> (Cth) s 35L.</w:t>
      </w:r>
    </w:p>
  </w:footnote>
  <w:footnote w:id="41">
    <w:p w14:paraId="45D0C607"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Age Discrimination Act 2004</w:t>
      </w:r>
      <w:r w:rsidRPr="00410DAB">
        <w:rPr>
          <w:rFonts w:ascii="Public Sans" w:hAnsi="Public Sans" w:cs="Arial"/>
        </w:rPr>
        <w:t xml:space="preserve"> (Cth) s 12(2); </w:t>
      </w:r>
      <w:r w:rsidRPr="00410DAB">
        <w:rPr>
          <w:rFonts w:ascii="Public Sans" w:hAnsi="Public Sans" w:cs="Arial"/>
          <w:i/>
          <w:iCs/>
        </w:rPr>
        <w:t>Disability Discrimination Act 1992</w:t>
      </w:r>
      <w:r w:rsidRPr="00410DAB">
        <w:rPr>
          <w:rFonts w:ascii="Public Sans" w:hAnsi="Public Sans" w:cs="Arial"/>
        </w:rPr>
        <w:t xml:space="preserve"> (Cth) s 13(3); </w:t>
      </w:r>
      <w:r w:rsidRPr="00410DAB">
        <w:rPr>
          <w:rFonts w:ascii="Public Sans" w:hAnsi="Public Sans" w:cs="Arial"/>
          <w:i/>
          <w:iCs/>
        </w:rPr>
        <w:t xml:space="preserve">Racial Discrimination Act 1975 </w:t>
      </w:r>
      <w:r w:rsidRPr="00410DAB">
        <w:rPr>
          <w:rFonts w:ascii="Public Sans" w:hAnsi="Public Sans" w:cs="Arial"/>
        </w:rPr>
        <w:t xml:space="preserve">(Cth) s 6A(1); </w:t>
      </w:r>
      <w:r w:rsidRPr="00410DAB">
        <w:rPr>
          <w:rFonts w:ascii="Public Sans" w:hAnsi="Public Sans" w:cs="Arial"/>
          <w:i/>
          <w:iCs/>
        </w:rPr>
        <w:t>Sex Discrimination Act 1984</w:t>
      </w:r>
      <w:r w:rsidRPr="00410DAB">
        <w:rPr>
          <w:rFonts w:ascii="Public Sans" w:hAnsi="Public Sans" w:cs="Arial"/>
        </w:rPr>
        <w:t xml:space="preserve"> (Cth) s 10(3).</w:t>
      </w:r>
    </w:p>
  </w:footnote>
  <w:footnote w:id="42">
    <w:p w14:paraId="7549CB17"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Australian Human Rights Commission Act 1986 </w:t>
      </w:r>
      <w:r w:rsidRPr="00410DAB">
        <w:rPr>
          <w:rFonts w:ascii="Public Sans" w:hAnsi="Public Sans" w:cs="Arial"/>
        </w:rPr>
        <w:t>(Cth) s 11(1)(aa), s 46PO.</w:t>
      </w:r>
    </w:p>
  </w:footnote>
  <w:footnote w:id="43">
    <w:p w14:paraId="2B011550" w14:textId="77777777" w:rsidR="001F30E2" w:rsidRPr="00410DAB" w:rsidRDefault="001F30E2" w:rsidP="001F30E2">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88B(1).</w:t>
      </w:r>
    </w:p>
  </w:footnote>
  <w:footnote w:id="44">
    <w:p w14:paraId="639B5D86" w14:textId="77777777" w:rsidR="001F30E2" w:rsidRPr="00410DAB" w:rsidRDefault="001F30E2" w:rsidP="001F30E2">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Racial Discrimination Act 1975</w:t>
      </w:r>
      <w:r w:rsidRPr="00410DAB">
        <w:rPr>
          <w:rFonts w:ascii="Public Sans" w:hAnsi="Public Sans" w:cs="Arial"/>
          <w:szCs w:val="18"/>
        </w:rPr>
        <w:t xml:space="preserve"> (Cth) s 15; </w:t>
      </w:r>
      <w:r w:rsidRPr="00410DAB">
        <w:rPr>
          <w:rFonts w:ascii="Public Sans" w:hAnsi="Public Sans" w:cs="Arial"/>
          <w:i/>
          <w:iCs/>
          <w:szCs w:val="18"/>
        </w:rPr>
        <w:t>Anti-Discrimination Act 1977</w:t>
      </w:r>
      <w:r w:rsidRPr="00410DAB">
        <w:rPr>
          <w:rFonts w:ascii="Public Sans" w:hAnsi="Public Sans" w:cs="Arial"/>
          <w:szCs w:val="18"/>
        </w:rPr>
        <w:t xml:space="preserve"> (NSW) s 8.</w:t>
      </w:r>
    </w:p>
  </w:footnote>
  <w:footnote w:id="45">
    <w:p w14:paraId="5A5FD81C"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Sex Discrimination Act 1984 </w:t>
      </w:r>
      <w:r w:rsidRPr="00410DAB">
        <w:rPr>
          <w:rFonts w:ascii="Public Sans" w:hAnsi="Public Sans" w:cs="Arial"/>
        </w:rPr>
        <w:t>(Cth) s 4(1) definition of “gender identity”, definition of “sexual orientation”, s 5A, s 5B.</w:t>
      </w:r>
    </w:p>
  </w:footnote>
  <w:footnote w:id="46">
    <w:p w14:paraId="29F2A2BC"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Australian Human Rights Commission Act 1986</w:t>
      </w:r>
      <w:r w:rsidRPr="00410DAB">
        <w:rPr>
          <w:rFonts w:ascii="Public Sans" w:hAnsi="Public Sans"/>
        </w:rPr>
        <w:t xml:space="preserve"> (Cth) s 31.</w:t>
      </w:r>
    </w:p>
  </w:footnote>
  <w:footnote w:id="47">
    <w:p w14:paraId="5C59C3BD"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Australian Human Rights Commission Act 1986</w:t>
      </w:r>
      <w:r w:rsidRPr="00410DAB">
        <w:rPr>
          <w:rFonts w:ascii="Public Sans" w:hAnsi="Public Sans"/>
        </w:rPr>
        <w:t xml:space="preserve"> (Cth) s 35L.</w:t>
      </w:r>
    </w:p>
  </w:footnote>
  <w:footnote w:id="48">
    <w:p w14:paraId="7AB70166"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Australian Human Rights Commission Act 1986</w:t>
      </w:r>
      <w:r w:rsidRPr="00410DAB">
        <w:rPr>
          <w:rFonts w:ascii="Public Sans" w:hAnsi="Public Sans"/>
        </w:rPr>
        <w:t xml:space="preserve"> (Cth) s 11(1)(f).</w:t>
      </w:r>
    </w:p>
  </w:footnote>
  <w:footnote w:id="49">
    <w:p w14:paraId="59BD9ACB"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Australian Human Rights Commission Act 1986</w:t>
      </w:r>
      <w:r w:rsidRPr="00410DAB">
        <w:rPr>
          <w:rFonts w:ascii="Public Sans" w:hAnsi="Public Sans"/>
        </w:rPr>
        <w:t xml:space="preserve"> (Cth) s 3(1) definition of “discrimination”, definition of “human rights”;</w:t>
      </w:r>
      <w:r w:rsidRPr="00410DAB">
        <w:rPr>
          <w:rFonts w:ascii="Public Sans" w:hAnsi="Public Sans" w:cs="Arial"/>
        </w:rPr>
        <w:t xml:space="preserve"> </w:t>
      </w:r>
      <w:r w:rsidRPr="00410DAB">
        <w:rPr>
          <w:rFonts w:ascii="Public Sans" w:hAnsi="Public Sans"/>
          <w:i/>
          <w:iCs/>
        </w:rPr>
        <w:t xml:space="preserve">Australian Human Rights Commission </w:t>
      </w:r>
      <w:r w:rsidRPr="00410DAB">
        <w:rPr>
          <w:rFonts w:ascii="Public Sans" w:hAnsi="Public Sans" w:cs="Arial"/>
          <w:i/>
          <w:iCs/>
        </w:rPr>
        <w:t>Regulations 2019</w:t>
      </w:r>
      <w:r w:rsidRPr="00410DAB">
        <w:rPr>
          <w:rFonts w:ascii="Public Sans" w:hAnsi="Public Sans" w:cs="Arial"/>
        </w:rPr>
        <w:t xml:space="preserve"> (Cth) reg 6.</w:t>
      </w:r>
    </w:p>
  </w:footnote>
  <w:footnote w:id="50">
    <w:p w14:paraId="59E83795"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w:t>
      </w:r>
      <w:r w:rsidRPr="00410DAB">
        <w:rPr>
          <w:rFonts w:ascii="Public Sans" w:hAnsi="Public Sans" w:cs="Arial"/>
          <w:i/>
          <w:iCs/>
        </w:rPr>
        <w:t>Anti-Discrimination Act 1992</w:t>
      </w:r>
      <w:r w:rsidRPr="00410DAB">
        <w:rPr>
          <w:rFonts w:ascii="Public Sans" w:hAnsi="Public Sans" w:cs="Arial"/>
        </w:rPr>
        <w:t xml:space="preserve"> (NT); </w:t>
      </w:r>
      <w:r w:rsidRPr="00410DAB">
        <w:rPr>
          <w:rFonts w:ascii="Public Sans" w:hAnsi="Public Sans" w:cs="Arial"/>
          <w:i/>
          <w:iCs/>
        </w:rPr>
        <w:t>Anti-Discrimination Act 1991</w:t>
      </w:r>
      <w:r w:rsidRPr="00410DAB">
        <w:rPr>
          <w:rFonts w:ascii="Public Sans" w:hAnsi="Public Sans" w:cs="Arial"/>
        </w:rPr>
        <w:t xml:space="preserve"> (Qld); </w:t>
      </w:r>
      <w:r w:rsidRPr="00410DAB">
        <w:rPr>
          <w:rFonts w:ascii="Public Sans" w:hAnsi="Public Sans" w:cs="Arial"/>
          <w:i/>
          <w:iCs/>
        </w:rPr>
        <w:t>Equal Opportunity Act 1984</w:t>
      </w:r>
      <w:r w:rsidRPr="00410DAB">
        <w:rPr>
          <w:rFonts w:ascii="Public Sans" w:hAnsi="Public Sans" w:cs="Arial"/>
        </w:rPr>
        <w:t xml:space="preserve"> (SA); </w:t>
      </w:r>
      <w:r w:rsidRPr="00410DAB">
        <w:rPr>
          <w:rFonts w:ascii="Public Sans" w:hAnsi="Public Sans" w:cs="Arial"/>
          <w:i/>
          <w:iCs/>
        </w:rPr>
        <w:t>Anti-Discrimination Act 1998</w:t>
      </w:r>
      <w:r w:rsidRPr="00410DAB">
        <w:rPr>
          <w:rFonts w:ascii="Public Sans" w:hAnsi="Public Sans" w:cs="Arial"/>
        </w:rPr>
        <w:t xml:space="preserve"> (Tas); </w:t>
      </w:r>
      <w:r w:rsidRPr="00410DAB">
        <w:rPr>
          <w:rFonts w:ascii="Public Sans" w:hAnsi="Public Sans" w:cs="Arial"/>
          <w:i/>
          <w:iCs/>
        </w:rPr>
        <w:t>Equal Opportunity Act 2010</w:t>
      </w:r>
      <w:r w:rsidRPr="00410DAB">
        <w:rPr>
          <w:rFonts w:ascii="Public Sans" w:hAnsi="Public Sans" w:cs="Arial"/>
        </w:rPr>
        <w:t xml:space="preserve"> (Vic); </w:t>
      </w:r>
      <w:r w:rsidRPr="00410DAB">
        <w:rPr>
          <w:rFonts w:ascii="Public Sans" w:hAnsi="Public Sans" w:cs="Arial"/>
          <w:i/>
          <w:iCs/>
        </w:rPr>
        <w:t>Equal Opportunity Act 1984</w:t>
      </w:r>
      <w:r w:rsidRPr="00410DAB">
        <w:rPr>
          <w:rFonts w:ascii="Public Sans" w:hAnsi="Public Sans" w:cs="Arial"/>
        </w:rPr>
        <w:t xml:space="preserve"> (WA).</w:t>
      </w:r>
    </w:p>
  </w:footnote>
  <w:footnote w:id="51">
    <w:p w14:paraId="3CA9472A"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Human Rights Act 2019</w:t>
      </w:r>
      <w:r w:rsidRPr="00410DAB">
        <w:rPr>
          <w:rFonts w:ascii="Public Sans" w:hAnsi="Public Sans" w:cs="Arial"/>
        </w:rPr>
        <w:t xml:space="preserve"> (Qld) s 8; </w:t>
      </w:r>
      <w:r w:rsidRPr="00410DAB">
        <w:rPr>
          <w:rFonts w:ascii="Public Sans" w:hAnsi="Public Sans" w:cs="Arial"/>
          <w:i/>
          <w:iCs/>
        </w:rPr>
        <w:t>Charter of Human Rights and Responsibilities Act 2006</w:t>
      </w:r>
      <w:r w:rsidRPr="00410DAB">
        <w:rPr>
          <w:rFonts w:ascii="Public Sans" w:hAnsi="Public Sans" w:cs="Arial"/>
        </w:rPr>
        <w:t xml:space="preserve"> (Vic) s 15; </w:t>
      </w:r>
      <w:r w:rsidRPr="00410DAB">
        <w:rPr>
          <w:rFonts w:ascii="Public Sans" w:hAnsi="Public Sans" w:cs="Arial"/>
          <w:i/>
          <w:iCs/>
        </w:rPr>
        <w:t>Human Rights Act 2004</w:t>
      </w:r>
      <w:r w:rsidRPr="00410DAB">
        <w:rPr>
          <w:rFonts w:ascii="Public Sans" w:hAnsi="Public Sans" w:cs="Arial"/>
        </w:rPr>
        <w:t xml:space="preserve"> (ACT) s 8. </w:t>
      </w:r>
    </w:p>
  </w:footnote>
  <w:footnote w:id="52">
    <w:p w14:paraId="451BEFA6"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 xml:space="preserve">. </w:t>
      </w:r>
      <w:r w:rsidRPr="00410DAB">
        <w:rPr>
          <w:rFonts w:ascii="Public Sans" w:hAnsi="Public Sans" w:cs="Arial"/>
        </w:rPr>
        <w:tab/>
      </w:r>
      <w:bookmarkStart w:id="64" w:name="_Hlk194582373"/>
      <w:r w:rsidRPr="00410DAB">
        <w:rPr>
          <w:rFonts w:ascii="Public Sans" w:hAnsi="Public Sans" w:cs="Arial"/>
        </w:rPr>
        <w:t xml:space="preserve">Parliament of Australia, Parliamentary Joint Committee on Human Rights, </w:t>
      </w:r>
      <w:r w:rsidRPr="00410DAB">
        <w:rPr>
          <w:rFonts w:ascii="Public Sans" w:hAnsi="Public Sans" w:cs="Arial"/>
          <w:i/>
          <w:iCs/>
        </w:rPr>
        <w:t>Inquiry into Australia's Human Rights Framework</w:t>
      </w:r>
      <w:r w:rsidRPr="00410DAB">
        <w:rPr>
          <w:rFonts w:ascii="Public Sans" w:hAnsi="Public Sans" w:cs="Arial"/>
        </w:rPr>
        <w:t xml:space="preserve"> (2024) rec 1. </w:t>
      </w:r>
      <w:bookmarkEnd w:id="64"/>
    </w:p>
  </w:footnote>
  <w:footnote w:id="53">
    <w:p w14:paraId="5BC58187"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66" w:name="_Hlk194590282"/>
      <w:r w:rsidRPr="00410DAB">
        <w:rPr>
          <w:rFonts w:ascii="Public Sans" w:hAnsi="Public Sans" w:cs="Arial"/>
        </w:rPr>
        <w:t xml:space="preserve">See generally G Williams and D Hume, </w:t>
      </w:r>
      <w:r w:rsidRPr="00410DAB">
        <w:rPr>
          <w:rFonts w:ascii="Public Sans" w:hAnsi="Public Sans" w:cs="Arial"/>
          <w:i/>
          <w:iCs/>
        </w:rPr>
        <w:t>Human Rights under the Australian Constitution</w:t>
      </w:r>
      <w:r w:rsidRPr="00410DAB">
        <w:rPr>
          <w:rFonts w:ascii="Public Sans" w:hAnsi="Public Sans" w:cs="Arial"/>
        </w:rPr>
        <w:t xml:space="preserve"> (Oxford University Press, 2nd ed, 2013)</w:t>
      </w:r>
      <w:bookmarkEnd w:id="66"/>
      <w:r w:rsidRPr="00410DAB">
        <w:rPr>
          <w:rFonts w:ascii="Public Sans" w:hAnsi="Public Sans" w:cs="Arial"/>
        </w:rPr>
        <w:t xml:space="preserve">. </w:t>
      </w:r>
    </w:p>
  </w:footnote>
  <w:footnote w:id="54">
    <w:p w14:paraId="43070A29"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Fair Work Act 2009</w:t>
      </w:r>
      <w:r w:rsidRPr="00410DAB">
        <w:rPr>
          <w:rFonts w:ascii="Public Sans" w:hAnsi="Public Sans" w:cs="Arial"/>
        </w:rPr>
        <w:t xml:space="preserve"> (Cth) s 342, s 351, s 772(1).</w:t>
      </w:r>
    </w:p>
  </w:footnote>
  <w:footnote w:id="55">
    <w:p w14:paraId="001D92E0" w14:textId="77777777" w:rsidR="001F30E2" w:rsidRPr="00410DAB" w:rsidRDefault="001F30E2" w:rsidP="001F30E2">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 xml:space="preserve">Fair Work Act 2009 </w:t>
      </w:r>
      <w:r w:rsidRPr="00410DAB">
        <w:rPr>
          <w:rFonts w:ascii="Public Sans" w:hAnsi="Public Sans" w:cs="Arial"/>
          <w:szCs w:val="18"/>
        </w:rPr>
        <w:t>(Cth) s 527D.</w:t>
      </w:r>
    </w:p>
  </w:footnote>
  <w:footnote w:id="56">
    <w:p w14:paraId="099855E6" w14:textId="77777777" w:rsidR="001F30E2" w:rsidRPr="00410DAB" w:rsidRDefault="001F30E2" w:rsidP="001F30E2">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 xml:space="preserve">Industrial Relations (Commonwealth Powers) Act 2009 </w:t>
      </w:r>
      <w:r w:rsidRPr="00410DAB">
        <w:rPr>
          <w:rFonts w:ascii="Public Sans" w:hAnsi="Public Sans" w:cs="Arial"/>
          <w:szCs w:val="18"/>
        </w:rPr>
        <w:t xml:space="preserve">(NSW) s 6(c), s 6(f). See, eg, </w:t>
      </w:r>
      <w:r w:rsidRPr="00410DAB">
        <w:rPr>
          <w:rFonts w:ascii="Public Sans" w:hAnsi="Public Sans" w:cs="Arial"/>
          <w:i/>
          <w:iCs/>
          <w:szCs w:val="18"/>
        </w:rPr>
        <w:t>AB</w:t>
      </w:r>
      <w:r w:rsidRPr="00410DAB">
        <w:rPr>
          <w:rFonts w:ascii="Public Sans" w:hAnsi="Public Sans" w:cs="Arial"/>
          <w:szCs w:val="18"/>
        </w:rPr>
        <w:t xml:space="preserve"> [2014] FWC 6723.</w:t>
      </w:r>
    </w:p>
  </w:footnote>
  <w:footnote w:id="57">
    <w:p w14:paraId="342406B7"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szCs w:val="18"/>
        </w:rPr>
        <w:t xml:space="preserve">Work Health and Safety Act 2011 </w:t>
      </w:r>
      <w:r w:rsidRPr="00410DAB">
        <w:rPr>
          <w:rFonts w:ascii="Public Sans" w:hAnsi="Public Sans" w:cs="Arial"/>
          <w:szCs w:val="18"/>
        </w:rPr>
        <w:t xml:space="preserve">(NSW) s 19; </w:t>
      </w:r>
      <w:r w:rsidRPr="00410DAB">
        <w:rPr>
          <w:rFonts w:ascii="Public Sans" w:hAnsi="Public Sans" w:cs="Arial"/>
          <w:i/>
          <w:iCs/>
          <w:szCs w:val="18"/>
        </w:rPr>
        <w:t>Work Health and Safety Regulation 2017</w:t>
      </w:r>
      <w:r w:rsidRPr="00410DAB">
        <w:rPr>
          <w:rFonts w:ascii="Public Sans" w:hAnsi="Public Sans" w:cs="Arial"/>
          <w:szCs w:val="18"/>
        </w:rPr>
        <w:t xml:space="preserve"> (NSW) cl 55D.</w:t>
      </w:r>
    </w:p>
  </w:footnote>
  <w:footnote w:id="58">
    <w:p w14:paraId="65225823" w14:textId="77777777" w:rsidR="001F30E2" w:rsidRPr="00410DAB" w:rsidRDefault="001F30E2" w:rsidP="001F30E2">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SafeWork NSW, </w:t>
      </w:r>
      <w:r w:rsidRPr="00410DAB">
        <w:rPr>
          <w:rFonts w:ascii="Public Sans" w:hAnsi="Public Sans" w:cs="Arial"/>
          <w:i/>
          <w:iCs/>
          <w:szCs w:val="18"/>
        </w:rPr>
        <w:t>Code of Practice: Managing Psychosocial Hazards at Work</w:t>
      </w:r>
      <w:r w:rsidRPr="00410DAB">
        <w:rPr>
          <w:rFonts w:ascii="Public Sans" w:hAnsi="Public Sans" w:cs="Arial"/>
          <w:szCs w:val="18"/>
          <w:vertAlign w:val="superscript"/>
        </w:rPr>
        <w:t xml:space="preserve"> </w:t>
      </w:r>
      <w:r w:rsidRPr="00410DAB">
        <w:rPr>
          <w:rFonts w:ascii="Public Sans" w:hAnsi="Public Sans" w:cs="Arial"/>
          <w:szCs w:val="18"/>
        </w:rPr>
        <w:t xml:space="preserve">(2021) 8. </w:t>
      </w:r>
    </w:p>
  </w:footnote>
  <w:footnote w:id="59">
    <w:p w14:paraId="719C141C" w14:textId="5E8FA45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Ombudsman “Complaints We Can Help You With” (2025) &lt;</w:t>
      </w:r>
      <w:hyperlink r:id="rId8" w:history="1">
        <w:r w:rsidRPr="00410DAB">
          <w:rPr>
            <w:rStyle w:val="Hyperlink"/>
            <w:rFonts w:ascii="Public Sans" w:hAnsi="Public Sans" w:cs="Arial"/>
          </w:rPr>
          <w:t>www.ombo.nsw.gov.au/complaints/complaints-we-can-help-you-with</w:t>
        </w:r>
      </w:hyperlink>
      <w:r w:rsidRPr="00410DAB">
        <w:rPr>
          <w:rFonts w:ascii="Public Sans" w:hAnsi="Public Sans" w:cs="Arial"/>
        </w:rPr>
        <w:t>&gt; (retrieved 3 April 2025).</w:t>
      </w:r>
    </w:p>
  </w:footnote>
  <w:footnote w:id="60">
    <w:p w14:paraId="0BBC7328" w14:textId="0BA7C021"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75" w:name="_Hlk194663423"/>
      <w:r w:rsidRPr="00410DAB">
        <w:rPr>
          <w:rFonts w:ascii="Public Sans" w:hAnsi="Public Sans" w:cs="Arial"/>
          <w:i/>
          <w:iCs/>
        </w:rPr>
        <w:t>Crimes Amendment (Inciting Racial Hatred) Act 2025</w:t>
      </w:r>
      <w:r w:rsidRPr="00410DAB">
        <w:rPr>
          <w:rFonts w:ascii="Public Sans" w:hAnsi="Public Sans" w:cs="Arial"/>
        </w:rPr>
        <w:t xml:space="preserve"> (NSW) sch 1</w:t>
      </w:r>
      <w:r w:rsidR="005C3A0C">
        <w:rPr>
          <w:rFonts w:ascii="Public Sans" w:hAnsi="Public Sans" w:cs="Arial"/>
        </w:rPr>
        <w:t xml:space="preserve">, </w:t>
      </w:r>
      <w:r w:rsidR="005C3A0C" w:rsidRPr="00410DAB">
        <w:rPr>
          <w:rFonts w:ascii="Public Sans" w:hAnsi="Public Sans" w:cs="Arial"/>
        </w:rPr>
        <w:t xml:space="preserve">inserting </w:t>
      </w:r>
      <w:r w:rsidR="005C3A0C" w:rsidRPr="00410DAB">
        <w:rPr>
          <w:rFonts w:ascii="Public Sans" w:hAnsi="Public Sans" w:cs="Arial"/>
          <w:i/>
          <w:iCs/>
        </w:rPr>
        <w:t xml:space="preserve">Crimes Act 1900 </w:t>
      </w:r>
      <w:r w:rsidR="005C3A0C" w:rsidRPr="00410DAB">
        <w:rPr>
          <w:rFonts w:ascii="Public Sans" w:hAnsi="Public Sans" w:cs="Arial"/>
        </w:rPr>
        <w:t>(NSW) s 93ZAA (uncommenced)</w:t>
      </w:r>
      <w:r w:rsidR="005C3A0C">
        <w:rPr>
          <w:rFonts w:ascii="Public Sans" w:hAnsi="Public Sans" w:cs="Arial"/>
        </w:rPr>
        <w:t>.</w:t>
      </w:r>
      <w:bookmarkEnd w:id="75"/>
    </w:p>
  </w:footnote>
  <w:footnote w:id="61">
    <w:p w14:paraId="579A781B" w14:textId="77777777" w:rsidR="001F30E2" w:rsidRPr="00410DAB" w:rsidRDefault="001F30E2" w:rsidP="001F30E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Criminal Code</w:t>
      </w:r>
      <w:r w:rsidRPr="00410DAB">
        <w:rPr>
          <w:rFonts w:ascii="Public Sans" w:hAnsi="Public Sans" w:cs="Arial"/>
        </w:rPr>
        <w:t xml:space="preserve"> (Cth) s 80.2A, s 80.2B; </w:t>
      </w:r>
      <w:r w:rsidRPr="00410DAB">
        <w:rPr>
          <w:rFonts w:ascii="Public Sans" w:hAnsi="Public Sans"/>
          <w:i/>
          <w:iCs/>
        </w:rPr>
        <w:t xml:space="preserve">Racial Discrimination Act 1975 </w:t>
      </w:r>
      <w:r w:rsidRPr="00410DAB">
        <w:rPr>
          <w:rFonts w:ascii="Public Sans" w:hAnsi="Public Sans"/>
        </w:rPr>
        <w:t>(Cth)</w:t>
      </w:r>
      <w:r w:rsidRPr="00410DAB">
        <w:rPr>
          <w:rFonts w:ascii="Public Sans" w:hAnsi="Public Sans" w:cs="Arial"/>
        </w:rPr>
        <w:t xml:space="preserve"> s 18C.</w:t>
      </w:r>
    </w:p>
  </w:footnote>
  <w:footnote w:id="62">
    <w:p w14:paraId="276FC2DD"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8(1).</w:t>
      </w:r>
    </w:p>
  </w:footnote>
  <w:footnote w:id="63">
    <w:p w14:paraId="0593653E"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Anti-Discrimination Act 1977</w:t>
      </w:r>
      <w:r w:rsidRPr="00410DAB">
        <w:rPr>
          <w:rFonts w:ascii="Public Sans" w:hAnsi="Public Sans" w:cs="Arial"/>
          <w:color w:val="000000" w:themeColor="text1"/>
        </w:rPr>
        <w:t xml:space="preserve"> (NSW) </w:t>
      </w:r>
      <w:r w:rsidRPr="00410DAB">
        <w:rPr>
          <w:rFonts w:ascii="Public Sans" w:hAnsi="Public Sans"/>
          <w:color w:val="000000" w:themeColor="text1"/>
        </w:rPr>
        <w:t>s 49ZYB(2)(b).</w:t>
      </w:r>
    </w:p>
  </w:footnote>
  <w:footnote w:id="64">
    <w:p w14:paraId="029F9D8C" w14:textId="77777777" w:rsidR="008D695B" w:rsidRPr="007D395D"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i/>
          <w:iCs/>
        </w:rPr>
        <w:t>Disability Discrimination Act 1992</w:t>
      </w:r>
      <w:r w:rsidRPr="00410DAB">
        <w:rPr>
          <w:rFonts w:ascii="Public Sans" w:hAnsi="Public Sans" w:cs="Arial"/>
        </w:rPr>
        <w:t xml:space="preserve"> (Cth) s 5(1); </w:t>
      </w:r>
      <w:r w:rsidRPr="00410DAB">
        <w:rPr>
          <w:rFonts w:ascii="Public Sans" w:hAnsi="Public Sans" w:cs="Arial"/>
          <w:i/>
          <w:iCs/>
        </w:rPr>
        <w:t xml:space="preserve">Sex Discrimination Act 1984 </w:t>
      </w:r>
      <w:r w:rsidRPr="00410DAB">
        <w:rPr>
          <w:rFonts w:ascii="Public Sans" w:hAnsi="Public Sans" w:cs="Arial"/>
        </w:rPr>
        <w:t xml:space="preserve">(Cth) s 5(1); </w:t>
      </w:r>
      <w:r w:rsidRPr="00410DAB">
        <w:rPr>
          <w:rFonts w:ascii="Public Sans" w:hAnsi="Public Sans" w:cs="Arial"/>
          <w:i/>
          <w:iCs/>
        </w:rPr>
        <w:t>Age Discrimination Act 2004</w:t>
      </w:r>
      <w:r w:rsidRPr="00410DAB">
        <w:rPr>
          <w:rFonts w:ascii="Public Sans" w:hAnsi="Public Sans" w:cs="Arial"/>
        </w:rPr>
        <w:t xml:space="preserve"> (Cth) s 14; </w:t>
      </w:r>
      <w:r w:rsidRPr="00410DAB">
        <w:rPr>
          <w:rFonts w:ascii="Public Sans" w:hAnsi="Public Sans" w:cs="Arial"/>
          <w:i/>
          <w:iCs/>
        </w:rPr>
        <w:t>Equal Opportunity Act 1984</w:t>
      </w:r>
      <w:r w:rsidRPr="00410DAB">
        <w:rPr>
          <w:rFonts w:ascii="Public Sans" w:hAnsi="Public Sans" w:cs="Arial"/>
        </w:rPr>
        <w:t xml:space="preserve"> (WA) s 8–10A; </w:t>
      </w:r>
      <w:r w:rsidRPr="00410DAB">
        <w:rPr>
          <w:rFonts w:ascii="Public Sans" w:hAnsi="Public Sans" w:cs="Arial"/>
          <w:i/>
          <w:iCs/>
        </w:rPr>
        <w:t>Equal Opportunity Act 1984</w:t>
      </w:r>
      <w:r w:rsidRPr="00410DAB">
        <w:rPr>
          <w:rFonts w:ascii="Public Sans" w:hAnsi="Public Sans" w:cs="Arial"/>
        </w:rPr>
        <w:t xml:space="preserve"> (SA) s 6(3); </w:t>
      </w:r>
      <w:r w:rsidRPr="00410DAB">
        <w:rPr>
          <w:rFonts w:ascii="Public Sans" w:hAnsi="Public Sans" w:cs="Arial"/>
          <w:i/>
          <w:iCs/>
        </w:rPr>
        <w:t>Anti-Discrimination Act 1992</w:t>
      </w:r>
      <w:r w:rsidRPr="00410DAB">
        <w:rPr>
          <w:rFonts w:ascii="Public Sans" w:hAnsi="Public Sans" w:cs="Arial"/>
        </w:rPr>
        <w:t xml:space="preserve"> (NT) s 20(2); </w:t>
      </w:r>
      <w:r w:rsidRPr="00410DAB">
        <w:rPr>
          <w:rFonts w:ascii="Public Sans" w:hAnsi="Public Sans" w:cs="Arial"/>
          <w:i/>
          <w:iCs/>
        </w:rPr>
        <w:t>Anti-Discrimination Act 1998</w:t>
      </w:r>
      <w:r w:rsidRPr="00410DAB">
        <w:rPr>
          <w:rFonts w:ascii="Public Sans" w:hAnsi="Public Sans" w:cs="Arial"/>
        </w:rPr>
        <w:t xml:space="preserve"> (Tas) </w:t>
      </w:r>
      <w:r w:rsidRPr="007D395D">
        <w:rPr>
          <w:rFonts w:ascii="Public Sans" w:hAnsi="Public Sans" w:cs="Arial"/>
        </w:rPr>
        <w:t xml:space="preserve">s 14(2); </w:t>
      </w:r>
      <w:r w:rsidRPr="007D395D">
        <w:rPr>
          <w:rFonts w:ascii="Public Sans" w:hAnsi="Public Sans" w:cs="Arial"/>
          <w:i/>
          <w:iCs/>
        </w:rPr>
        <w:t>Anti-Discrimination Act 1991</w:t>
      </w:r>
      <w:r w:rsidRPr="007D395D">
        <w:rPr>
          <w:rFonts w:ascii="Public Sans" w:hAnsi="Public Sans" w:cs="Arial"/>
        </w:rPr>
        <w:t xml:space="preserve"> (Qld) s 10(1). </w:t>
      </w:r>
    </w:p>
  </w:footnote>
  <w:footnote w:id="65">
    <w:p w14:paraId="406BA2CE" w14:textId="77777777" w:rsidR="008D695B" w:rsidRPr="007D395D" w:rsidRDefault="008D695B" w:rsidP="008D695B">
      <w:pPr>
        <w:pStyle w:val="FootnoteText"/>
        <w:rPr>
          <w:rFonts w:ascii="Public Sans" w:hAnsi="Public Sans" w:cs="Arial"/>
        </w:rPr>
      </w:pPr>
      <w:r w:rsidRPr="007D395D">
        <w:rPr>
          <w:rStyle w:val="FootnoteReference"/>
          <w:rFonts w:cs="Arial"/>
          <w:vertAlign w:val="baseline"/>
        </w:rPr>
        <w:footnoteRef/>
      </w:r>
      <w:r w:rsidRPr="007D395D">
        <w:rPr>
          <w:rFonts w:ascii="Public Sans" w:hAnsi="Public Sans" w:cs="Arial"/>
        </w:rPr>
        <w:t>.</w:t>
      </w:r>
      <w:r w:rsidRPr="007D395D">
        <w:rPr>
          <w:rFonts w:ascii="Public Sans" w:hAnsi="Public Sans" w:cs="Arial"/>
        </w:rPr>
        <w:tab/>
      </w:r>
      <w:r w:rsidRPr="007D395D">
        <w:rPr>
          <w:rFonts w:ascii="Public Sans" w:hAnsi="Public Sans" w:cs="Arial"/>
          <w:i/>
          <w:iCs/>
        </w:rPr>
        <w:t>Anti-Discrimination Act 1977</w:t>
      </w:r>
      <w:r w:rsidRPr="007D395D">
        <w:rPr>
          <w:rFonts w:ascii="Public Sans" w:hAnsi="Public Sans" w:cs="Arial"/>
        </w:rPr>
        <w:t xml:space="preserve"> (NSW) s 7(1)(b). </w:t>
      </w:r>
    </w:p>
  </w:footnote>
  <w:footnote w:id="66">
    <w:p w14:paraId="7C519359" w14:textId="77777777" w:rsidR="008D695B" w:rsidRPr="00410DAB" w:rsidRDefault="008D695B" w:rsidP="008D695B">
      <w:pPr>
        <w:pStyle w:val="FootnoteText"/>
        <w:rPr>
          <w:rFonts w:ascii="Public Sans" w:hAnsi="Public Sans" w:cs="Arial"/>
          <w:color w:val="FF0000"/>
        </w:rPr>
      </w:pPr>
      <w:r w:rsidRPr="007D395D">
        <w:rPr>
          <w:rStyle w:val="FootnoteReference"/>
          <w:rFonts w:cs="Arial"/>
          <w:vertAlign w:val="baseline"/>
        </w:rPr>
        <w:footnoteRef/>
      </w:r>
      <w:r w:rsidRPr="007D395D">
        <w:rPr>
          <w:rFonts w:ascii="Public Sans" w:hAnsi="Public Sans" w:cs="Arial"/>
        </w:rPr>
        <w:t>.</w:t>
      </w:r>
      <w:r w:rsidRPr="007D395D">
        <w:rPr>
          <w:rFonts w:ascii="Public Sans" w:hAnsi="Public Sans" w:cs="Arial"/>
        </w:rPr>
        <w:tab/>
      </w:r>
      <w:r w:rsidRPr="007D395D">
        <w:rPr>
          <w:rFonts w:ascii="Public Sans" w:hAnsi="Public Sans" w:cs="Arial"/>
          <w:i/>
          <w:iCs/>
        </w:rPr>
        <w:t>Anti-Discrimination Act 1977</w:t>
      </w:r>
      <w:r w:rsidRPr="007D395D">
        <w:rPr>
          <w:rFonts w:ascii="Public Sans" w:hAnsi="Public Sans" w:cs="Arial"/>
        </w:rPr>
        <w:t xml:space="preserve"> (NSW) s 7(1)(a)–(</w:t>
      </w:r>
      <w:r w:rsidRPr="00410DAB">
        <w:rPr>
          <w:rFonts w:ascii="Public Sans" w:hAnsi="Public Sans" w:cs="Arial"/>
        </w:rPr>
        <w:t>b), s 24(1)(a), s 38B(1)(a), s 49B(1)(a), s 49ZG(1)(a), s 49ZYA(1)(a).</w:t>
      </w:r>
    </w:p>
  </w:footnote>
  <w:footnote w:id="67">
    <w:p w14:paraId="608EBE5B"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49T.</w:t>
      </w:r>
    </w:p>
  </w:footnote>
  <w:footnote w:id="68">
    <w:p w14:paraId="5F29A12B"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82" w:name="_Hlk193462078"/>
      <w:r w:rsidRPr="00410DAB">
        <w:rPr>
          <w:rFonts w:ascii="Public Sans" w:hAnsi="Public Sans"/>
          <w:i/>
          <w:iCs/>
          <w:lang w:val="en-GB"/>
        </w:rPr>
        <w:t>Boehringer Ingelheim Pty Ltd v Reddrop</w:t>
      </w:r>
      <w:r w:rsidRPr="00410DAB">
        <w:rPr>
          <w:rFonts w:ascii="Public Sans" w:hAnsi="Public Sans"/>
          <w:lang w:val="en-GB"/>
        </w:rPr>
        <w:t xml:space="preserve"> [1984] 2 NSWLR 13</w:t>
      </w:r>
      <w:bookmarkEnd w:id="82"/>
      <w:r w:rsidRPr="00410DAB">
        <w:rPr>
          <w:rFonts w:ascii="Public Sans" w:hAnsi="Public Sans"/>
          <w:lang w:val="en-GB"/>
        </w:rPr>
        <w:t xml:space="preserve">, 19, </w:t>
      </w:r>
      <w:r w:rsidRPr="00410DAB">
        <w:rPr>
          <w:rFonts w:ascii="Public Sans" w:hAnsi="Public Sans"/>
          <w:szCs w:val="18"/>
          <w:lang w:val="en-GB"/>
        </w:rPr>
        <w:t>EOC 92-108, 76,052–76,053</w:t>
      </w:r>
      <w:r w:rsidRPr="00410DAB">
        <w:rPr>
          <w:rFonts w:ascii="Public Sans" w:hAnsi="Public Sans"/>
          <w:lang w:val="en-GB"/>
        </w:rPr>
        <w:t xml:space="preserve">; </w:t>
      </w:r>
      <w:bookmarkStart w:id="83" w:name="_Hlk193462220"/>
      <w:r w:rsidRPr="00410DAB">
        <w:rPr>
          <w:rFonts w:ascii="Public Sans" w:hAnsi="Public Sans"/>
          <w:i/>
          <w:iCs/>
          <w:lang w:val="en-GB"/>
        </w:rPr>
        <w:t>Commissioner of Police v</w:t>
      </w:r>
      <w:r w:rsidRPr="00410DAB">
        <w:rPr>
          <w:rFonts w:ascii="Public Sans" w:hAnsi="Public Sans"/>
          <w:lang w:val="en-GB"/>
        </w:rPr>
        <w:t> </w:t>
      </w:r>
      <w:r w:rsidRPr="00410DAB">
        <w:rPr>
          <w:rFonts w:ascii="Public Sans" w:hAnsi="Public Sans"/>
          <w:i/>
          <w:iCs/>
          <w:lang w:val="en-GB"/>
        </w:rPr>
        <w:t>Mohamed</w:t>
      </w:r>
      <w:r w:rsidRPr="00410DAB">
        <w:rPr>
          <w:rFonts w:ascii="Public Sans" w:hAnsi="Public Sans"/>
          <w:lang w:val="en-GB"/>
        </w:rPr>
        <w:t xml:space="preserve"> [2009] NSWCA 432</w:t>
      </w:r>
      <w:bookmarkEnd w:id="83"/>
      <w:r w:rsidRPr="00410DAB">
        <w:rPr>
          <w:rFonts w:ascii="Public Sans" w:hAnsi="Public Sans"/>
          <w:lang w:val="en-GB"/>
        </w:rPr>
        <w:t xml:space="preserve"> [25]–[26].</w:t>
      </w:r>
    </w:p>
  </w:footnote>
  <w:footnote w:id="69">
    <w:p w14:paraId="5B18CEFA"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24(1B).</w:t>
      </w:r>
    </w:p>
  </w:footnote>
  <w:footnote w:id="70">
    <w:p w14:paraId="61C93D49"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rPr>
        <w:t xml:space="preserve">See, eg, </w:t>
      </w:r>
      <w:r w:rsidRPr="00410DAB">
        <w:rPr>
          <w:rFonts w:ascii="Public Sans" w:hAnsi="Public Sans"/>
          <w:i/>
          <w:iCs/>
        </w:rPr>
        <w:t>Thomson v Orica Australia Pty Ltd</w:t>
      </w:r>
      <w:r w:rsidRPr="00410DAB">
        <w:rPr>
          <w:rFonts w:ascii="Public Sans" w:hAnsi="Public Sans"/>
        </w:rPr>
        <w:t xml:space="preserve"> [2002] FCA 939,</w:t>
      </w:r>
      <w:r w:rsidRPr="00410DAB">
        <w:rPr>
          <w:rFonts w:ascii="Public Sans" w:hAnsi="Public Sans"/>
          <w:color w:val="FF0000"/>
        </w:rPr>
        <w:t xml:space="preserve"> </w:t>
      </w:r>
      <w:r w:rsidRPr="00410DAB">
        <w:rPr>
          <w:rFonts w:ascii="Public Sans" w:hAnsi="Public Sans"/>
          <w:szCs w:val="18"/>
        </w:rPr>
        <w:t>116 IR 186</w:t>
      </w:r>
      <w:r w:rsidRPr="00410DAB">
        <w:rPr>
          <w:rFonts w:ascii="Public Sans" w:hAnsi="Public Sans"/>
        </w:rPr>
        <w:t xml:space="preserve"> [121]–[122</w:t>
      </w:r>
      <w:bookmarkStart w:id="84" w:name="_Hlk193463309"/>
      <w:r w:rsidRPr="00410DAB">
        <w:rPr>
          <w:rFonts w:ascii="Public Sans" w:hAnsi="Public Sans"/>
        </w:rPr>
        <w:t>];</w:t>
      </w:r>
      <w:r w:rsidRPr="002E726C">
        <w:rPr>
          <w:rFonts w:ascii="Public Sans" w:hAnsi="Public Sans"/>
        </w:rPr>
        <w:t xml:space="preserve"> </w:t>
      </w:r>
      <w:r w:rsidRPr="00410DAB">
        <w:rPr>
          <w:rFonts w:ascii="Public Sans" w:hAnsi="Public Sans"/>
          <w:i/>
          <w:iCs/>
        </w:rPr>
        <w:t>Mayer v Australian Nuclear Science and Technology Organisation</w:t>
      </w:r>
      <w:r w:rsidRPr="00410DAB">
        <w:rPr>
          <w:rFonts w:ascii="Public Sans" w:hAnsi="Public Sans"/>
        </w:rPr>
        <w:t xml:space="preserve"> [2003] FMCA 209 [58].</w:t>
      </w:r>
      <w:bookmarkEnd w:id="84"/>
    </w:p>
  </w:footnote>
  <w:footnote w:id="71">
    <w:p w14:paraId="00410C04"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szCs w:val="18"/>
        </w:rPr>
        <w:t>Purvis v New South Wales</w:t>
      </w:r>
      <w:r w:rsidRPr="00410DAB">
        <w:rPr>
          <w:rFonts w:ascii="Public Sans" w:hAnsi="Public Sans" w:cs="Arial"/>
          <w:szCs w:val="18"/>
        </w:rPr>
        <w:t xml:space="preserve"> [2003] HCA 62, 217 CLR 92</w:t>
      </w:r>
      <w:r w:rsidRPr="00410DAB">
        <w:rPr>
          <w:rFonts w:ascii="Public Sans" w:hAnsi="Public Sans"/>
          <w:szCs w:val="18"/>
        </w:rPr>
        <w:t xml:space="preserve"> [222]–[224].</w:t>
      </w:r>
    </w:p>
  </w:footnote>
  <w:footnote w:id="72">
    <w:p w14:paraId="5A76978B"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Discrimination Act 1991 </w:t>
      </w:r>
      <w:r w:rsidRPr="00410DAB">
        <w:rPr>
          <w:rFonts w:ascii="Public Sans" w:hAnsi="Public Sans" w:cs="Arial"/>
        </w:rPr>
        <w:t xml:space="preserve">(ACT) s 8(2); </w:t>
      </w:r>
      <w:r w:rsidRPr="00410DAB">
        <w:rPr>
          <w:rFonts w:ascii="Public Sans" w:hAnsi="Public Sans" w:cs="Arial"/>
          <w:i/>
          <w:iCs/>
        </w:rPr>
        <w:t>Equal Opportunity Act 2010</w:t>
      </w:r>
      <w:r w:rsidRPr="00410DAB">
        <w:rPr>
          <w:rFonts w:ascii="Public Sans" w:hAnsi="Public Sans" w:cs="Arial"/>
        </w:rPr>
        <w:t xml:space="preserve"> (Vic) s 8(1). </w:t>
      </w:r>
    </w:p>
  </w:footnote>
  <w:footnote w:id="73">
    <w:p w14:paraId="12A0A224" w14:textId="04D623C5"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Respect at Work and Other Matters Amendment Act 2024</w:t>
      </w:r>
      <w:r w:rsidRPr="00410DAB">
        <w:rPr>
          <w:rFonts w:ascii="Public Sans" w:hAnsi="Public Sans" w:cs="Arial"/>
        </w:rPr>
        <w:t xml:space="preserve"> (Qld) s 7B</w:t>
      </w:r>
      <w:r w:rsidR="00B40CF5">
        <w:rPr>
          <w:rFonts w:ascii="Public Sans" w:hAnsi="Public Sans" w:cs="Arial"/>
        </w:rPr>
        <w:t xml:space="preserve">, </w:t>
      </w:r>
      <w:r w:rsidR="005806B8">
        <w:rPr>
          <w:rFonts w:ascii="Public Sans" w:hAnsi="Public Sans" w:cs="Arial"/>
        </w:rPr>
        <w:t>amending</w:t>
      </w:r>
      <w:r w:rsidRPr="00410DAB">
        <w:rPr>
          <w:rFonts w:ascii="Public Sans" w:hAnsi="Public Sans" w:cs="Arial"/>
        </w:rPr>
        <w:t xml:space="preserve"> </w:t>
      </w:r>
      <w:r w:rsidR="00B40CF5" w:rsidRPr="00410DAB">
        <w:rPr>
          <w:rFonts w:ascii="Public Sans" w:hAnsi="Public Sans" w:cs="Arial"/>
          <w:i/>
          <w:iCs/>
        </w:rPr>
        <w:t>Anti-Discrimination Act 1991</w:t>
      </w:r>
      <w:r w:rsidR="00B40CF5" w:rsidRPr="00410DAB">
        <w:rPr>
          <w:rFonts w:ascii="Public Sans" w:hAnsi="Public Sans" w:cs="Arial"/>
        </w:rPr>
        <w:t xml:space="preserve"> (Qld) </w:t>
      </w:r>
      <w:r w:rsidR="006069BE">
        <w:rPr>
          <w:rFonts w:ascii="Public Sans" w:hAnsi="Public Sans" w:cs="Arial"/>
        </w:rPr>
        <w:t xml:space="preserve">s 10 </w:t>
      </w:r>
      <w:r w:rsidRPr="00410DAB">
        <w:rPr>
          <w:rFonts w:ascii="Public Sans" w:hAnsi="Public Sans" w:cs="Arial"/>
        </w:rPr>
        <w:t>(</w:t>
      </w:r>
      <w:r w:rsidR="00C71E88">
        <w:rPr>
          <w:rFonts w:ascii="Public Sans" w:hAnsi="Public Sans" w:cs="Arial"/>
        </w:rPr>
        <w:t>un</w:t>
      </w:r>
      <w:r w:rsidRPr="00410DAB">
        <w:rPr>
          <w:rFonts w:ascii="Public Sans" w:hAnsi="Public Sans" w:cs="Arial"/>
        </w:rPr>
        <w:t>commence</w:t>
      </w:r>
      <w:r w:rsidR="00C71E88">
        <w:rPr>
          <w:rFonts w:ascii="Public Sans" w:hAnsi="Public Sans" w:cs="Arial"/>
        </w:rPr>
        <w:t>d</w:t>
      </w:r>
      <w:r w:rsidRPr="00410DAB">
        <w:rPr>
          <w:rFonts w:ascii="Public Sans" w:hAnsi="Public Sans" w:cs="Arial"/>
        </w:rPr>
        <w:t>).</w:t>
      </w:r>
    </w:p>
  </w:footnote>
  <w:footnote w:id="74">
    <w:p w14:paraId="3778FD7F" w14:textId="3B332EAE"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D Frecklington, “Media Statement: Crisafulli Government to Consult on Anti-Discrimination Laws” (14 March 2025) </w:t>
      </w:r>
      <w:r w:rsidRPr="00410DAB">
        <w:rPr>
          <w:rFonts w:ascii="Public Sans" w:hAnsi="Public Sans" w:cs="Arial"/>
          <w:i/>
          <w:iCs/>
        </w:rPr>
        <w:t>Queensland Government</w:t>
      </w:r>
      <w:r w:rsidRPr="00410DAB">
        <w:rPr>
          <w:rFonts w:ascii="Public Sans" w:hAnsi="Public Sans" w:cs="Arial"/>
        </w:rPr>
        <w:t xml:space="preserve"> &lt;</w:t>
      </w:r>
      <w:hyperlink r:id="rId9" w:history="1">
        <w:r w:rsidRPr="00410DAB">
          <w:rPr>
            <w:rStyle w:val="Hyperlink"/>
            <w:rFonts w:ascii="Public Sans" w:hAnsi="Public Sans" w:cs="Arial"/>
          </w:rPr>
          <w:t>statements.qld.gov.au/statements/102168</w:t>
        </w:r>
      </w:hyperlink>
      <w:r w:rsidRPr="00410DAB">
        <w:rPr>
          <w:rFonts w:ascii="Public Sans" w:hAnsi="Public Sans" w:cs="Arial"/>
        </w:rPr>
        <w:t>&gt; (retrieved 4 April 2024)</w:t>
      </w:r>
      <w:r w:rsidR="004E1E27">
        <w:rPr>
          <w:rFonts w:ascii="Public Sans" w:hAnsi="Public Sans" w:cs="Arial"/>
        </w:rPr>
        <w:t>.</w:t>
      </w:r>
      <w:r w:rsidR="004B2730">
        <w:rPr>
          <w:rFonts w:ascii="Public Sans" w:hAnsi="Public Sans" w:cs="Arial"/>
        </w:rPr>
        <w:t xml:space="preserve"> </w:t>
      </w:r>
    </w:p>
  </w:footnote>
  <w:footnote w:id="75">
    <w:p w14:paraId="37A1B061" w14:textId="77777777" w:rsidR="008D695B" w:rsidRPr="00410DAB" w:rsidRDefault="008D695B" w:rsidP="008D695B">
      <w:pPr>
        <w:pStyle w:val="FootnoteText"/>
        <w:rPr>
          <w:rFonts w:ascii="Public Sans" w:hAnsi="Public Sans" w:cs="Arial"/>
          <w:color w:val="0070C0"/>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Discrimination Act 1991 </w:t>
      </w:r>
      <w:r w:rsidRPr="00410DAB">
        <w:rPr>
          <w:rFonts w:ascii="Public Sans" w:hAnsi="Public Sans" w:cs="Arial"/>
        </w:rPr>
        <w:t xml:space="preserve">(ACT) s 8(2). The Victorian test only considers whether the treatment was because of a single attribute: </w:t>
      </w:r>
      <w:r w:rsidRPr="00410DAB">
        <w:rPr>
          <w:rFonts w:ascii="Public Sans" w:hAnsi="Public Sans" w:cs="Arial"/>
          <w:i/>
          <w:iCs/>
        </w:rPr>
        <w:t>Equal Opportunity Act 2010</w:t>
      </w:r>
      <w:r w:rsidRPr="00410DAB">
        <w:rPr>
          <w:rFonts w:ascii="Public Sans" w:hAnsi="Public Sans" w:cs="Arial"/>
        </w:rPr>
        <w:t xml:space="preserve"> (Vic) s 8(1). See, eg, </w:t>
      </w:r>
      <w:r w:rsidRPr="00410DAB">
        <w:rPr>
          <w:rFonts w:ascii="Public Sans" w:hAnsi="Public Sans" w:cs="Arial"/>
          <w:i/>
          <w:iCs/>
        </w:rPr>
        <w:t>Re Prezzi and Discrimination Commissioner</w:t>
      </w:r>
      <w:r w:rsidRPr="00410DAB">
        <w:rPr>
          <w:rFonts w:ascii="Public Sans" w:hAnsi="Public Sans" w:cs="Arial"/>
        </w:rPr>
        <w:t xml:space="preserve"> (1996) 39 ALD 729 [24], </w:t>
      </w:r>
      <w:r w:rsidRPr="00410DAB">
        <w:rPr>
          <w:rFonts w:ascii="Public Sans" w:hAnsi="Public Sans" w:cs="Arial"/>
          <w:szCs w:val="18"/>
        </w:rPr>
        <w:t>EOC 92-803 [24]</w:t>
      </w:r>
      <w:r w:rsidRPr="00410DAB">
        <w:rPr>
          <w:rFonts w:ascii="Public Sans" w:hAnsi="Public Sans" w:cs="Arial"/>
        </w:rPr>
        <w:t xml:space="preserve">. </w:t>
      </w:r>
    </w:p>
  </w:footnote>
  <w:footnote w:id="76">
    <w:p w14:paraId="50F83867"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Australia, Senate, Standing Committee on Legal and Constitutional Affairs, </w:t>
      </w:r>
      <w:r w:rsidRPr="00410DAB">
        <w:rPr>
          <w:rFonts w:ascii="Public Sans" w:hAnsi="Public Sans" w:cs="Arial"/>
          <w:i/>
          <w:iCs/>
          <w:color w:val="000000" w:themeColor="text1"/>
        </w:rPr>
        <w:t xml:space="preserve">Effectiveness of the Sex Discrimination Act 1984 in Eliminating Discrimination and Promoting Gender Equality </w:t>
      </w:r>
      <w:r w:rsidRPr="00410DAB">
        <w:rPr>
          <w:rFonts w:ascii="Public Sans" w:hAnsi="Public Sans" w:cs="Arial"/>
          <w:color w:val="000000" w:themeColor="text1"/>
        </w:rPr>
        <w:t xml:space="preserve">(2008) rec 5; Australian Human Rights Commission, </w:t>
      </w:r>
      <w:r w:rsidRPr="00410DAB">
        <w:rPr>
          <w:rFonts w:ascii="Public Sans" w:hAnsi="Public Sans" w:cs="Arial"/>
          <w:i/>
          <w:iCs/>
          <w:color w:val="000000" w:themeColor="text1"/>
        </w:rPr>
        <w:t>Free and Equal: A Reform Agenda for Federal Discrimination Laws</w:t>
      </w:r>
      <w:r w:rsidRPr="00410DAB">
        <w:rPr>
          <w:rFonts w:ascii="Public Sans" w:hAnsi="Public Sans" w:cs="Arial"/>
          <w:color w:val="000000" w:themeColor="text1"/>
        </w:rPr>
        <w:t xml:space="preserve"> (2021) 279, 342; </w:t>
      </w:r>
      <w:r w:rsidRPr="00410DAB">
        <w:rPr>
          <w:rFonts w:ascii="Public Sans" w:hAnsi="Public Sans" w:cs="Arial"/>
          <w:i/>
          <w:iCs/>
          <w:color w:val="000000" w:themeColor="text1"/>
        </w:rPr>
        <w:t>Royal Commission into Violence, Abuse, Neglect and Exploitation of People with Disability</w:t>
      </w:r>
      <w:r w:rsidRPr="00410DAB">
        <w:rPr>
          <w:rFonts w:ascii="Public Sans" w:hAnsi="Public Sans" w:cs="Arial"/>
          <w:color w:val="000000" w:themeColor="text1"/>
        </w:rPr>
        <w:t xml:space="preserve">, Final Report (2023) vol 4, “Realising the Human Rights of People with Disability”, rec 4.23; Queensland Human Rights Commission, </w:t>
      </w:r>
      <w:r w:rsidRPr="00410DAB">
        <w:rPr>
          <w:rFonts w:ascii="Public Sans" w:hAnsi="Public Sans" w:cs="Arial"/>
          <w:i/>
          <w:iCs/>
          <w:color w:val="000000" w:themeColor="text1"/>
        </w:rPr>
        <w:t>Building Belonging: Review of Queensland's Anti-Discrimination Act 1991</w:t>
      </w:r>
      <w:r w:rsidRPr="00410DAB">
        <w:rPr>
          <w:rFonts w:ascii="Public Sans" w:hAnsi="Public Sans" w:cs="Arial"/>
          <w:color w:val="000000" w:themeColor="text1"/>
        </w:rPr>
        <w:t xml:space="preserve"> (2022) 95; Law Reform Commission of Western Australia, </w:t>
      </w:r>
      <w:r w:rsidRPr="00410DAB">
        <w:rPr>
          <w:rFonts w:ascii="Public Sans" w:hAnsi="Public Sans" w:cs="Arial"/>
          <w:i/>
          <w:iCs/>
          <w:color w:val="000000" w:themeColor="text1"/>
        </w:rPr>
        <w:t>Review of the Equal Opportunity Act 1984 (WA)</w:t>
      </w:r>
      <w:r w:rsidRPr="00410DAB">
        <w:rPr>
          <w:rFonts w:ascii="Public Sans" w:hAnsi="Public Sans" w:cs="Arial"/>
          <w:color w:val="000000" w:themeColor="text1"/>
        </w:rPr>
        <w:t>, Project 111, Final Report (2022) rec 5.</w:t>
      </w:r>
    </w:p>
  </w:footnote>
  <w:footnote w:id="77">
    <w:p w14:paraId="5D98A5FA"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NSW Law Reform Commission, </w:t>
      </w:r>
      <w:r w:rsidRPr="00410DAB">
        <w:rPr>
          <w:rFonts w:ascii="Public Sans" w:hAnsi="Public Sans" w:cs="Arial"/>
          <w:i/>
          <w:iCs/>
          <w:color w:val="000000" w:themeColor="text1"/>
        </w:rPr>
        <w:t>Review of the Anti-Discrimination Act 1977 (NSW)</w:t>
      </w:r>
      <w:r w:rsidRPr="00410DAB">
        <w:rPr>
          <w:rFonts w:ascii="Public Sans" w:hAnsi="Public Sans" w:cs="Arial"/>
          <w:color w:val="000000" w:themeColor="text1"/>
        </w:rPr>
        <w:t>, Report 92 (1999) [3.31], [3.51]–[3.52], rec 3.</w:t>
      </w:r>
    </w:p>
  </w:footnote>
  <w:footnote w:id="78">
    <w:p w14:paraId="44244A80"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Law Reform Commission of Western Australia, </w:t>
      </w:r>
      <w:r w:rsidRPr="00410DAB">
        <w:rPr>
          <w:rFonts w:ascii="Public Sans" w:hAnsi="Public Sans" w:cs="Arial"/>
          <w:i/>
          <w:iCs/>
          <w:color w:val="000000" w:themeColor="text1"/>
        </w:rPr>
        <w:t>Review of the Equal Opportunity Act 1984 (WA)</w:t>
      </w:r>
      <w:r w:rsidRPr="00410DAB">
        <w:rPr>
          <w:rFonts w:ascii="Public Sans" w:hAnsi="Public Sans" w:cs="Arial"/>
          <w:color w:val="000000" w:themeColor="text1"/>
        </w:rPr>
        <w:t xml:space="preserve">, Project 111, Final Report (2022) [4.1.1.2]; Queensland Human Rights Commission, </w:t>
      </w:r>
      <w:r w:rsidRPr="00410DAB">
        <w:rPr>
          <w:rFonts w:ascii="Public Sans" w:hAnsi="Public Sans" w:cs="Arial"/>
          <w:i/>
          <w:iCs/>
          <w:color w:val="000000" w:themeColor="text1"/>
        </w:rPr>
        <w:t xml:space="preserve">Building Belonging: Review of Queensland's Anti-Discrimination Act 1991 </w:t>
      </w:r>
      <w:r w:rsidRPr="00410DAB">
        <w:rPr>
          <w:rFonts w:ascii="Public Sans" w:hAnsi="Public Sans" w:cs="Arial"/>
          <w:color w:val="000000" w:themeColor="text1"/>
        </w:rPr>
        <w:t>(2022) 95.</w:t>
      </w:r>
    </w:p>
  </w:footnote>
  <w:footnote w:id="79">
    <w:p w14:paraId="3F4AF2CE"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7(1)(a), s 7(2), s 24(1)(a), s 24(1A), s 38B(1)(a), s 38B(2), s 39(1)(a), s 39(1A), s 49B(1)(a), s 49B(2), s 49T(1)(a), s 49T(2), s 49ZG(1)(a), s 49ZG(2), s 49ZYA(1)(a), s 49ZYA(2).</w:t>
      </w:r>
    </w:p>
  </w:footnote>
  <w:footnote w:id="80">
    <w:p w14:paraId="3951AEAA" w14:textId="77777777" w:rsidR="008D695B" w:rsidRPr="00410DAB" w:rsidRDefault="008D695B" w:rsidP="008D695B">
      <w:pPr>
        <w:pStyle w:val="FootnoteText"/>
        <w:rPr>
          <w:rFonts w:ascii="Public Sans" w:hAnsi="Public Sans"/>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4A.</w:t>
      </w:r>
    </w:p>
  </w:footnote>
  <w:footnote w:id="81">
    <w:p w14:paraId="0DA683D5"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Purvis v New South Wales</w:t>
      </w:r>
      <w:r w:rsidRPr="00410DAB">
        <w:rPr>
          <w:rFonts w:ascii="Public Sans" w:hAnsi="Public Sans" w:cs="Arial"/>
        </w:rPr>
        <w:t xml:space="preserve"> [2003] HCA 62,</w:t>
      </w:r>
      <w:r w:rsidRPr="00410DAB">
        <w:rPr>
          <w:rFonts w:ascii="Public Sans" w:hAnsi="Public Sans" w:cs="Arial"/>
          <w:color w:val="FF0000"/>
        </w:rPr>
        <w:t xml:space="preserve"> </w:t>
      </w:r>
      <w:r w:rsidRPr="00410DAB">
        <w:rPr>
          <w:rFonts w:ascii="Public Sans" w:hAnsi="Public Sans" w:cs="Arial"/>
        </w:rPr>
        <w:t>217 CLR 92</w:t>
      </w:r>
      <w:r w:rsidRPr="00410DAB">
        <w:rPr>
          <w:rFonts w:ascii="Public Sans" w:hAnsi="Public Sans"/>
        </w:rPr>
        <w:t xml:space="preserve"> [236].</w:t>
      </w:r>
    </w:p>
  </w:footnote>
  <w:footnote w:id="82">
    <w:p w14:paraId="481C2E36"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 Rees, S Rice and D Allen, </w:t>
      </w:r>
      <w:r w:rsidRPr="00410DAB">
        <w:rPr>
          <w:rFonts w:ascii="Public Sans" w:hAnsi="Public Sans" w:cs="Arial"/>
          <w:i/>
          <w:iCs/>
        </w:rPr>
        <w:t>Australian Anti-Discrimination and Equal Opportunity Law</w:t>
      </w:r>
      <w:r w:rsidRPr="00410DAB">
        <w:rPr>
          <w:rFonts w:ascii="Public Sans" w:hAnsi="Public Sans" w:cs="Arial"/>
        </w:rPr>
        <w:t xml:space="preserve"> (Federation Press, 3rd ed, 2018) [3.2.28].</w:t>
      </w:r>
    </w:p>
  </w:footnote>
  <w:footnote w:id="83">
    <w:p w14:paraId="7C25B16B"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8(2)(a), s 10.</w:t>
      </w:r>
    </w:p>
  </w:footnote>
  <w:footnote w:id="84">
    <w:p w14:paraId="4D1453FA"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Austin Health v Tsikos</w:t>
      </w:r>
      <w:r w:rsidRPr="00410DAB">
        <w:rPr>
          <w:rFonts w:ascii="Public Sans" w:hAnsi="Public Sans" w:cs="Arial"/>
        </w:rPr>
        <w:t xml:space="preserve"> [2023] VSCA 82,</w:t>
      </w:r>
      <w:r w:rsidRPr="00410DAB">
        <w:rPr>
          <w:rFonts w:ascii="Public Sans" w:hAnsi="Public Sans" w:cs="Arial"/>
          <w:color w:val="FF0000"/>
          <w:szCs w:val="18"/>
        </w:rPr>
        <w:t xml:space="preserve"> </w:t>
      </w:r>
      <w:r w:rsidRPr="00410DAB">
        <w:rPr>
          <w:rFonts w:ascii="Public Sans" w:hAnsi="Public Sans" w:cs="Arial"/>
          <w:szCs w:val="18"/>
        </w:rPr>
        <w:t xml:space="preserve">324 IR 1 [71], </w:t>
      </w:r>
      <w:r w:rsidRPr="00410DAB">
        <w:rPr>
          <w:rFonts w:ascii="Public Sans" w:hAnsi="Public Sans" w:cs="Arial"/>
        </w:rPr>
        <w:t>[84]–[85].</w:t>
      </w:r>
    </w:p>
  </w:footnote>
  <w:footnote w:id="85">
    <w:p w14:paraId="1FE66C46"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Anti-Discrimination (Amendment) Act 1981</w:t>
      </w:r>
      <w:r w:rsidRPr="00410DAB">
        <w:rPr>
          <w:rFonts w:ascii="Public Sans" w:hAnsi="Public Sans" w:cs="Arial"/>
          <w:color w:val="000000" w:themeColor="text1"/>
        </w:rPr>
        <w:t xml:space="preserve"> (NSW) sch 5 cl 4.</w:t>
      </w:r>
    </w:p>
  </w:footnote>
  <w:footnote w:id="86">
    <w:p w14:paraId="65D473B9"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Anti-Discrimination Act 1977</w:t>
      </w:r>
      <w:r w:rsidRPr="00410DAB">
        <w:rPr>
          <w:rFonts w:ascii="Public Sans" w:hAnsi="Public Sans" w:cs="Arial"/>
          <w:color w:val="000000" w:themeColor="text1"/>
        </w:rPr>
        <w:t xml:space="preserve"> (NSW) s 7(1)(c), s 24(1)(b), s 38B(1)(b), s 39(1)(b), s 49B(1)(b), s 49T(1)(b), s 49ZG(1)(b), s 49ZYA(1)(b).</w:t>
      </w:r>
    </w:p>
  </w:footnote>
  <w:footnote w:id="87">
    <w:p w14:paraId="22686630"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9. See generally </w:t>
      </w:r>
      <w:r w:rsidRPr="00410DAB">
        <w:rPr>
          <w:rFonts w:ascii="Public Sans" w:hAnsi="Public Sans"/>
          <w:i/>
          <w:iCs/>
        </w:rPr>
        <w:t>Waters v Public Transport Corporation</w:t>
      </w:r>
      <w:r w:rsidRPr="00410DAB">
        <w:rPr>
          <w:rFonts w:ascii="Public Sans" w:hAnsi="Public Sans"/>
        </w:rPr>
        <w:t xml:space="preserve"> (1991) 173 CLR 349, 406.</w:t>
      </w:r>
    </w:p>
  </w:footnote>
  <w:footnote w:id="88">
    <w:p w14:paraId="1A24FB15" w14:textId="77777777" w:rsidR="008D695B" w:rsidRPr="00410DAB" w:rsidRDefault="008D695B" w:rsidP="008D695B">
      <w:pPr>
        <w:pStyle w:val="FootnoteText"/>
        <w:rPr>
          <w:rFonts w:ascii="Public Sans" w:hAnsi="Public Sans"/>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See, eg,</w:t>
      </w:r>
      <w:r w:rsidRPr="00410DAB">
        <w:rPr>
          <w:rFonts w:ascii="Public Sans" w:hAnsi="Public Sans"/>
        </w:rPr>
        <w:t xml:space="preserve"> </w:t>
      </w:r>
      <w:r w:rsidRPr="00410DAB">
        <w:rPr>
          <w:rFonts w:ascii="Public Sans" w:hAnsi="Public Sans"/>
          <w:i/>
          <w:iCs/>
        </w:rPr>
        <w:t>Bonella v Wollongong City Council</w:t>
      </w:r>
      <w:r w:rsidRPr="00410DAB">
        <w:rPr>
          <w:rFonts w:ascii="Public Sans" w:hAnsi="Public Sans"/>
        </w:rPr>
        <w:t xml:space="preserve"> [2001] NSWADT 194 [76]–[77] citing Sackville J in </w:t>
      </w:r>
      <w:r w:rsidRPr="00410DAB">
        <w:rPr>
          <w:rFonts w:ascii="Public Sans" w:hAnsi="Public Sans"/>
          <w:i/>
          <w:iCs/>
        </w:rPr>
        <w:t xml:space="preserve">Commonwealth Bank of Australia v Human Rights and Equal Opportunity Commission </w:t>
      </w:r>
      <w:r w:rsidRPr="00410DAB">
        <w:rPr>
          <w:rFonts w:ascii="Public Sans" w:hAnsi="Public Sans"/>
        </w:rPr>
        <w:t xml:space="preserve">(1997) 80 FCR 78, 118–121. </w:t>
      </w:r>
    </w:p>
  </w:footnote>
  <w:footnote w:id="89">
    <w:p w14:paraId="17C11E96" w14:textId="77777777" w:rsidR="008D695B" w:rsidRPr="00410DAB" w:rsidRDefault="008D695B" w:rsidP="008D695B">
      <w:pPr>
        <w:pStyle w:val="FootnoteText"/>
        <w:rPr>
          <w:rFonts w:ascii="Public Sans" w:hAnsi="Public Sans"/>
        </w:rPr>
      </w:pPr>
      <w:r w:rsidRPr="00410DAB">
        <w:rPr>
          <w:rStyle w:val="FootnoteReference"/>
          <w:rFonts w:cs="Arial"/>
          <w:vertAlign w:val="baseline"/>
        </w:rPr>
        <w:footnoteRef/>
      </w:r>
      <w:r w:rsidRPr="00410DAB">
        <w:rPr>
          <w:rFonts w:ascii="Public Sans" w:hAnsi="Public Sans"/>
        </w:rPr>
        <w:t>.</w:t>
      </w:r>
      <w:r w:rsidRPr="00410DAB">
        <w:rPr>
          <w:rFonts w:ascii="Public Sans" w:hAnsi="Public Sans"/>
        </w:rPr>
        <w:tab/>
        <w:t xml:space="preserve">See, eg, </w:t>
      </w:r>
      <w:r w:rsidRPr="00410DAB">
        <w:rPr>
          <w:rFonts w:ascii="Public Sans" w:hAnsi="Public Sans" w:cs="Arial"/>
        </w:rPr>
        <w:t xml:space="preserve">Victorian Department of Justice, </w:t>
      </w:r>
      <w:r w:rsidRPr="00410DAB">
        <w:rPr>
          <w:rFonts w:ascii="Public Sans" w:hAnsi="Public Sans" w:cs="Arial"/>
          <w:i/>
          <w:iCs/>
        </w:rPr>
        <w:t>An Equality Act for a Fairer Victoria: Equal Opportunity Review, Final Report</w:t>
      </w:r>
      <w:r w:rsidRPr="00410DAB">
        <w:rPr>
          <w:rFonts w:ascii="Public Sans" w:hAnsi="Public Sans" w:cs="Arial"/>
        </w:rPr>
        <w:t xml:space="preserve"> (2008) [5.28], rec 42; Law Reform Commission of Western Australia, </w:t>
      </w:r>
      <w:r w:rsidRPr="00410DAB">
        <w:rPr>
          <w:rFonts w:ascii="Public Sans" w:hAnsi="Public Sans" w:cs="Arial"/>
          <w:i/>
          <w:iCs/>
        </w:rPr>
        <w:t>Review of the Equal Opportunity Act 1984 (WA)</w:t>
      </w:r>
      <w:r w:rsidRPr="00410DAB">
        <w:rPr>
          <w:rFonts w:ascii="Public Sans" w:hAnsi="Public Sans" w:cs="Arial"/>
        </w:rPr>
        <w:t xml:space="preserve">, Project 111, Final Report (2022) [4.1.2.1]; Queensland Human Rights Commission, </w:t>
      </w:r>
      <w:r w:rsidRPr="00410DAB">
        <w:rPr>
          <w:rFonts w:ascii="Public Sans" w:hAnsi="Public Sans" w:cs="Arial"/>
          <w:i/>
          <w:iCs/>
        </w:rPr>
        <w:t>Building Belonging: Review of Queensland's Anti-Discrimination Act 1991</w:t>
      </w:r>
      <w:r w:rsidRPr="00410DAB">
        <w:rPr>
          <w:rFonts w:ascii="Public Sans" w:hAnsi="Public Sans" w:cs="Arial"/>
        </w:rPr>
        <w:t xml:space="preserve"> (2022) 98.</w:t>
      </w:r>
    </w:p>
  </w:footnote>
  <w:footnote w:id="90">
    <w:p w14:paraId="66BF1EAE" w14:textId="77777777" w:rsidR="008D695B" w:rsidRPr="00410DAB" w:rsidRDefault="008D695B" w:rsidP="008D695B">
      <w:pPr>
        <w:pStyle w:val="FootnoteText"/>
        <w:rPr>
          <w:rFonts w:ascii="Public Sans" w:hAnsi="Public Sans" w:cs="Arial"/>
          <w:color w:val="0070C0"/>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9(1); </w:t>
      </w:r>
      <w:r w:rsidRPr="00410DAB">
        <w:rPr>
          <w:rFonts w:ascii="Public Sans" w:hAnsi="Public Sans" w:cs="Arial"/>
          <w:i/>
          <w:iCs/>
        </w:rPr>
        <w:t>Discrimination Act 1991</w:t>
      </w:r>
      <w:r w:rsidRPr="00410DAB">
        <w:rPr>
          <w:rFonts w:ascii="Public Sans" w:hAnsi="Public Sans" w:cs="Arial"/>
        </w:rPr>
        <w:t xml:space="preserve"> (ACT) s 8(3); </w:t>
      </w:r>
      <w:r w:rsidRPr="00410DAB">
        <w:rPr>
          <w:rFonts w:ascii="Public Sans" w:hAnsi="Public Sans" w:cs="Arial"/>
          <w:i/>
          <w:iCs/>
        </w:rPr>
        <w:t>Age Discrimination Act 2004</w:t>
      </w:r>
      <w:r w:rsidRPr="00410DAB">
        <w:rPr>
          <w:rFonts w:ascii="Public Sans" w:hAnsi="Public Sans" w:cs="Arial"/>
        </w:rPr>
        <w:t xml:space="preserve"> (Cth) s 15(1); </w:t>
      </w:r>
      <w:r w:rsidRPr="00410DAB">
        <w:rPr>
          <w:rFonts w:ascii="Public Sans" w:hAnsi="Public Sans" w:cs="Arial"/>
          <w:i/>
          <w:iCs/>
        </w:rPr>
        <w:t>Sex Discrimination Act 1984</w:t>
      </w:r>
      <w:r w:rsidRPr="00410DAB">
        <w:rPr>
          <w:rFonts w:ascii="Public Sans" w:hAnsi="Public Sans" w:cs="Arial"/>
        </w:rPr>
        <w:t xml:space="preserve"> (Cth) s 7B.</w:t>
      </w:r>
    </w:p>
  </w:footnote>
  <w:footnote w:id="91">
    <w:p w14:paraId="4D08F046"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8(3)–(4). </w:t>
      </w:r>
    </w:p>
  </w:footnote>
  <w:footnote w:id="92">
    <w:p w14:paraId="6AF678F5"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Queensland Human Rights Commission, </w:t>
      </w:r>
      <w:r w:rsidRPr="00410DAB">
        <w:rPr>
          <w:rFonts w:ascii="Public Sans" w:hAnsi="Public Sans" w:cs="Arial"/>
          <w:i/>
          <w:iCs/>
        </w:rPr>
        <w:t>Building Belonging: Review of Queensland's Anti-Discrimination Act 1991</w:t>
      </w:r>
      <w:r w:rsidRPr="00410DAB">
        <w:rPr>
          <w:rFonts w:ascii="Public Sans" w:hAnsi="Public Sans" w:cs="Arial"/>
        </w:rPr>
        <w:t xml:space="preserve"> (2022) 101; Law Reform Commission of Western Australia, </w:t>
      </w:r>
      <w:r w:rsidRPr="00410DAB">
        <w:rPr>
          <w:rFonts w:ascii="Public Sans" w:hAnsi="Public Sans" w:cs="Arial"/>
          <w:i/>
          <w:iCs/>
        </w:rPr>
        <w:t>Review of the Equal Opportunity Act 1984 (WA)</w:t>
      </w:r>
      <w:r w:rsidRPr="00410DAB">
        <w:rPr>
          <w:rFonts w:ascii="Public Sans" w:hAnsi="Public Sans" w:cs="Arial"/>
        </w:rPr>
        <w:t xml:space="preserve">, Project 111, Final Report (2022) rec 9, [4.1.2.1]. </w:t>
      </w:r>
    </w:p>
  </w:footnote>
  <w:footnote w:id="93">
    <w:p w14:paraId="0C8B2C71" w14:textId="798462E3"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Respect at Work and Other Matters Amendment Act 2024</w:t>
      </w:r>
      <w:r w:rsidRPr="00410DAB">
        <w:rPr>
          <w:rFonts w:ascii="Public Sans" w:hAnsi="Public Sans" w:cs="Arial"/>
        </w:rPr>
        <w:t xml:space="preserve"> (Qld) s 7B, </w:t>
      </w:r>
      <w:r w:rsidR="001017A3">
        <w:rPr>
          <w:rFonts w:ascii="Public Sans" w:hAnsi="Public Sans" w:cs="Arial"/>
        </w:rPr>
        <w:t>amending</w:t>
      </w:r>
      <w:r w:rsidRPr="00410DAB">
        <w:rPr>
          <w:rFonts w:ascii="Public Sans" w:hAnsi="Public Sans" w:cs="Arial"/>
        </w:rPr>
        <w:t xml:space="preserve"> </w:t>
      </w:r>
      <w:r w:rsidRPr="00410DAB">
        <w:rPr>
          <w:rFonts w:ascii="Public Sans" w:hAnsi="Public Sans" w:cs="Arial"/>
          <w:i/>
          <w:iCs/>
        </w:rPr>
        <w:t>Anti-Discrimination Act 1991</w:t>
      </w:r>
      <w:r w:rsidRPr="00410DAB">
        <w:rPr>
          <w:rFonts w:ascii="Public Sans" w:hAnsi="Public Sans" w:cs="Arial"/>
        </w:rPr>
        <w:t xml:space="preserve"> (Qld) s 11 (</w:t>
      </w:r>
      <w:r w:rsidR="00B40CF5">
        <w:rPr>
          <w:rFonts w:ascii="Public Sans" w:hAnsi="Public Sans" w:cs="Arial"/>
        </w:rPr>
        <w:t>un</w:t>
      </w:r>
      <w:r w:rsidRPr="00410DAB">
        <w:rPr>
          <w:rFonts w:ascii="Public Sans" w:hAnsi="Public Sans" w:cs="Arial"/>
        </w:rPr>
        <w:t>commence</w:t>
      </w:r>
      <w:r w:rsidR="00B40CF5">
        <w:rPr>
          <w:rFonts w:ascii="Public Sans" w:hAnsi="Public Sans" w:cs="Arial"/>
        </w:rPr>
        <w:t>d</w:t>
      </w:r>
      <w:r w:rsidRPr="00410DAB">
        <w:rPr>
          <w:rFonts w:ascii="Public Sans" w:hAnsi="Public Sans" w:cs="Arial"/>
        </w:rPr>
        <w:t>). But see</w:t>
      </w:r>
      <w:r w:rsidRPr="00410DAB">
        <w:rPr>
          <w:rFonts w:ascii="Public Sans" w:hAnsi="Public Sans" w:cs="Arial"/>
          <w:color w:val="FF0000"/>
        </w:rPr>
        <w:t xml:space="preserve"> </w:t>
      </w:r>
      <w:r w:rsidRPr="00410DAB">
        <w:rPr>
          <w:rFonts w:ascii="Public Sans" w:hAnsi="Public Sans" w:cs="Arial"/>
        </w:rPr>
        <w:t xml:space="preserve">D Frecklington, “Media Statement: Crisafulli Government to Consult on Anti-Discrimination Laws” (14 March 2025) </w:t>
      </w:r>
      <w:r w:rsidRPr="00410DAB">
        <w:rPr>
          <w:rFonts w:ascii="Public Sans" w:hAnsi="Public Sans" w:cs="Arial"/>
          <w:i/>
          <w:iCs/>
        </w:rPr>
        <w:t>Queensland Government</w:t>
      </w:r>
      <w:r w:rsidRPr="00410DAB">
        <w:rPr>
          <w:rFonts w:ascii="Public Sans" w:hAnsi="Public Sans" w:cs="Arial"/>
        </w:rPr>
        <w:t xml:space="preserve"> &lt;</w:t>
      </w:r>
      <w:hyperlink r:id="rId10" w:history="1">
        <w:r w:rsidRPr="00410DAB">
          <w:rPr>
            <w:rStyle w:val="Hyperlink"/>
            <w:rFonts w:ascii="Public Sans" w:hAnsi="Public Sans" w:cs="Arial"/>
          </w:rPr>
          <w:t>statements.qld.gov.au/statements/102168</w:t>
        </w:r>
      </w:hyperlink>
      <w:r w:rsidRPr="00410DAB">
        <w:rPr>
          <w:rFonts w:ascii="Public Sans" w:hAnsi="Public Sans" w:cs="Arial"/>
        </w:rPr>
        <w:t>&gt; (retrieved 7 April 2024).</w:t>
      </w:r>
    </w:p>
  </w:footnote>
  <w:footnote w:id="94">
    <w:p w14:paraId="5234B202"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NSW Law Reform Commission, </w:t>
      </w:r>
      <w:r w:rsidRPr="00410DAB">
        <w:rPr>
          <w:rFonts w:ascii="Public Sans" w:hAnsi="Public Sans" w:cs="Arial"/>
          <w:i/>
          <w:iCs/>
          <w:color w:val="000000" w:themeColor="text1"/>
        </w:rPr>
        <w:t>Review of the Anti-Discrimination Act 1977 (NSW)</w:t>
      </w:r>
      <w:r w:rsidRPr="00410DAB">
        <w:rPr>
          <w:rFonts w:ascii="Public Sans" w:hAnsi="Public Sans" w:cs="Arial"/>
          <w:color w:val="000000" w:themeColor="text1"/>
        </w:rPr>
        <w:t xml:space="preserve">, Report 92 (1999) [3.99]–[3.100]. See </w:t>
      </w:r>
      <w:r w:rsidRPr="00410DAB">
        <w:rPr>
          <w:rFonts w:ascii="Public Sans" w:hAnsi="Public Sans" w:cs="Arial"/>
          <w:i/>
          <w:iCs/>
          <w:color w:val="000000" w:themeColor="text1"/>
        </w:rPr>
        <w:t>Bonella v Wollongong City Council</w:t>
      </w:r>
      <w:r w:rsidRPr="00410DAB">
        <w:rPr>
          <w:rFonts w:ascii="Public Sans" w:hAnsi="Public Sans" w:cs="Arial"/>
          <w:color w:val="000000" w:themeColor="text1"/>
        </w:rPr>
        <w:t xml:space="preserve"> [2001] NSWADT 194 [94].</w:t>
      </w:r>
    </w:p>
  </w:footnote>
  <w:footnote w:id="95">
    <w:p w14:paraId="4A9DD117" w14:textId="5478832A" w:rsidR="008D695B" w:rsidRPr="00410DAB" w:rsidRDefault="008D695B" w:rsidP="008D695B">
      <w:pPr>
        <w:pStyle w:val="FootnoteText"/>
        <w:rPr>
          <w:rFonts w:ascii="Public Sans" w:hAnsi="Public Sans" w:cs="Arial"/>
          <w:b/>
          <w:bCs/>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Disability Discrimination Act 1992</w:t>
      </w:r>
      <w:r w:rsidRPr="00410DAB">
        <w:rPr>
          <w:rFonts w:ascii="Public Sans" w:hAnsi="Public Sans" w:cs="Arial"/>
        </w:rPr>
        <w:t xml:space="preserve"> (Cth) s 6(1)(b); </w:t>
      </w:r>
      <w:r w:rsidRPr="00410DAB">
        <w:rPr>
          <w:rFonts w:ascii="Public Sans" w:hAnsi="Public Sans" w:cs="Arial"/>
          <w:i/>
          <w:iCs/>
        </w:rPr>
        <w:t>Racial Discrimination Act 1975</w:t>
      </w:r>
      <w:r w:rsidRPr="00410DAB">
        <w:rPr>
          <w:rFonts w:ascii="Public Sans" w:hAnsi="Public Sans" w:cs="Arial"/>
        </w:rPr>
        <w:t xml:space="preserve"> (Cth) s 9(1A)(b); </w:t>
      </w:r>
      <w:r w:rsidRPr="00410DAB">
        <w:rPr>
          <w:rFonts w:ascii="Public Sans" w:hAnsi="Public Sans" w:cs="Arial"/>
          <w:i/>
          <w:iCs/>
        </w:rPr>
        <w:t>Anti-Discrimination Act 1991</w:t>
      </w:r>
      <w:r w:rsidRPr="00410DAB">
        <w:rPr>
          <w:rFonts w:ascii="Public Sans" w:hAnsi="Public Sans" w:cs="Arial"/>
        </w:rPr>
        <w:t xml:space="preserve"> (Qld) s 11(1)(a); </w:t>
      </w:r>
      <w:r w:rsidRPr="00410DAB">
        <w:rPr>
          <w:rFonts w:ascii="Public Sans" w:hAnsi="Public Sans" w:cs="Arial"/>
          <w:i/>
          <w:iCs/>
        </w:rPr>
        <w:t>Equal Opportunity Act 1984</w:t>
      </w:r>
      <w:r w:rsidRPr="00410DAB">
        <w:rPr>
          <w:rFonts w:ascii="Public Sans" w:hAnsi="Public Sans" w:cs="Arial"/>
        </w:rPr>
        <w:t xml:space="preserve"> (WA) s 9(2)(c); </w:t>
      </w:r>
      <w:r w:rsidRPr="00410DAB">
        <w:rPr>
          <w:rFonts w:ascii="Public Sans" w:hAnsi="Public Sans" w:cs="Arial"/>
          <w:i/>
          <w:iCs/>
        </w:rPr>
        <w:t>Equal Opportunity Act 1984</w:t>
      </w:r>
      <w:r w:rsidRPr="00410DAB">
        <w:rPr>
          <w:rFonts w:ascii="Public Sans" w:hAnsi="Public Sans" w:cs="Arial"/>
        </w:rPr>
        <w:t xml:space="preserve"> (SA) s 29(2a)(b). But see </w:t>
      </w:r>
      <w:r w:rsidRPr="00410DAB">
        <w:rPr>
          <w:rFonts w:ascii="Public Sans" w:hAnsi="Public Sans" w:cs="Arial"/>
          <w:i/>
          <w:iCs/>
        </w:rPr>
        <w:t>Respect at Work and Other Matters Amendment Act 2024</w:t>
      </w:r>
      <w:r w:rsidRPr="00410DAB">
        <w:rPr>
          <w:rFonts w:ascii="Public Sans" w:hAnsi="Public Sans" w:cs="Arial"/>
        </w:rPr>
        <w:t xml:space="preserve"> (Qld) s 7B, inserting </w:t>
      </w:r>
      <w:r w:rsidRPr="00410DAB">
        <w:rPr>
          <w:rFonts w:ascii="Public Sans" w:hAnsi="Public Sans" w:cs="Arial"/>
          <w:i/>
          <w:iCs/>
        </w:rPr>
        <w:t>Anti-Discrimination Act 1991</w:t>
      </w:r>
      <w:r w:rsidRPr="00410DAB">
        <w:rPr>
          <w:rFonts w:ascii="Public Sans" w:hAnsi="Public Sans" w:cs="Arial"/>
        </w:rPr>
        <w:t xml:space="preserve"> (Qld) s 11A (</w:t>
      </w:r>
      <w:r w:rsidR="00625BC8">
        <w:rPr>
          <w:rFonts w:ascii="Public Sans" w:hAnsi="Public Sans" w:cs="Arial"/>
        </w:rPr>
        <w:t>un</w:t>
      </w:r>
      <w:r w:rsidRPr="00410DAB">
        <w:rPr>
          <w:rFonts w:ascii="Public Sans" w:hAnsi="Public Sans" w:cs="Arial"/>
        </w:rPr>
        <w:t>commence</w:t>
      </w:r>
      <w:r w:rsidR="00625BC8">
        <w:rPr>
          <w:rFonts w:ascii="Public Sans" w:hAnsi="Public Sans" w:cs="Arial"/>
        </w:rPr>
        <w:t>d</w:t>
      </w:r>
      <w:r w:rsidRPr="00410DAB">
        <w:rPr>
          <w:rFonts w:ascii="Public Sans" w:hAnsi="Public Sans" w:cs="Arial"/>
        </w:rPr>
        <w:t xml:space="preserve">). </w:t>
      </w:r>
    </w:p>
  </w:footnote>
  <w:footnote w:id="96">
    <w:p w14:paraId="236B3B72"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Law Reform Commission of Western Australia, </w:t>
      </w:r>
      <w:r w:rsidRPr="00410DAB">
        <w:rPr>
          <w:rFonts w:ascii="Public Sans" w:hAnsi="Public Sans" w:cs="Arial"/>
          <w:i/>
          <w:iCs/>
        </w:rPr>
        <w:t>Review of the Equal Opportunity Act 1984 (WA)</w:t>
      </w:r>
      <w:r w:rsidRPr="00410DAB">
        <w:rPr>
          <w:rFonts w:ascii="Public Sans" w:hAnsi="Public Sans" w:cs="Arial"/>
        </w:rPr>
        <w:t xml:space="preserve">, Project 111, Final Report (2022) [4.1.2.3], rec 11; Queensland Human Rights Commission, </w:t>
      </w:r>
      <w:r w:rsidRPr="00410DAB">
        <w:rPr>
          <w:rFonts w:ascii="Public Sans" w:hAnsi="Public Sans" w:cs="Arial"/>
          <w:i/>
          <w:iCs/>
        </w:rPr>
        <w:t>Building Belonging: Review of Queensland's Anti-Discrimination Act 1991</w:t>
      </w:r>
      <w:r w:rsidRPr="00410DAB">
        <w:rPr>
          <w:rFonts w:ascii="Public Sans" w:hAnsi="Public Sans" w:cs="Arial"/>
        </w:rPr>
        <w:t xml:space="preserve"> (2022) 98; Australian Human Rights Commission, </w:t>
      </w:r>
      <w:r w:rsidRPr="00410DAB">
        <w:rPr>
          <w:rFonts w:ascii="Public Sans" w:hAnsi="Public Sans" w:cs="Arial"/>
          <w:i/>
          <w:iCs/>
        </w:rPr>
        <w:t xml:space="preserve">Free and Equal: A Reform Agenda for Federal Discrimination Laws </w:t>
      </w:r>
      <w:r w:rsidRPr="00410DAB">
        <w:rPr>
          <w:rFonts w:ascii="Public Sans" w:hAnsi="Public Sans" w:cs="Arial"/>
        </w:rPr>
        <w:t xml:space="preserve">(2021) 296, 339. </w:t>
      </w:r>
    </w:p>
  </w:footnote>
  <w:footnote w:id="97">
    <w:p w14:paraId="63D440F4"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Law Reform Commission of Western Australia, </w:t>
      </w:r>
      <w:r w:rsidRPr="00410DAB">
        <w:rPr>
          <w:rFonts w:ascii="Public Sans" w:hAnsi="Public Sans" w:cs="Arial"/>
          <w:i/>
          <w:iCs/>
        </w:rPr>
        <w:t>Review of the Equal Opportunity Act 1984 (WA)</w:t>
      </w:r>
      <w:r w:rsidRPr="00410DAB">
        <w:rPr>
          <w:rFonts w:ascii="Public Sans" w:hAnsi="Public Sans" w:cs="Arial"/>
        </w:rPr>
        <w:t>, Project 111, Final Report (2022) [4.1.2.3].</w:t>
      </w:r>
    </w:p>
  </w:footnote>
  <w:footnote w:id="98">
    <w:p w14:paraId="60CCC7DA"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Queensland Human Rights Commission, </w:t>
      </w:r>
      <w:r w:rsidRPr="00410DAB">
        <w:rPr>
          <w:rFonts w:ascii="Public Sans" w:hAnsi="Public Sans" w:cs="Arial"/>
          <w:i/>
          <w:iCs/>
        </w:rPr>
        <w:t>Building Belonging: Review of Queensland's Anti-Discrimination Act 1991</w:t>
      </w:r>
      <w:r w:rsidRPr="00410DAB">
        <w:rPr>
          <w:rFonts w:ascii="Public Sans" w:hAnsi="Public Sans" w:cs="Arial"/>
        </w:rPr>
        <w:t xml:space="preserve"> (2022) 98.</w:t>
      </w:r>
    </w:p>
  </w:footnote>
  <w:footnote w:id="99">
    <w:p w14:paraId="2B1BCFA9" w14:textId="2302C92D"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i/>
          <w:iCs/>
        </w:rPr>
        <w:t>Discrimination Act 1991</w:t>
      </w:r>
      <w:r w:rsidRPr="00410DAB">
        <w:rPr>
          <w:rFonts w:ascii="Public Sans" w:hAnsi="Public Sans" w:cs="Arial"/>
        </w:rPr>
        <w:t xml:space="preserve"> (ACT) s 8(3)–(4); </w:t>
      </w:r>
      <w:r w:rsidRPr="00410DAB">
        <w:rPr>
          <w:rFonts w:ascii="Public Sans" w:hAnsi="Public Sans" w:cs="Arial"/>
          <w:i/>
          <w:iCs/>
        </w:rPr>
        <w:t>Equal Opportunity Act 2010</w:t>
      </w:r>
      <w:r w:rsidRPr="00410DAB">
        <w:rPr>
          <w:rFonts w:ascii="Public Sans" w:hAnsi="Public Sans" w:cs="Arial"/>
        </w:rPr>
        <w:t xml:space="preserve"> (Vic) s 9(1); </w:t>
      </w:r>
      <w:r w:rsidRPr="00410DAB">
        <w:rPr>
          <w:rFonts w:ascii="Public Sans" w:hAnsi="Public Sans" w:cs="Arial"/>
          <w:i/>
          <w:iCs/>
        </w:rPr>
        <w:t>Anti-Discrimination Act 1998</w:t>
      </w:r>
      <w:r w:rsidRPr="00410DAB">
        <w:rPr>
          <w:rFonts w:ascii="Public Sans" w:hAnsi="Public Sans" w:cs="Arial"/>
        </w:rPr>
        <w:t xml:space="preserve"> (Tas) s 15(1); </w:t>
      </w:r>
      <w:r w:rsidRPr="00410DAB">
        <w:rPr>
          <w:rFonts w:ascii="Public Sans" w:hAnsi="Public Sans" w:cs="Arial"/>
          <w:i/>
          <w:iCs/>
        </w:rPr>
        <w:t xml:space="preserve">Sex Discrimination Act 1984 </w:t>
      </w:r>
      <w:r w:rsidRPr="00410DAB">
        <w:rPr>
          <w:rFonts w:ascii="Public Sans" w:hAnsi="Public Sans" w:cs="Arial"/>
        </w:rPr>
        <w:t xml:space="preserve">(Cth) s 7B. But see </w:t>
      </w:r>
      <w:r w:rsidRPr="00410DAB">
        <w:rPr>
          <w:rFonts w:ascii="Public Sans" w:hAnsi="Public Sans" w:cs="Arial"/>
          <w:i/>
          <w:iCs/>
        </w:rPr>
        <w:t>Respect at Work and Other Matters Amendment Act 2024</w:t>
      </w:r>
      <w:r w:rsidRPr="00410DAB">
        <w:rPr>
          <w:rFonts w:ascii="Public Sans" w:hAnsi="Public Sans" w:cs="Arial"/>
        </w:rPr>
        <w:t xml:space="preserve"> (Qld) s 7B, </w:t>
      </w:r>
      <w:r w:rsidR="009165E9">
        <w:rPr>
          <w:rFonts w:ascii="Public Sans" w:hAnsi="Public Sans" w:cs="Arial"/>
        </w:rPr>
        <w:t>amending</w:t>
      </w:r>
      <w:r w:rsidRPr="00410DAB">
        <w:rPr>
          <w:rFonts w:ascii="Public Sans" w:hAnsi="Public Sans" w:cs="Arial"/>
        </w:rPr>
        <w:t xml:space="preserve"> </w:t>
      </w:r>
      <w:r w:rsidRPr="00410DAB">
        <w:rPr>
          <w:rFonts w:ascii="Public Sans" w:hAnsi="Public Sans" w:cs="Arial"/>
          <w:i/>
          <w:iCs/>
        </w:rPr>
        <w:t>Anti-Discrimination Act 1991</w:t>
      </w:r>
      <w:r w:rsidRPr="00410DAB">
        <w:rPr>
          <w:rFonts w:ascii="Public Sans" w:hAnsi="Public Sans" w:cs="Arial"/>
        </w:rPr>
        <w:t xml:space="preserve"> (Qld) s 10 (</w:t>
      </w:r>
      <w:r w:rsidR="009165E9">
        <w:rPr>
          <w:rFonts w:ascii="Public Sans" w:hAnsi="Public Sans" w:cs="Arial"/>
        </w:rPr>
        <w:t>un</w:t>
      </w:r>
      <w:r w:rsidRPr="00410DAB">
        <w:rPr>
          <w:rFonts w:ascii="Public Sans" w:hAnsi="Public Sans" w:cs="Arial"/>
        </w:rPr>
        <w:t>commence</w:t>
      </w:r>
      <w:r w:rsidR="009165E9">
        <w:rPr>
          <w:rFonts w:ascii="Public Sans" w:hAnsi="Public Sans" w:cs="Arial"/>
        </w:rPr>
        <w:t>d</w:t>
      </w:r>
      <w:r w:rsidRPr="00410DAB">
        <w:rPr>
          <w:rFonts w:ascii="Public Sans" w:hAnsi="Public Sans" w:cs="Arial"/>
        </w:rPr>
        <w:t>).</w:t>
      </w:r>
    </w:p>
  </w:footnote>
  <w:footnote w:id="100">
    <w:p w14:paraId="64FA5B96"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See, eg, </w:t>
      </w:r>
      <w:r w:rsidRPr="00410DAB">
        <w:rPr>
          <w:rFonts w:ascii="Public Sans" w:hAnsi="Public Sans" w:cs="Arial"/>
          <w:i/>
          <w:iCs/>
          <w:color w:val="000000" w:themeColor="text1"/>
        </w:rPr>
        <w:t>Discrimination Act 1991</w:t>
      </w:r>
      <w:r w:rsidRPr="00410DAB">
        <w:rPr>
          <w:rFonts w:ascii="Public Sans" w:hAnsi="Public Sans" w:cs="Arial"/>
          <w:color w:val="000000" w:themeColor="text1"/>
        </w:rPr>
        <w:t xml:space="preserve"> (ACT) s 8(3)–(5); </w:t>
      </w:r>
      <w:r w:rsidRPr="00410DAB">
        <w:rPr>
          <w:rFonts w:ascii="Public Sans" w:hAnsi="Public Sans" w:cs="Arial"/>
          <w:i/>
          <w:iCs/>
          <w:color w:val="000000" w:themeColor="text1"/>
        </w:rPr>
        <w:t>Equal Opportunity Act 2010</w:t>
      </w:r>
      <w:r w:rsidRPr="00410DAB">
        <w:rPr>
          <w:rFonts w:ascii="Public Sans" w:hAnsi="Public Sans" w:cs="Arial"/>
          <w:color w:val="000000" w:themeColor="text1"/>
        </w:rPr>
        <w:t xml:space="preserve"> (Vic) s 9.</w:t>
      </w:r>
    </w:p>
  </w:footnote>
  <w:footnote w:id="101">
    <w:p w14:paraId="7398777C"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Anti-Discrimination Act 1977</w:t>
      </w:r>
      <w:r w:rsidRPr="00410DAB">
        <w:rPr>
          <w:rFonts w:ascii="Public Sans" w:hAnsi="Public Sans" w:cs="Arial"/>
          <w:color w:val="000000" w:themeColor="text1"/>
        </w:rPr>
        <w:t xml:space="preserve"> (NSW) s 7(1)(c), s 24(1)(b), s 38B(1)(b), s 39(1)(b), s 49B(1)(b), s 49T(1)(b), s 49ZG(1)(b), s 49ZYA(1)(b).</w:t>
      </w:r>
    </w:p>
  </w:footnote>
  <w:footnote w:id="102">
    <w:p w14:paraId="3B2CC2C3"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Age Discrimination Act 2004</w:t>
      </w:r>
      <w:r w:rsidRPr="00410DAB">
        <w:rPr>
          <w:rFonts w:ascii="Public Sans" w:hAnsi="Public Sans" w:cs="Arial"/>
          <w:color w:val="000000" w:themeColor="text1"/>
        </w:rPr>
        <w:t xml:space="preserve"> (Cth) s 15(2); </w:t>
      </w:r>
      <w:r w:rsidRPr="00410DAB">
        <w:rPr>
          <w:rFonts w:ascii="Public Sans" w:hAnsi="Public Sans" w:cs="Arial"/>
          <w:i/>
          <w:iCs/>
          <w:color w:val="000000" w:themeColor="text1"/>
        </w:rPr>
        <w:t>Disability Discrimination Act 1992</w:t>
      </w:r>
      <w:r w:rsidRPr="00410DAB">
        <w:rPr>
          <w:rFonts w:ascii="Public Sans" w:hAnsi="Public Sans" w:cs="Arial"/>
          <w:color w:val="000000" w:themeColor="text1"/>
        </w:rPr>
        <w:t xml:space="preserve"> (Cth) s 6(4); </w:t>
      </w:r>
      <w:r w:rsidRPr="00410DAB">
        <w:rPr>
          <w:rFonts w:ascii="Public Sans" w:hAnsi="Public Sans" w:cs="Arial"/>
          <w:i/>
          <w:iCs/>
          <w:color w:val="000000" w:themeColor="text1"/>
        </w:rPr>
        <w:t xml:space="preserve">Sex Discrimination Act 1984 </w:t>
      </w:r>
      <w:r w:rsidRPr="00410DAB">
        <w:rPr>
          <w:rFonts w:ascii="Public Sans" w:hAnsi="Public Sans" w:cs="Arial"/>
          <w:color w:val="000000" w:themeColor="text1"/>
        </w:rPr>
        <w:t>(Cth) s 7C;</w:t>
      </w:r>
      <w:r w:rsidRPr="00410DAB">
        <w:rPr>
          <w:rFonts w:ascii="Public Sans" w:hAnsi="Public Sans" w:cs="Arial"/>
          <w:i/>
          <w:iCs/>
          <w:color w:val="000000" w:themeColor="text1"/>
        </w:rPr>
        <w:t xml:space="preserve"> Discrimination Act 1991 </w:t>
      </w:r>
      <w:r w:rsidRPr="00410DAB">
        <w:rPr>
          <w:rFonts w:ascii="Public Sans" w:hAnsi="Public Sans" w:cs="Arial"/>
          <w:color w:val="000000" w:themeColor="text1"/>
        </w:rPr>
        <w:t xml:space="preserve">(ACT) s 70; </w:t>
      </w:r>
      <w:r w:rsidRPr="00410DAB">
        <w:rPr>
          <w:rFonts w:ascii="Public Sans" w:hAnsi="Public Sans" w:cs="Arial"/>
          <w:i/>
          <w:iCs/>
          <w:color w:val="000000" w:themeColor="text1"/>
        </w:rPr>
        <w:t>Equal Opportunity Act 2010</w:t>
      </w:r>
      <w:r w:rsidRPr="00410DAB">
        <w:rPr>
          <w:rFonts w:ascii="Public Sans" w:hAnsi="Public Sans" w:cs="Arial"/>
          <w:color w:val="000000" w:themeColor="text1"/>
        </w:rPr>
        <w:t xml:space="preserve"> (Vic) s 9(2);</w:t>
      </w:r>
      <w:r w:rsidRPr="00410DAB">
        <w:rPr>
          <w:rFonts w:ascii="Public Sans" w:hAnsi="Public Sans" w:cs="Arial"/>
          <w:i/>
          <w:iCs/>
          <w:color w:val="000000" w:themeColor="text1"/>
        </w:rPr>
        <w:t xml:space="preserve"> Anti-Discrimination Act 1991</w:t>
      </w:r>
      <w:r w:rsidRPr="00410DAB">
        <w:rPr>
          <w:rFonts w:ascii="Public Sans" w:hAnsi="Public Sans" w:cs="Arial"/>
          <w:color w:val="000000" w:themeColor="text1"/>
        </w:rPr>
        <w:t xml:space="preserve"> (Qld) s 205. </w:t>
      </w:r>
    </w:p>
  </w:footnote>
  <w:footnote w:id="103">
    <w:p w14:paraId="3F389047"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Australian Human Rights Commission, </w:t>
      </w:r>
      <w:r w:rsidRPr="00410DAB">
        <w:rPr>
          <w:rFonts w:ascii="Public Sans" w:hAnsi="Public Sans" w:cs="Arial"/>
          <w:i/>
          <w:iCs/>
          <w:color w:val="000000" w:themeColor="text1"/>
        </w:rPr>
        <w:t xml:space="preserve">Free and Equal: A Reform Agenda for Federal Discrimination Laws </w:t>
      </w:r>
      <w:r w:rsidRPr="00410DAB">
        <w:rPr>
          <w:rFonts w:ascii="Public Sans" w:hAnsi="Public Sans" w:cs="Arial"/>
          <w:color w:val="000000" w:themeColor="text1"/>
        </w:rPr>
        <w:t xml:space="preserve">(2021) 296; Australia, Senate, Standing Committee on Legal and Constitutional Affairs, </w:t>
      </w:r>
      <w:r w:rsidRPr="00410DAB">
        <w:rPr>
          <w:rFonts w:ascii="Public Sans" w:hAnsi="Public Sans" w:cs="Arial"/>
          <w:i/>
          <w:iCs/>
          <w:color w:val="000000" w:themeColor="text1"/>
        </w:rPr>
        <w:t xml:space="preserve">Effectiveness of the Sex Discrimination Act 1984 in Eliminating Discrimination and Promoting Gender Equality </w:t>
      </w:r>
      <w:r w:rsidRPr="00410DAB">
        <w:rPr>
          <w:rFonts w:ascii="Public Sans" w:hAnsi="Public Sans" w:cs="Arial"/>
          <w:color w:val="000000" w:themeColor="text1"/>
        </w:rPr>
        <w:t>(2008) rec 6, [11.13], [11.17].</w:t>
      </w:r>
    </w:p>
  </w:footnote>
  <w:footnote w:id="104">
    <w:p w14:paraId="7803BAAC"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bookmarkStart w:id="96" w:name="_Hlk192773411"/>
      <w:r w:rsidRPr="00410DAB">
        <w:rPr>
          <w:rFonts w:ascii="Public Sans" w:hAnsi="Public Sans" w:cs="Arial"/>
          <w:i/>
          <w:iCs/>
        </w:rPr>
        <w:t>Bonella v Wollongong City Council</w:t>
      </w:r>
      <w:r w:rsidRPr="00410DAB">
        <w:rPr>
          <w:rFonts w:ascii="Public Sans" w:hAnsi="Public Sans" w:cs="Arial"/>
        </w:rPr>
        <w:t xml:space="preserve"> [2001] NSWADT 194 [95–111]; </w:t>
      </w:r>
      <w:r w:rsidRPr="00410DAB">
        <w:rPr>
          <w:rFonts w:ascii="Public Sans" w:hAnsi="Public Sans" w:cs="Arial"/>
          <w:i/>
          <w:iCs/>
        </w:rPr>
        <w:t>Gardiner v WorkCover Authority of NSW</w:t>
      </w:r>
      <w:r w:rsidRPr="00410DAB">
        <w:rPr>
          <w:rFonts w:ascii="Public Sans" w:hAnsi="Public Sans" w:cs="Arial"/>
        </w:rPr>
        <w:t xml:space="preserve"> [2004] NSWADTAP 1 [24]–[41].</w:t>
      </w:r>
      <w:bookmarkEnd w:id="96"/>
    </w:p>
  </w:footnote>
  <w:footnote w:id="105">
    <w:p w14:paraId="421D523E"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Bonella v Wollongong City Council</w:t>
      </w:r>
      <w:r w:rsidRPr="00410DAB">
        <w:rPr>
          <w:rFonts w:ascii="Public Sans" w:hAnsi="Public Sans"/>
        </w:rPr>
        <w:t xml:space="preserve"> [2001] NSWADT 194 [95]–[97].</w:t>
      </w:r>
    </w:p>
  </w:footnote>
  <w:footnote w:id="106">
    <w:p w14:paraId="79E8F4CE" w14:textId="1EAE343F" w:rsidR="008D695B" w:rsidRPr="00410DAB" w:rsidRDefault="008D695B" w:rsidP="008D695B">
      <w:pPr>
        <w:pStyle w:val="FootnoteText"/>
        <w:rPr>
          <w:rFonts w:ascii="Public Sans" w:hAnsi="Public Sans" w:cs="Arial"/>
          <w:b/>
          <w:bCs/>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8(5); </w:t>
      </w:r>
      <w:r w:rsidRPr="00410DAB">
        <w:rPr>
          <w:rFonts w:ascii="Public Sans" w:hAnsi="Public Sans" w:cs="Arial"/>
          <w:i/>
          <w:iCs/>
        </w:rPr>
        <w:t>Equal Opportunity Act 2010</w:t>
      </w:r>
      <w:r w:rsidRPr="00410DAB">
        <w:rPr>
          <w:rFonts w:ascii="Public Sans" w:hAnsi="Public Sans" w:cs="Arial"/>
        </w:rPr>
        <w:t xml:space="preserve"> (Vic) s 9(3); </w:t>
      </w:r>
      <w:r w:rsidRPr="00410DAB">
        <w:rPr>
          <w:rFonts w:ascii="Public Sans" w:hAnsi="Public Sans" w:cs="Arial"/>
          <w:i/>
          <w:iCs/>
        </w:rPr>
        <w:t xml:space="preserve">Sex Discrimination Act 1984 </w:t>
      </w:r>
      <w:r w:rsidRPr="00410DAB">
        <w:rPr>
          <w:rFonts w:ascii="Public Sans" w:hAnsi="Public Sans" w:cs="Arial"/>
        </w:rPr>
        <w:t>(Cth) s 7B(2).</w:t>
      </w:r>
    </w:p>
  </w:footnote>
  <w:footnote w:id="107">
    <w:p w14:paraId="79046C55" w14:textId="1C17254A"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i/>
          <w:iCs/>
        </w:rPr>
        <w:tab/>
        <w:t xml:space="preserve">Equal Opportunity Act 2010 </w:t>
      </w:r>
      <w:r w:rsidRPr="00410DAB">
        <w:rPr>
          <w:rFonts w:ascii="Public Sans" w:hAnsi="Public Sans" w:cs="Arial"/>
        </w:rPr>
        <w:t>(Vic) s 9(3).</w:t>
      </w:r>
    </w:p>
  </w:footnote>
  <w:footnote w:id="108">
    <w:p w14:paraId="39BCEF7E"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Law Reform Commission of Western Australia, </w:t>
      </w:r>
      <w:r w:rsidRPr="00410DAB">
        <w:rPr>
          <w:rFonts w:ascii="Public Sans" w:hAnsi="Public Sans" w:cs="Arial"/>
          <w:i/>
          <w:iCs/>
        </w:rPr>
        <w:t>Review of the Equal Opportunity Act 1984 (WA)</w:t>
      </w:r>
      <w:r w:rsidRPr="00410DAB">
        <w:rPr>
          <w:rFonts w:ascii="Public Sans" w:hAnsi="Public Sans" w:cs="Arial"/>
        </w:rPr>
        <w:t>, Project 111, Final Report (2022) rec 10, [4.1.2.2].</w:t>
      </w:r>
    </w:p>
  </w:footnote>
  <w:footnote w:id="109">
    <w:p w14:paraId="203C7CEF"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rec 6, [3.104].</w:t>
      </w:r>
    </w:p>
  </w:footnote>
  <w:footnote w:id="110">
    <w:p w14:paraId="4B918D3A"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Equality Act 2010</w:t>
      </w:r>
      <w:r w:rsidRPr="00410DAB">
        <w:rPr>
          <w:rFonts w:ascii="Public Sans" w:hAnsi="Public Sans" w:cs="Arial"/>
        </w:rPr>
        <w:t xml:space="preserve"> (UK) s 19.</w:t>
      </w:r>
    </w:p>
  </w:footnote>
  <w:footnote w:id="111">
    <w:p w14:paraId="29E3D0F3"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Australian Human Rights Commission, </w:t>
      </w:r>
      <w:r w:rsidRPr="00410DAB">
        <w:rPr>
          <w:rFonts w:ascii="Public Sans" w:hAnsi="Public Sans" w:cs="Arial"/>
          <w:i/>
          <w:iCs/>
          <w:color w:val="000000" w:themeColor="text1"/>
        </w:rPr>
        <w:t xml:space="preserve">Free and Equal: A Reform Agenda for Federal Discrimination Laws </w:t>
      </w:r>
      <w:r w:rsidRPr="00410DAB">
        <w:rPr>
          <w:rFonts w:ascii="Public Sans" w:hAnsi="Public Sans" w:cs="Arial"/>
          <w:color w:val="000000" w:themeColor="text1"/>
        </w:rPr>
        <w:t xml:space="preserve">(2021) 296. See also Australia, Senate, Standing Committee on Legal and Constitutional Affairs, </w:t>
      </w:r>
      <w:r w:rsidRPr="00410DAB">
        <w:rPr>
          <w:rFonts w:ascii="Public Sans" w:hAnsi="Public Sans" w:cs="Arial"/>
          <w:i/>
          <w:iCs/>
          <w:color w:val="000000" w:themeColor="text1"/>
        </w:rPr>
        <w:t xml:space="preserve">Effectiveness of the Sex Discrimination Act 1984 in Eliminating Discrimination and Promoting Gender Equality </w:t>
      </w:r>
      <w:r w:rsidRPr="00410DAB">
        <w:rPr>
          <w:rFonts w:ascii="Public Sans" w:hAnsi="Public Sans" w:cs="Arial"/>
          <w:color w:val="000000" w:themeColor="text1"/>
        </w:rPr>
        <w:t>(2008) rec 6, [11.17].</w:t>
      </w:r>
    </w:p>
  </w:footnote>
  <w:footnote w:id="112">
    <w:p w14:paraId="23D3BCD1"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Queensland Human Rights Commission, </w:t>
      </w:r>
      <w:r w:rsidRPr="00410DAB">
        <w:rPr>
          <w:rFonts w:ascii="Public Sans" w:hAnsi="Public Sans" w:cs="Arial"/>
          <w:i/>
          <w:iCs/>
          <w:color w:val="000000" w:themeColor="text1"/>
        </w:rPr>
        <w:t>Building Belonging: Review of Queensland's Anti-Discrimination Act 1991</w:t>
      </w:r>
      <w:r w:rsidRPr="00410DAB">
        <w:rPr>
          <w:rFonts w:ascii="Public Sans" w:hAnsi="Public Sans" w:cs="Arial"/>
          <w:color w:val="000000" w:themeColor="text1"/>
        </w:rPr>
        <w:t xml:space="preserve"> (2022) 103.</w:t>
      </w:r>
    </w:p>
  </w:footnote>
  <w:footnote w:id="113">
    <w:p w14:paraId="0CFF5CCB"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See, eg, </w:t>
      </w:r>
      <w:r w:rsidRPr="00410DAB">
        <w:rPr>
          <w:rFonts w:ascii="Public Sans" w:hAnsi="Public Sans" w:cs="Arial"/>
          <w:i/>
          <w:iCs/>
          <w:color w:val="000000" w:themeColor="text1"/>
        </w:rPr>
        <w:t>Discrimination Act 1991</w:t>
      </w:r>
      <w:r w:rsidRPr="00410DAB">
        <w:rPr>
          <w:rFonts w:ascii="Public Sans" w:hAnsi="Public Sans" w:cs="Arial"/>
          <w:color w:val="000000" w:themeColor="text1"/>
        </w:rPr>
        <w:t xml:space="preserve"> (ACT) s 7(2); </w:t>
      </w:r>
      <w:r w:rsidRPr="00410DAB">
        <w:rPr>
          <w:rFonts w:ascii="Public Sans" w:hAnsi="Public Sans" w:cs="Arial"/>
          <w:i/>
          <w:iCs/>
          <w:color w:val="000000" w:themeColor="text1"/>
        </w:rPr>
        <w:t>Equal Opportunity Act 2010</w:t>
      </w:r>
      <w:r w:rsidRPr="00410DAB">
        <w:rPr>
          <w:rFonts w:ascii="Public Sans" w:hAnsi="Public Sans" w:cs="Arial"/>
          <w:color w:val="000000" w:themeColor="text1"/>
        </w:rPr>
        <w:t xml:space="preserve"> (Vic) s 7(2); </w:t>
      </w:r>
      <w:r w:rsidRPr="00410DAB">
        <w:rPr>
          <w:rFonts w:ascii="Public Sans" w:hAnsi="Public Sans" w:cs="Arial"/>
          <w:i/>
          <w:iCs/>
          <w:color w:val="000000" w:themeColor="text1"/>
        </w:rPr>
        <w:t>Anti-Discrimination Act 1991</w:t>
      </w:r>
      <w:r w:rsidRPr="00410DAB">
        <w:rPr>
          <w:rFonts w:ascii="Public Sans" w:hAnsi="Public Sans" w:cs="Arial"/>
          <w:color w:val="000000" w:themeColor="text1"/>
        </w:rPr>
        <w:t xml:space="preserve"> (Qld) s 8.</w:t>
      </w:r>
    </w:p>
  </w:footnote>
  <w:footnote w:id="114">
    <w:p w14:paraId="3B979A6F"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Discrimination Act 1991</w:t>
      </w:r>
      <w:r w:rsidRPr="00410DAB">
        <w:rPr>
          <w:rFonts w:ascii="Public Sans" w:hAnsi="Public Sans" w:cs="Arial"/>
          <w:color w:val="000000" w:themeColor="text1"/>
        </w:rPr>
        <w:t xml:space="preserve"> (ACT) s 7(2)(a)–(b).</w:t>
      </w:r>
    </w:p>
  </w:footnote>
  <w:footnote w:id="115">
    <w:p w14:paraId="420C6120" w14:textId="77777777" w:rsidR="008D695B" w:rsidRPr="00410DAB" w:rsidRDefault="008D695B" w:rsidP="008D695B">
      <w:pPr>
        <w:pStyle w:val="FootnoteText"/>
        <w:rPr>
          <w:rFonts w:ascii="Public Sans" w:hAnsi="Public Sans" w:cs="Arial"/>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Law Reform Commission of Western Australia, </w:t>
      </w:r>
      <w:r w:rsidRPr="00410DAB">
        <w:rPr>
          <w:rFonts w:ascii="Public Sans" w:hAnsi="Public Sans" w:cs="Arial"/>
          <w:i/>
          <w:iCs/>
          <w:color w:val="000000" w:themeColor="text1"/>
        </w:rPr>
        <w:t>Review of the Equal Opportunity Act 1984 (WA)</w:t>
      </w:r>
      <w:r w:rsidRPr="00410DAB">
        <w:rPr>
          <w:rFonts w:ascii="Public Sans" w:hAnsi="Public Sans" w:cs="Arial"/>
          <w:color w:val="000000" w:themeColor="text1"/>
        </w:rPr>
        <w:t xml:space="preserve">, </w:t>
      </w:r>
      <w:r w:rsidRPr="00410DAB">
        <w:rPr>
          <w:rFonts w:ascii="Public Sans" w:hAnsi="Public Sans" w:cs="Arial"/>
        </w:rPr>
        <w:t>Project 111, Final Report (2022) 65.</w:t>
      </w:r>
    </w:p>
  </w:footnote>
  <w:footnote w:id="116">
    <w:p w14:paraId="6FF6E96E"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D Allen, "Reducing the Burden of Proving Discrimination in Australia" (2009) 31 </w:t>
      </w:r>
      <w:r w:rsidRPr="00410DAB">
        <w:rPr>
          <w:rFonts w:ascii="Public Sans" w:hAnsi="Public Sans" w:cs="Arial"/>
          <w:i/>
          <w:iCs/>
        </w:rPr>
        <w:t>Sydney Law Review</w:t>
      </w:r>
      <w:r w:rsidRPr="00410DAB">
        <w:rPr>
          <w:rFonts w:ascii="Public Sans" w:hAnsi="Public Sans" w:cs="Arial"/>
        </w:rPr>
        <w:t xml:space="preserve"> 579, 583.</w:t>
      </w:r>
    </w:p>
  </w:footnote>
  <w:footnote w:id="117">
    <w:p w14:paraId="6E6614DF"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Law Reform Commission of Western Australia, </w:t>
      </w:r>
      <w:r w:rsidRPr="00410DAB">
        <w:rPr>
          <w:rFonts w:ascii="Public Sans" w:hAnsi="Public Sans" w:cs="Arial"/>
          <w:i/>
          <w:iCs/>
        </w:rPr>
        <w:t>Review of the Equal Opportunity Act 1984 (WA)</w:t>
      </w:r>
      <w:r w:rsidRPr="00410DAB">
        <w:rPr>
          <w:rFonts w:ascii="Public Sans" w:hAnsi="Public Sans" w:cs="Arial"/>
        </w:rPr>
        <w:t xml:space="preserve">, Project 111, Final Report (2022) [4.8]; D Allen, “Reducing the Burden of Proving Discrimination in Australia” (2009) 31 </w:t>
      </w:r>
      <w:r w:rsidRPr="00410DAB">
        <w:rPr>
          <w:rFonts w:ascii="Public Sans" w:hAnsi="Public Sans" w:cs="Arial"/>
          <w:i/>
          <w:iCs/>
        </w:rPr>
        <w:t>Sydney Law Review</w:t>
      </w:r>
      <w:r w:rsidRPr="00410DAB">
        <w:rPr>
          <w:rFonts w:ascii="Public Sans" w:hAnsi="Public Sans" w:cs="Arial"/>
        </w:rPr>
        <w:t xml:space="preserve"> 579, 583; ACT Law Reform Advisory Council, </w:t>
      </w:r>
      <w:r w:rsidRPr="00410DAB">
        <w:rPr>
          <w:rFonts w:ascii="Public Sans" w:hAnsi="Public Sans" w:cs="Arial"/>
          <w:i/>
          <w:iCs/>
        </w:rPr>
        <w:t>Review of the Discrimination Act 1991 (ACT)</w:t>
      </w:r>
      <w:r w:rsidRPr="00410DAB">
        <w:rPr>
          <w:rFonts w:ascii="Public Sans" w:hAnsi="Public Sans" w:cs="Arial"/>
        </w:rPr>
        <w:t>, Final Report (2015) 142.</w:t>
      </w:r>
    </w:p>
  </w:footnote>
  <w:footnote w:id="118">
    <w:p w14:paraId="5D3BAF36" w14:textId="77777777" w:rsidR="008D695B" w:rsidRPr="00410DAB" w:rsidRDefault="008D695B" w:rsidP="008D695B">
      <w:pPr>
        <w:pStyle w:val="FootnoteText"/>
        <w:rPr>
          <w:rFonts w:ascii="Public Sans" w:hAnsi="Public Sans" w:cs="Arial"/>
          <w:color w:val="0070C0"/>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Fair Work Act 2009</w:t>
      </w:r>
      <w:r w:rsidRPr="00410DAB">
        <w:rPr>
          <w:rFonts w:ascii="Public Sans" w:hAnsi="Public Sans" w:cs="Arial"/>
        </w:rPr>
        <w:t xml:space="preserve"> (Cth) s 351, s 361.</w:t>
      </w:r>
    </w:p>
  </w:footnote>
  <w:footnote w:id="119">
    <w:p w14:paraId="55BDA2BA"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color w:val="FF0000"/>
        </w:rPr>
        <w:tab/>
      </w:r>
      <w:r w:rsidRPr="00410DAB">
        <w:rPr>
          <w:rFonts w:ascii="Public Sans" w:hAnsi="Public Sans" w:cs="Arial"/>
          <w:i/>
          <w:iCs/>
          <w:szCs w:val="18"/>
        </w:rPr>
        <w:t>Royal Commission into Violence, Abuse, Neglect and Exploitation of People with Disability</w:t>
      </w:r>
      <w:r w:rsidRPr="00410DAB">
        <w:rPr>
          <w:rFonts w:ascii="Public Sans" w:hAnsi="Public Sans" w:cs="Arial"/>
          <w:szCs w:val="18"/>
        </w:rPr>
        <w:t>, Final Report</w:t>
      </w:r>
      <w:r w:rsidRPr="00410DAB">
        <w:rPr>
          <w:rFonts w:ascii="Public Sans" w:hAnsi="Public Sans" w:cs="Arial"/>
          <w:i/>
          <w:iCs/>
          <w:szCs w:val="18"/>
        </w:rPr>
        <w:t xml:space="preserve"> </w:t>
      </w:r>
      <w:r w:rsidRPr="00410DAB">
        <w:rPr>
          <w:rFonts w:ascii="Public Sans" w:hAnsi="Public Sans" w:cs="Arial"/>
          <w:szCs w:val="18"/>
        </w:rPr>
        <w:t xml:space="preserve">(2023) vol 4, “Realising the Human Rights of People with Disability”, </w:t>
      </w:r>
      <w:r w:rsidRPr="00410DAB">
        <w:rPr>
          <w:rFonts w:ascii="Public Sans" w:hAnsi="Public Sans" w:cs="Arial"/>
        </w:rPr>
        <w:t>302, rec 4.23.</w:t>
      </w:r>
    </w:p>
  </w:footnote>
  <w:footnote w:id="120">
    <w:p w14:paraId="671899ED"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1991</w:t>
      </w:r>
      <w:r w:rsidRPr="00410DAB">
        <w:rPr>
          <w:rFonts w:ascii="Public Sans" w:hAnsi="Public Sans" w:cs="Arial"/>
        </w:rPr>
        <w:t xml:space="preserve"> (Qld) s 204.</w:t>
      </w:r>
    </w:p>
  </w:footnote>
  <w:footnote w:id="121">
    <w:p w14:paraId="35D60991" w14:textId="77777777" w:rsidR="008D695B" w:rsidRPr="00410DAB" w:rsidRDefault="008D695B" w:rsidP="008D695B">
      <w:pPr>
        <w:pStyle w:val="FootnoteText"/>
        <w:rPr>
          <w:rFonts w:ascii="Public Sans" w:hAnsi="Public Sans"/>
        </w:rPr>
      </w:pPr>
      <w:r w:rsidRPr="00410DAB">
        <w:rPr>
          <w:rStyle w:val="FootnoteReference"/>
          <w:rFonts w:cs="Arial"/>
          <w:vertAlign w:val="baseline"/>
        </w:rPr>
        <w:footnoteRef/>
      </w:r>
      <w:r w:rsidRPr="00410DAB">
        <w:rPr>
          <w:rFonts w:ascii="Public Sans" w:hAnsi="Public Sans"/>
        </w:rPr>
        <w:t>.</w:t>
      </w:r>
      <w:r w:rsidRPr="00410DAB">
        <w:rPr>
          <w:rFonts w:ascii="Public Sans" w:hAnsi="Public Sans"/>
        </w:rPr>
        <w:tab/>
      </w:r>
      <w:r w:rsidRPr="00410DAB">
        <w:rPr>
          <w:rFonts w:ascii="Public Sans" w:hAnsi="Public Sans" w:cs="Arial"/>
          <w:i/>
          <w:iCs/>
        </w:rPr>
        <w:t>Equality Act 2010</w:t>
      </w:r>
      <w:r w:rsidRPr="00410DAB">
        <w:rPr>
          <w:rFonts w:ascii="Public Sans" w:hAnsi="Public Sans" w:cs="Arial"/>
        </w:rPr>
        <w:t xml:space="preserve"> (UK) s 13(1), s 136.</w:t>
      </w:r>
    </w:p>
  </w:footnote>
  <w:footnote w:id="122">
    <w:p w14:paraId="6F39CBCD" w14:textId="77777777" w:rsidR="008D695B" w:rsidRPr="00410DAB" w:rsidRDefault="008D695B" w:rsidP="008D695B">
      <w:pPr>
        <w:pStyle w:val="FootnoteText"/>
        <w:rPr>
          <w:rFonts w:ascii="Public Sans" w:hAnsi="Public Sans" w:cs="Arial"/>
          <w:color w:val="0070C0"/>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Human Rights Commission, </w:t>
      </w:r>
      <w:r w:rsidRPr="00410DAB">
        <w:rPr>
          <w:rFonts w:ascii="Public Sans" w:hAnsi="Public Sans" w:cs="Arial"/>
          <w:i/>
          <w:iCs/>
        </w:rPr>
        <w:t xml:space="preserve">Free and Equal: A Reform Agenda for Federal Discrimination Laws </w:t>
      </w:r>
      <w:r w:rsidRPr="00410DAB">
        <w:rPr>
          <w:rFonts w:ascii="Public Sans" w:hAnsi="Public Sans" w:cs="Arial"/>
        </w:rPr>
        <w:t xml:space="preserve">(2021) [3.4]; Law Reform Commission of Western Australia, </w:t>
      </w:r>
      <w:r w:rsidRPr="00410DAB">
        <w:rPr>
          <w:rFonts w:ascii="Public Sans" w:hAnsi="Public Sans" w:cs="Arial"/>
          <w:i/>
          <w:iCs/>
        </w:rPr>
        <w:t>Review of the Equal Opportunity Act 1984 (WA)</w:t>
      </w:r>
      <w:r w:rsidRPr="00410DAB">
        <w:rPr>
          <w:rFonts w:ascii="Public Sans" w:hAnsi="Public Sans" w:cs="Arial"/>
        </w:rPr>
        <w:t>, Project 111, Final Report (2022) rec 97.</w:t>
      </w:r>
    </w:p>
  </w:footnote>
  <w:footnote w:id="123">
    <w:p w14:paraId="174C664B" w14:textId="77777777" w:rsidR="008D695B" w:rsidRPr="00410DAB" w:rsidRDefault="008D695B" w:rsidP="008D695B">
      <w:pPr>
        <w:pStyle w:val="FootnoteText"/>
        <w:rPr>
          <w:rFonts w:ascii="Public Sans" w:hAnsi="Public Sans" w:cs="Arial"/>
          <w:color w:val="0070C0"/>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Age Discrimination Act 2004</w:t>
      </w:r>
      <w:r w:rsidRPr="00410DAB">
        <w:rPr>
          <w:rFonts w:ascii="Public Sans" w:hAnsi="Public Sans" w:cs="Arial"/>
        </w:rPr>
        <w:t xml:space="preserve"> (Cth) s 15(2); </w:t>
      </w:r>
      <w:r w:rsidRPr="00410DAB">
        <w:rPr>
          <w:rFonts w:ascii="Public Sans" w:hAnsi="Public Sans" w:cs="Arial"/>
          <w:i/>
          <w:iCs/>
        </w:rPr>
        <w:t>Disability Discrimination Act 1992</w:t>
      </w:r>
      <w:r w:rsidRPr="00410DAB">
        <w:rPr>
          <w:rFonts w:ascii="Public Sans" w:hAnsi="Public Sans" w:cs="Arial"/>
        </w:rPr>
        <w:t xml:space="preserve"> (Cth) s 6(4); </w:t>
      </w:r>
      <w:r w:rsidRPr="00410DAB">
        <w:rPr>
          <w:rFonts w:ascii="Public Sans" w:hAnsi="Public Sans" w:cs="Arial"/>
          <w:i/>
          <w:iCs/>
        </w:rPr>
        <w:t xml:space="preserve">Sex Discrimination Act 1984 </w:t>
      </w:r>
      <w:r w:rsidRPr="00410DAB">
        <w:rPr>
          <w:rFonts w:ascii="Public Sans" w:hAnsi="Public Sans" w:cs="Arial"/>
        </w:rPr>
        <w:t>(Cth)</w:t>
      </w:r>
      <w:r w:rsidRPr="00410DAB">
        <w:rPr>
          <w:rFonts w:ascii="Public Sans" w:hAnsi="Public Sans" w:cs="Arial"/>
          <w:i/>
          <w:iCs/>
        </w:rPr>
        <w:t xml:space="preserve"> </w:t>
      </w:r>
      <w:r w:rsidRPr="00410DAB">
        <w:rPr>
          <w:rFonts w:ascii="Public Sans" w:hAnsi="Public Sans" w:cs="Arial"/>
        </w:rPr>
        <w:t>s 7C;</w:t>
      </w:r>
      <w:r w:rsidRPr="00410DAB">
        <w:rPr>
          <w:rFonts w:ascii="Public Sans" w:hAnsi="Public Sans" w:cs="Arial"/>
          <w:i/>
          <w:iCs/>
        </w:rPr>
        <w:t xml:space="preserve"> Discrimination Act 1991 </w:t>
      </w:r>
      <w:r w:rsidRPr="00410DAB">
        <w:rPr>
          <w:rFonts w:ascii="Public Sans" w:hAnsi="Public Sans" w:cs="Arial"/>
        </w:rPr>
        <w:t xml:space="preserve">(ACT) s 70; </w:t>
      </w:r>
      <w:r w:rsidRPr="00410DAB">
        <w:rPr>
          <w:rFonts w:ascii="Public Sans" w:hAnsi="Public Sans" w:cs="Arial"/>
          <w:i/>
          <w:iCs/>
        </w:rPr>
        <w:t>Equal Opportunity Act 2010</w:t>
      </w:r>
      <w:r w:rsidRPr="00410DAB">
        <w:rPr>
          <w:rFonts w:ascii="Public Sans" w:hAnsi="Public Sans" w:cs="Arial"/>
        </w:rPr>
        <w:t xml:space="preserve"> (Vic) s 9(2).</w:t>
      </w:r>
    </w:p>
  </w:footnote>
  <w:footnote w:id="124">
    <w:p w14:paraId="68FD1799"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xml:space="preserve">, Report 92 (1999) rec 6; Law Reform Commission of Western Australia, </w:t>
      </w:r>
      <w:r w:rsidRPr="00410DAB">
        <w:rPr>
          <w:rFonts w:ascii="Public Sans" w:hAnsi="Public Sans" w:cs="Arial"/>
          <w:i/>
          <w:iCs/>
        </w:rPr>
        <w:t>Review of the Equal Opportunity Act 1984 (WA)</w:t>
      </w:r>
      <w:r w:rsidRPr="00410DAB">
        <w:rPr>
          <w:rFonts w:ascii="Public Sans" w:hAnsi="Public Sans" w:cs="Arial"/>
        </w:rPr>
        <w:t>, Project 111, Final Report (2022) rec 97.</w:t>
      </w:r>
    </w:p>
  </w:footnote>
  <w:footnote w:id="125">
    <w:p w14:paraId="507F25F1"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Waters v Public Transport Corporation</w:t>
      </w:r>
      <w:r w:rsidRPr="00410DAB">
        <w:rPr>
          <w:rFonts w:ascii="Public Sans" w:hAnsi="Public Sans" w:cs="Arial"/>
          <w:color w:val="000000" w:themeColor="text1"/>
        </w:rPr>
        <w:t xml:space="preserve"> (1991) 173 CLR 349, 392–393.  </w:t>
      </w:r>
    </w:p>
  </w:footnote>
  <w:footnote w:id="126">
    <w:p w14:paraId="38DF74D4"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Australian Iron and Steel Pty Ltd v Banovic</w:t>
      </w:r>
      <w:r w:rsidRPr="00410DAB">
        <w:rPr>
          <w:rFonts w:ascii="Public Sans" w:hAnsi="Public Sans" w:cs="Arial"/>
          <w:color w:val="000000" w:themeColor="text1"/>
        </w:rPr>
        <w:t xml:space="preserve"> </w:t>
      </w:r>
      <w:r w:rsidRPr="00410DAB">
        <w:rPr>
          <w:rFonts w:ascii="Public Sans" w:eastAsia="Public Sans Light" w:hAnsi="Public Sans" w:cs="Public Sans Light"/>
          <w:color w:val="000000" w:themeColor="text1"/>
          <w:szCs w:val="18"/>
        </w:rPr>
        <w:t xml:space="preserve">(1989) 168 CLR 165, 176–177. </w:t>
      </w:r>
    </w:p>
  </w:footnote>
  <w:footnote w:id="127">
    <w:p w14:paraId="6F91C087"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Discrimination Act 1991</w:t>
      </w:r>
      <w:r w:rsidRPr="00410DAB">
        <w:rPr>
          <w:rFonts w:ascii="Public Sans" w:hAnsi="Public Sans" w:cs="Arial"/>
          <w:color w:val="000000" w:themeColor="text1"/>
        </w:rPr>
        <w:t xml:space="preserve"> (ACT) s 8(1).</w:t>
      </w:r>
    </w:p>
  </w:footnote>
  <w:footnote w:id="128">
    <w:p w14:paraId="4594013D"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ACT Law Reform Advisory Council, </w:t>
      </w:r>
      <w:r w:rsidRPr="00410DAB">
        <w:rPr>
          <w:rFonts w:ascii="Public Sans" w:hAnsi="Public Sans" w:cs="Arial"/>
          <w:i/>
          <w:iCs/>
          <w:color w:val="000000" w:themeColor="text1"/>
        </w:rPr>
        <w:t>Review of the Discrimination Act 1991 (ACT)</w:t>
      </w:r>
      <w:r w:rsidRPr="00410DAB">
        <w:rPr>
          <w:rFonts w:ascii="Public Sans" w:hAnsi="Public Sans" w:cs="Arial"/>
          <w:color w:val="000000" w:themeColor="text1"/>
        </w:rPr>
        <w:t>, Final Report (2015) 31.</w:t>
      </w:r>
    </w:p>
  </w:footnote>
  <w:footnote w:id="129">
    <w:p w14:paraId="5A006749"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NSW Council for Civil Liberties, </w:t>
      </w:r>
      <w:r w:rsidRPr="00410DAB">
        <w:rPr>
          <w:rFonts w:ascii="Public Sans" w:hAnsi="Public Sans" w:cs="Arial"/>
          <w:i/>
          <w:iCs/>
          <w:color w:val="000000" w:themeColor="text1"/>
        </w:rPr>
        <w:t>Preliminary Submission PAD21</w:t>
      </w:r>
      <w:r w:rsidRPr="00410DAB">
        <w:rPr>
          <w:rFonts w:ascii="Public Sans" w:hAnsi="Public Sans" w:cs="Arial"/>
          <w:color w:val="000000" w:themeColor="text1"/>
        </w:rPr>
        <w:t>, 14.</w:t>
      </w:r>
    </w:p>
  </w:footnote>
  <w:footnote w:id="130">
    <w:p w14:paraId="5C874B76"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Law Reform Commission of Western Australia, </w:t>
      </w:r>
      <w:r w:rsidRPr="00410DAB">
        <w:rPr>
          <w:rFonts w:ascii="Public Sans" w:hAnsi="Public Sans" w:cs="Arial"/>
          <w:i/>
          <w:iCs/>
          <w:color w:val="000000" w:themeColor="text1"/>
        </w:rPr>
        <w:t>Review of the Equal Opportunity Act 1984 (WA)</w:t>
      </w:r>
      <w:r w:rsidRPr="00410DAB">
        <w:rPr>
          <w:rFonts w:ascii="Public Sans" w:hAnsi="Public Sans" w:cs="Arial"/>
          <w:color w:val="000000" w:themeColor="text1"/>
        </w:rPr>
        <w:t xml:space="preserve">, Project 111, Final Report (2022) [4.1.3]; Queensland Human Rights Commission, </w:t>
      </w:r>
      <w:r w:rsidRPr="00410DAB">
        <w:rPr>
          <w:rFonts w:ascii="Public Sans" w:hAnsi="Public Sans" w:cs="Arial"/>
          <w:i/>
          <w:iCs/>
          <w:color w:val="000000" w:themeColor="text1"/>
        </w:rPr>
        <w:t>Building Belonging: Review of Queensland's Anti-Discrimination Act 1991</w:t>
      </w:r>
      <w:r w:rsidRPr="00410DAB">
        <w:rPr>
          <w:rFonts w:ascii="Public Sans" w:hAnsi="Public Sans" w:cs="Arial"/>
          <w:color w:val="000000" w:themeColor="text1"/>
        </w:rPr>
        <w:t xml:space="preserve"> (2022) 50.</w:t>
      </w:r>
    </w:p>
  </w:footnote>
  <w:footnote w:id="131">
    <w:p w14:paraId="4D66D5F1" w14:textId="77777777" w:rsidR="008D695B" w:rsidRPr="00410DAB" w:rsidRDefault="008D695B" w:rsidP="008D695B">
      <w:pPr>
        <w:pStyle w:val="FootnoteText"/>
        <w:rPr>
          <w:rFonts w:ascii="Public Sans" w:hAnsi="Public Sans" w:cs="Arial"/>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Committee on the Rights of Persons with Disabilities, </w:t>
      </w:r>
      <w:r w:rsidRPr="00410DAB">
        <w:rPr>
          <w:rFonts w:ascii="Public Sans" w:hAnsi="Public Sans" w:cs="Arial"/>
          <w:i/>
          <w:iCs/>
          <w:color w:val="000000" w:themeColor="text1"/>
        </w:rPr>
        <w:t>General Comment No 6 on Equality and Non-</w:t>
      </w:r>
      <w:r w:rsidRPr="00410DAB">
        <w:rPr>
          <w:rFonts w:ascii="Public Sans" w:hAnsi="Public Sans" w:cs="Arial"/>
          <w:i/>
          <w:iCs/>
        </w:rPr>
        <w:t>Discrimination</w:t>
      </w:r>
      <w:r w:rsidRPr="00410DAB">
        <w:rPr>
          <w:rFonts w:ascii="Public Sans" w:hAnsi="Public Sans" w:cs="Arial"/>
        </w:rPr>
        <w:t>, UN Doc CRPD/C/GC/6 (26 April 2018) [19].</w:t>
      </w:r>
    </w:p>
  </w:footnote>
  <w:footnote w:id="132">
    <w:p w14:paraId="7D2A63DA" w14:textId="77777777" w:rsidR="008D695B" w:rsidRPr="00410DAB" w:rsidRDefault="008D695B" w:rsidP="008D695B">
      <w:pPr>
        <w:pStyle w:val="FootnoteText"/>
        <w:rPr>
          <w:rFonts w:ascii="Public Sans" w:hAnsi="Public Sans" w:cs="Arial"/>
          <w:color w:val="0070C0"/>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Human Rights Commission, </w:t>
      </w:r>
      <w:r w:rsidRPr="00410DAB">
        <w:rPr>
          <w:rFonts w:ascii="Public Sans" w:hAnsi="Public Sans" w:cs="Arial"/>
          <w:i/>
          <w:iCs/>
        </w:rPr>
        <w:t xml:space="preserve">Free and Equal: A Reform Agenda for Federal Discrimination Laws </w:t>
      </w:r>
      <w:r w:rsidRPr="00410DAB">
        <w:rPr>
          <w:rFonts w:ascii="Public Sans" w:hAnsi="Public Sans" w:cs="Arial"/>
        </w:rPr>
        <w:t xml:space="preserve">(2021) [4.7(c)]; Queensland Human Rights Commission, </w:t>
      </w:r>
      <w:r w:rsidRPr="00410DAB">
        <w:rPr>
          <w:rFonts w:ascii="Public Sans" w:hAnsi="Public Sans" w:cs="Arial"/>
          <w:i/>
          <w:iCs/>
        </w:rPr>
        <w:t>Building Belonging: Review of Queensland's Anti-Discrimination Act 1991</w:t>
      </w:r>
      <w:r w:rsidRPr="00410DAB">
        <w:rPr>
          <w:rFonts w:ascii="Public Sans" w:hAnsi="Public Sans" w:cs="Arial"/>
        </w:rPr>
        <w:t xml:space="preserve"> (2022) rec 3.2; Law Reform Commission of Western Australia, </w:t>
      </w:r>
      <w:r w:rsidRPr="00410DAB">
        <w:rPr>
          <w:rFonts w:ascii="Public Sans" w:hAnsi="Public Sans" w:cs="Arial"/>
          <w:i/>
          <w:iCs/>
        </w:rPr>
        <w:t>Review of the Equal Opportunity Act 1984 (WA)</w:t>
      </w:r>
      <w:r w:rsidRPr="00410DAB">
        <w:rPr>
          <w:rFonts w:ascii="Public Sans" w:hAnsi="Public Sans" w:cs="Arial"/>
        </w:rPr>
        <w:t>, Project 111, Final Report (2022) rec 13.</w:t>
      </w:r>
    </w:p>
  </w:footnote>
  <w:footnote w:id="133">
    <w:p w14:paraId="5E459236"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Human Rights Committee, </w:t>
      </w:r>
      <w:r w:rsidRPr="00410DAB">
        <w:rPr>
          <w:rFonts w:ascii="Public Sans" w:hAnsi="Public Sans" w:cs="Arial"/>
          <w:i/>
          <w:iCs/>
        </w:rPr>
        <w:t>Concluding Observations on the Sixth Periodic Report of Australia</w:t>
      </w:r>
      <w:r w:rsidRPr="00410DAB">
        <w:rPr>
          <w:rFonts w:ascii="Public Sans" w:hAnsi="Public Sans" w:cs="Arial"/>
        </w:rPr>
        <w:t xml:space="preserve">, UN Doc CCPR/C/AUS/CO/6 (1 December 2017) [18]; </w:t>
      </w:r>
      <w:bookmarkStart w:id="111" w:name="_Hlk174610489"/>
      <w:r w:rsidRPr="00410DAB">
        <w:rPr>
          <w:rFonts w:ascii="Public Sans" w:hAnsi="Public Sans" w:cs="Arial"/>
        </w:rPr>
        <w:t xml:space="preserve">Committee on the Rights of Persons with Disabilities, </w:t>
      </w:r>
      <w:r w:rsidRPr="00410DAB">
        <w:rPr>
          <w:rFonts w:ascii="Public Sans" w:hAnsi="Public Sans" w:cs="Arial"/>
          <w:i/>
          <w:iCs/>
        </w:rPr>
        <w:t>Concluding Observations on the Combined Second and Third periodic Reports of Australia</w:t>
      </w:r>
      <w:r w:rsidRPr="00410DAB">
        <w:rPr>
          <w:rFonts w:ascii="Public Sans" w:hAnsi="Public Sans" w:cs="Arial"/>
        </w:rPr>
        <w:t xml:space="preserve">, UN Doc CRPD/C/AUS/CO/2–3 (15 October 2019) </w:t>
      </w:r>
      <w:bookmarkEnd w:id="111"/>
      <w:r w:rsidRPr="00410DAB">
        <w:rPr>
          <w:rFonts w:ascii="Public Sans" w:hAnsi="Public Sans" w:cs="Arial"/>
        </w:rPr>
        <w:t>[10].</w:t>
      </w:r>
    </w:p>
  </w:footnote>
  <w:footnote w:id="134">
    <w:p w14:paraId="2E0710BD"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Discrimination Act 1991</w:t>
      </w:r>
      <w:r w:rsidRPr="00410DAB">
        <w:rPr>
          <w:rFonts w:ascii="Public Sans" w:hAnsi="Public Sans" w:cs="Arial"/>
          <w:color w:val="000000" w:themeColor="text1"/>
        </w:rPr>
        <w:t xml:space="preserve"> (ACT) s 8(2)–(3).</w:t>
      </w:r>
    </w:p>
  </w:footnote>
  <w:footnote w:id="135">
    <w:p w14:paraId="6019E472"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 Blackham and J Temple “Intersectional Discrimination in Australia: An Empirical Critique of the Legal Framework” (2020) 43 </w:t>
      </w:r>
      <w:r w:rsidRPr="00410DAB">
        <w:rPr>
          <w:rFonts w:ascii="Public Sans" w:hAnsi="Public Sans" w:cs="Arial"/>
          <w:i/>
          <w:iCs/>
        </w:rPr>
        <w:t>UNSW Law Journal</w:t>
      </w:r>
      <w:r w:rsidRPr="00410DAB">
        <w:rPr>
          <w:rFonts w:ascii="Public Sans" w:hAnsi="Public Sans" w:cs="Arial"/>
        </w:rPr>
        <w:t xml:space="preserve"> 773, 781.</w:t>
      </w:r>
    </w:p>
  </w:footnote>
  <w:footnote w:id="136">
    <w:p w14:paraId="5C5DD5AF" w14:textId="32DB3129"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See Victoria, Commission for Gender Equality in the Public Sector, “Applying Intersectionality” (11 February 2022) &lt;</w:t>
      </w:r>
      <w:hyperlink r:id="rId11" w:history="1">
        <w:r w:rsidRPr="00410DAB">
          <w:rPr>
            <w:rStyle w:val="Hyperlink"/>
            <w:rFonts w:ascii="Public Sans" w:hAnsi="Public Sans" w:cs="Arial"/>
          </w:rPr>
          <w:t>www.genderequalitycommission.vic.gov.au/applying-intersectionality</w:t>
        </w:r>
      </w:hyperlink>
      <w:r w:rsidRPr="00410DAB">
        <w:rPr>
          <w:rFonts w:ascii="Public Sans" w:hAnsi="Public Sans" w:cs="Arial"/>
        </w:rPr>
        <w:t>&gt; (retrieved 7 April 2025).</w:t>
      </w:r>
    </w:p>
  </w:footnote>
  <w:footnote w:id="137">
    <w:p w14:paraId="16DB8679"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Human Rights Commission, </w:t>
      </w:r>
      <w:r w:rsidRPr="00410DAB">
        <w:rPr>
          <w:rFonts w:ascii="Public Sans" w:hAnsi="Public Sans" w:cs="Arial"/>
          <w:i/>
          <w:iCs/>
        </w:rPr>
        <w:t xml:space="preserve">Free and Equal: A Reform Agenda for Federal Discrimination Laws </w:t>
      </w:r>
      <w:r w:rsidRPr="00410DAB">
        <w:rPr>
          <w:rFonts w:ascii="Public Sans" w:hAnsi="Public Sans" w:cs="Arial"/>
        </w:rPr>
        <w:t xml:space="preserve">(2021) [4.7(c)]; Law Reform Commission of Western Australia, </w:t>
      </w:r>
      <w:r w:rsidRPr="00410DAB">
        <w:rPr>
          <w:rFonts w:ascii="Public Sans" w:hAnsi="Public Sans" w:cs="Arial"/>
          <w:i/>
          <w:iCs/>
        </w:rPr>
        <w:t>Review of the Equal Opportunity Act 1984 (WA)</w:t>
      </w:r>
      <w:r w:rsidRPr="00410DAB">
        <w:rPr>
          <w:rFonts w:ascii="Public Sans" w:hAnsi="Public Sans" w:cs="Arial"/>
        </w:rPr>
        <w:t xml:space="preserve">, Project 111, Final Report (2022) rec 13; Queensland Human Rights Commission, </w:t>
      </w:r>
      <w:r w:rsidRPr="00410DAB">
        <w:rPr>
          <w:rFonts w:ascii="Public Sans" w:hAnsi="Public Sans" w:cs="Arial"/>
          <w:i/>
          <w:iCs/>
        </w:rPr>
        <w:t>Building Belonging: Review of Queensland's Anti-Discrimination Act 1991</w:t>
      </w:r>
      <w:r w:rsidRPr="00410DAB">
        <w:rPr>
          <w:rFonts w:ascii="Public Sans" w:hAnsi="Public Sans" w:cs="Arial"/>
        </w:rPr>
        <w:t xml:space="preserve"> (2022) rec 3.2.</w:t>
      </w:r>
    </w:p>
  </w:footnote>
  <w:footnote w:id="138">
    <w:p w14:paraId="7EC29902" w14:textId="45584CB8"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Respect at Work and Other Matters Amendment Act 2024</w:t>
      </w:r>
      <w:r w:rsidRPr="00410DAB">
        <w:rPr>
          <w:rFonts w:ascii="Public Sans" w:hAnsi="Public Sans" w:cs="Arial"/>
        </w:rPr>
        <w:t xml:space="preserve"> (Qld) s 7A, inserting </w:t>
      </w:r>
      <w:r w:rsidRPr="00410DAB">
        <w:rPr>
          <w:rFonts w:ascii="Public Sans" w:hAnsi="Public Sans" w:cs="Arial"/>
          <w:i/>
          <w:iCs/>
        </w:rPr>
        <w:t>Anti-Discrimination Act 1991</w:t>
      </w:r>
      <w:r w:rsidRPr="00410DAB">
        <w:rPr>
          <w:rFonts w:ascii="Public Sans" w:hAnsi="Public Sans" w:cs="Arial"/>
        </w:rPr>
        <w:t xml:space="preserve"> (Qld) s 8(2) (</w:t>
      </w:r>
      <w:r w:rsidR="00100B83">
        <w:rPr>
          <w:rFonts w:ascii="Public Sans" w:hAnsi="Public Sans" w:cs="Arial"/>
        </w:rPr>
        <w:t>un</w:t>
      </w:r>
      <w:r w:rsidRPr="00410DAB">
        <w:rPr>
          <w:rFonts w:ascii="Public Sans" w:hAnsi="Public Sans" w:cs="Arial"/>
        </w:rPr>
        <w:t>commence</w:t>
      </w:r>
      <w:r w:rsidR="00100B83">
        <w:rPr>
          <w:rFonts w:ascii="Public Sans" w:hAnsi="Public Sans" w:cs="Arial"/>
        </w:rPr>
        <w:t>d</w:t>
      </w:r>
      <w:r w:rsidRPr="00410DAB">
        <w:rPr>
          <w:rFonts w:ascii="Public Sans" w:hAnsi="Public Sans" w:cs="Arial"/>
        </w:rPr>
        <w:t xml:space="preserve">). But see D Frecklington, “Media Statement: Crisafulli Government to Consult on Anti-Discrimination Laws” (14 March 2025) </w:t>
      </w:r>
      <w:r w:rsidRPr="00410DAB">
        <w:rPr>
          <w:rFonts w:ascii="Public Sans" w:hAnsi="Public Sans" w:cs="Arial"/>
          <w:i/>
          <w:iCs/>
        </w:rPr>
        <w:t>Queensland Government</w:t>
      </w:r>
      <w:r w:rsidRPr="00410DAB">
        <w:rPr>
          <w:rFonts w:ascii="Public Sans" w:hAnsi="Public Sans" w:cs="Arial"/>
        </w:rPr>
        <w:t xml:space="preserve"> &lt;</w:t>
      </w:r>
      <w:hyperlink r:id="rId12" w:history="1">
        <w:r w:rsidRPr="00410DAB">
          <w:rPr>
            <w:rStyle w:val="Hyperlink"/>
            <w:rFonts w:ascii="Public Sans" w:hAnsi="Public Sans" w:cs="Arial"/>
          </w:rPr>
          <w:t>statements.qld.gov.au/statements/102168</w:t>
        </w:r>
      </w:hyperlink>
      <w:r w:rsidRPr="00410DAB">
        <w:rPr>
          <w:rFonts w:ascii="Public Sans" w:hAnsi="Public Sans" w:cs="Arial"/>
        </w:rPr>
        <w:t>&gt; (retrieved 7 April 2024).</w:t>
      </w:r>
    </w:p>
  </w:footnote>
  <w:footnote w:id="139">
    <w:p w14:paraId="0A74E5C1"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Canadian Human Rights Act</w:t>
      </w:r>
      <w:r w:rsidRPr="00410DAB">
        <w:rPr>
          <w:rFonts w:ascii="Public Sans" w:hAnsi="Public Sans" w:cs="Arial"/>
          <w:color w:val="000000" w:themeColor="text1"/>
        </w:rPr>
        <w:t xml:space="preserve"> 1985 (Canada) s 3.1.</w:t>
      </w:r>
    </w:p>
  </w:footnote>
  <w:footnote w:id="140">
    <w:p w14:paraId="419ED2B0"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Equality Act 2010</w:t>
      </w:r>
      <w:r w:rsidRPr="00410DAB">
        <w:rPr>
          <w:rFonts w:ascii="Public Sans" w:hAnsi="Public Sans" w:cs="Arial"/>
          <w:color w:val="000000" w:themeColor="text1"/>
        </w:rPr>
        <w:t xml:space="preserve"> (UK) s 14.</w:t>
      </w:r>
    </w:p>
  </w:footnote>
  <w:footnote w:id="141">
    <w:p w14:paraId="05057EE9"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Law Reform Commission of Western Australia, </w:t>
      </w:r>
      <w:r w:rsidRPr="00410DAB">
        <w:rPr>
          <w:rFonts w:ascii="Public Sans" w:hAnsi="Public Sans" w:cs="Arial"/>
          <w:i/>
          <w:iCs/>
          <w:color w:val="000000" w:themeColor="text1"/>
        </w:rPr>
        <w:t>Review of the Equal Opportunity Act 1984 (WA)</w:t>
      </w:r>
      <w:r w:rsidRPr="00410DAB">
        <w:rPr>
          <w:rFonts w:ascii="Public Sans" w:hAnsi="Public Sans" w:cs="Arial"/>
          <w:color w:val="000000" w:themeColor="text1"/>
        </w:rPr>
        <w:t>, Project 111, Final Report (2022) [4.1.3].</w:t>
      </w:r>
    </w:p>
  </w:footnote>
  <w:footnote w:id="142">
    <w:p w14:paraId="3EE2635F"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i/>
          <w:iCs/>
        </w:rPr>
        <w:t>Discrimination Act 1991</w:t>
      </w:r>
      <w:r w:rsidRPr="00410DAB">
        <w:rPr>
          <w:rFonts w:ascii="Public Sans" w:hAnsi="Public Sans" w:cs="Arial"/>
        </w:rPr>
        <w:t xml:space="preserve"> (ACT) s 8(2)–(3); </w:t>
      </w:r>
      <w:r w:rsidRPr="00410DAB">
        <w:rPr>
          <w:rFonts w:ascii="Public Sans" w:hAnsi="Public Sans" w:cs="Arial"/>
          <w:i/>
          <w:iCs/>
        </w:rPr>
        <w:t>Equal Opportunity Act 2010</w:t>
      </w:r>
      <w:r w:rsidRPr="00410DAB">
        <w:rPr>
          <w:rFonts w:ascii="Public Sans" w:hAnsi="Public Sans" w:cs="Arial"/>
        </w:rPr>
        <w:t xml:space="preserve"> (Vic) s 8(1), s 9(1); </w:t>
      </w:r>
      <w:r w:rsidRPr="00410DAB">
        <w:rPr>
          <w:rFonts w:ascii="Public Sans" w:hAnsi="Public Sans" w:cs="Arial"/>
          <w:i/>
          <w:iCs/>
        </w:rPr>
        <w:t>Anti-Discrimination Act 1992</w:t>
      </w:r>
      <w:r w:rsidRPr="00410DAB">
        <w:rPr>
          <w:rFonts w:ascii="Public Sans" w:hAnsi="Public Sans" w:cs="Arial"/>
        </w:rPr>
        <w:t xml:space="preserve"> (NT) s 20(2); </w:t>
      </w:r>
      <w:r w:rsidRPr="00410DAB">
        <w:rPr>
          <w:rFonts w:ascii="Public Sans" w:hAnsi="Public Sans" w:cs="Arial"/>
          <w:i/>
          <w:iCs/>
        </w:rPr>
        <w:t>Anti-Discrimination Act 1991</w:t>
      </w:r>
      <w:r w:rsidRPr="00410DAB">
        <w:rPr>
          <w:rFonts w:ascii="Public Sans" w:hAnsi="Public Sans" w:cs="Arial"/>
        </w:rPr>
        <w:t xml:space="preserve"> (Qld) s 10(1), s 11(1); </w:t>
      </w:r>
      <w:r w:rsidRPr="00410DAB">
        <w:rPr>
          <w:rFonts w:ascii="Public Sans" w:hAnsi="Public Sans" w:cs="Arial"/>
          <w:i/>
          <w:iCs/>
        </w:rPr>
        <w:t>Age Discrimination Act 2004</w:t>
      </w:r>
      <w:r w:rsidRPr="00410DAB">
        <w:rPr>
          <w:rFonts w:ascii="Public Sans" w:hAnsi="Public Sans" w:cs="Arial"/>
        </w:rPr>
        <w:t xml:space="preserve"> (Cth) s 14, s 15(1).</w:t>
      </w:r>
    </w:p>
  </w:footnote>
  <w:footnote w:id="143">
    <w:p w14:paraId="0E0B0C3B"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lang w:val="en-GB"/>
        </w:rPr>
        <w:t>Woods v Wollongong City Council</w:t>
      </w:r>
      <w:r w:rsidRPr="00410DAB">
        <w:rPr>
          <w:rFonts w:ascii="Public Sans" w:hAnsi="Public Sans"/>
          <w:lang w:val="en-GB"/>
        </w:rPr>
        <w:t xml:space="preserve"> (1986) EOC 92-174.</w:t>
      </w:r>
    </w:p>
  </w:footnote>
  <w:footnote w:id="144">
    <w:p w14:paraId="58E0E94E"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i/>
          <w:iCs/>
        </w:rPr>
        <w:t>Discrimination Act 1991</w:t>
      </w:r>
      <w:r w:rsidRPr="00410DAB">
        <w:rPr>
          <w:rFonts w:ascii="Public Sans" w:hAnsi="Public Sans" w:cs="Arial"/>
        </w:rPr>
        <w:t xml:space="preserve"> (ACT) s 8(2); </w:t>
      </w:r>
      <w:r w:rsidRPr="00410DAB">
        <w:rPr>
          <w:rFonts w:ascii="Public Sans" w:hAnsi="Public Sans" w:cs="Arial"/>
          <w:i/>
          <w:iCs/>
        </w:rPr>
        <w:t>Equal Opportunity Act 2010</w:t>
      </w:r>
      <w:r w:rsidRPr="00410DAB">
        <w:rPr>
          <w:rFonts w:ascii="Public Sans" w:hAnsi="Public Sans" w:cs="Arial"/>
        </w:rPr>
        <w:t xml:space="preserve"> (Vic) s 8(1); </w:t>
      </w:r>
      <w:r w:rsidRPr="00410DAB">
        <w:rPr>
          <w:rFonts w:ascii="Public Sans" w:hAnsi="Public Sans" w:cs="Arial"/>
          <w:i/>
          <w:iCs/>
        </w:rPr>
        <w:t xml:space="preserve">Anti-Discrimination Act 1992 </w:t>
      </w:r>
      <w:r w:rsidRPr="00410DAB">
        <w:rPr>
          <w:rFonts w:ascii="Public Sans" w:hAnsi="Public Sans" w:cs="Arial"/>
        </w:rPr>
        <w:t xml:space="preserve">(NT) s 20(2); </w:t>
      </w:r>
      <w:r w:rsidRPr="00410DAB">
        <w:rPr>
          <w:rFonts w:ascii="Public Sans" w:hAnsi="Public Sans" w:cs="Arial"/>
          <w:i/>
          <w:iCs/>
        </w:rPr>
        <w:t>Anti-Discrimination Act 1991</w:t>
      </w:r>
      <w:r w:rsidRPr="00410DAB">
        <w:rPr>
          <w:rFonts w:ascii="Public Sans" w:hAnsi="Public Sans" w:cs="Arial"/>
        </w:rPr>
        <w:t xml:space="preserve"> (Qld) s 10(1); </w:t>
      </w:r>
      <w:r w:rsidRPr="00410DAB">
        <w:rPr>
          <w:rFonts w:ascii="Public Sans" w:hAnsi="Public Sans" w:cs="Arial"/>
          <w:i/>
          <w:iCs/>
        </w:rPr>
        <w:t>Age Discrimination Act 2004</w:t>
      </w:r>
      <w:r w:rsidRPr="00410DAB">
        <w:rPr>
          <w:rFonts w:ascii="Public Sans" w:hAnsi="Public Sans" w:cs="Arial"/>
        </w:rPr>
        <w:t xml:space="preserve"> (Cth) s 14.</w:t>
      </w:r>
    </w:p>
  </w:footnote>
  <w:footnote w:id="145">
    <w:p w14:paraId="4763462E" w14:textId="77777777" w:rsidR="008D695B" w:rsidRPr="00410DAB" w:rsidRDefault="008D695B" w:rsidP="008D695B">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NSW Law Reform Commission, </w:t>
      </w:r>
      <w:r w:rsidRPr="00410DAB">
        <w:rPr>
          <w:rFonts w:ascii="Public Sans" w:hAnsi="Public Sans" w:cs="Arial"/>
          <w:i/>
          <w:iCs/>
          <w:color w:val="000000" w:themeColor="text1"/>
        </w:rPr>
        <w:t>Review of the Anti-Discrimination Act 1977 (NSW)</w:t>
      </w:r>
      <w:r w:rsidRPr="00410DAB">
        <w:rPr>
          <w:rFonts w:ascii="Public Sans" w:hAnsi="Public Sans" w:cs="Arial"/>
          <w:color w:val="000000" w:themeColor="text1"/>
        </w:rPr>
        <w:t>, Report 92 (1999) [3.58], rec 4.</w:t>
      </w:r>
    </w:p>
  </w:footnote>
  <w:footnote w:id="146">
    <w:p w14:paraId="46881B51" w14:textId="77777777" w:rsidR="008D695B" w:rsidRPr="00410DAB" w:rsidRDefault="008D695B" w:rsidP="008D695B">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8(3); </w:t>
      </w:r>
      <w:r w:rsidRPr="00410DAB">
        <w:rPr>
          <w:rFonts w:ascii="Public Sans" w:hAnsi="Public Sans" w:cs="Arial"/>
          <w:i/>
          <w:iCs/>
        </w:rPr>
        <w:t>Equal Opportunity Act 2010</w:t>
      </w:r>
      <w:r w:rsidRPr="00410DAB">
        <w:rPr>
          <w:rFonts w:ascii="Public Sans" w:hAnsi="Public Sans" w:cs="Arial"/>
        </w:rPr>
        <w:t xml:space="preserve"> (Vic) s 9(1); </w:t>
      </w:r>
      <w:r w:rsidRPr="00410DAB">
        <w:rPr>
          <w:rFonts w:ascii="Public Sans" w:hAnsi="Public Sans" w:cs="Arial"/>
          <w:i/>
          <w:iCs/>
        </w:rPr>
        <w:t>Anti-Discrimination Act 1991</w:t>
      </w:r>
      <w:r w:rsidRPr="00410DAB">
        <w:rPr>
          <w:rFonts w:ascii="Public Sans" w:hAnsi="Public Sans" w:cs="Arial"/>
        </w:rPr>
        <w:t xml:space="preserve"> (Qld) s 11(1); </w:t>
      </w:r>
      <w:r w:rsidRPr="00410DAB">
        <w:rPr>
          <w:rFonts w:ascii="Public Sans" w:hAnsi="Public Sans" w:cs="Arial"/>
          <w:i/>
          <w:iCs/>
        </w:rPr>
        <w:t>Age Discrimination Act 2004</w:t>
      </w:r>
      <w:r w:rsidRPr="00410DAB">
        <w:rPr>
          <w:rFonts w:ascii="Public Sans" w:hAnsi="Public Sans" w:cs="Arial"/>
        </w:rPr>
        <w:t xml:space="preserve"> (Cth) s 15(1).</w:t>
      </w:r>
    </w:p>
  </w:footnote>
  <w:footnote w:id="147">
    <w:p w14:paraId="3216EE77" w14:textId="77777777" w:rsidR="00181C16" w:rsidRPr="00410DAB" w:rsidRDefault="00181C16" w:rsidP="00181C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Tate v Rafin</w:t>
      </w:r>
      <w:r w:rsidRPr="00410DAB">
        <w:rPr>
          <w:rFonts w:ascii="Public Sans" w:hAnsi="Public Sans" w:cs="Arial"/>
        </w:rPr>
        <w:t xml:space="preserve"> [2000] FCA 1582 [65].</w:t>
      </w:r>
    </w:p>
  </w:footnote>
  <w:footnote w:id="148">
    <w:p w14:paraId="34C7267E"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49ZYA(2).</w:t>
      </w:r>
    </w:p>
  </w:footnote>
  <w:footnote w:id="149">
    <w:p w14:paraId="571C92C1"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49ZYA.</w:t>
      </w:r>
    </w:p>
  </w:footnote>
  <w:footnote w:id="150">
    <w:p w14:paraId="7E36CDED" w14:textId="77777777" w:rsidR="00181C16" w:rsidRPr="00410DAB" w:rsidRDefault="00181C16" w:rsidP="00181C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w:t>
      </w:r>
      <w:r w:rsidRPr="00410DAB">
        <w:rPr>
          <w:rFonts w:ascii="Public Sans" w:hAnsi="Public Sans" w:cs="Arial"/>
          <w:szCs w:val="18"/>
        </w:rPr>
        <w:t>s 49ZYK,</w:t>
      </w:r>
      <w:r w:rsidRPr="00410DAB">
        <w:rPr>
          <w:rFonts w:ascii="Public Sans" w:hAnsi="Public Sans" w:cs="Arial"/>
        </w:rPr>
        <w:t xml:space="preserve"> s 49ZV, s 49ZX.</w:t>
      </w:r>
    </w:p>
  </w:footnote>
  <w:footnote w:id="151">
    <w:p w14:paraId="1786F8CF"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NSW Law Reform Commission, </w:t>
      </w:r>
      <w:r w:rsidRPr="00410DAB">
        <w:rPr>
          <w:rFonts w:ascii="Public Sans" w:hAnsi="Public Sans" w:cs="Arial"/>
          <w:i/>
          <w:iCs/>
          <w:szCs w:val="18"/>
        </w:rPr>
        <w:t>Review of the Anti-Discrimination Act 1977 (NSW)</w:t>
      </w:r>
      <w:r w:rsidRPr="00410DAB">
        <w:rPr>
          <w:rFonts w:ascii="Public Sans" w:hAnsi="Public Sans" w:cs="Arial"/>
          <w:szCs w:val="18"/>
        </w:rPr>
        <w:t>, Report 92 (1999) [5.111].</w:t>
      </w:r>
    </w:p>
  </w:footnote>
  <w:footnote w:id="152">
    <w:p w14:paraId="3003CC7B" w14:textId="77777777" w:rsidR="00181C16" w:rsidRPr="00410DAB" w:rsidRDefault="00181C16" w:rsidP="00181C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szCs w:val="18"/>
        </w:rPr>
        <w:t>Anti-Discrimination Act 1977</w:t>
      </w:r>
      <w:r w:rsidRPr="00410DAB">
        <w:rPr>
          <w:rFonts w:ascii="Public Sans" w:hAnsi="Public Sans" w:cs="Arial"/>
          <w:szCs w:val="18"/>
        </w:rPr>
        <w:t xml:space="preserve"> (NSW) s </w:t>
      </w:r>
      <w:r w:rsidRPr="00410DAB">
        <w:rPr>
          <w:rFonts w:ascii="Public Sans" w:hAnsi="Public Sans"/>
        </w:rPr>
        <w:t>49ZYU,</w:t>
      </w:r>
      <w:r w:rsidRPr="00410DAB">
        <w:rPr>
          <w:rFonts w:ascii="Public Sans" w:hAnsi="Public Sans" w:cs="Arial"/>
          <w:szCs w:val="18"/>
        </w:rPr>
        <w:t xml:space="preserve"> s</w:t>
      </w:r>
      <w:r w:rsidRPr="00410DAB">
        <w:rPr>
          <w:rFonts w:ascii="Public Sans" w:hAnsi="Public Sans" w:cs="Arial"/>
        </w:rPr>
        <w:t xml:space="preserve"> </w:t>
      </w:r>
      <w:r w:rsidRPr="00410DAB">
        <w:rPr>
          <w:rFonts w:ascii="Public Sans" w:hAnsi="Public Sans"/>
        </w:rPr>
        <w:t>49ZX,</w:t>
      </w:r>
      <w:r w:rsidRPr="00410DAB">
        <w:rPr>
          <w:rFonts w:ascii="Public Sans" w:hAnsi="Public Sans" w:cs="Arial"/>
          <w:szCs w:val="18"/>
        </w:rPr>
        <w:t xml:space="preserve"> s</w:t>
      </w:r>
      <w:r w:rsidRPr="00410DAB">
        <w:rPr>
          <w:rFonts w:ascii="Public Sans" w:hAnsi="Public Sans" w:cs="Arial"/>
        </w:rPr>
        <w:t> </w:t>
      </w:r>
      <w:r w:rsidRPr="00410DAB">
        <w:rPr>
          <w:rFonts w:ascii="Public Sans" w:hAnsi="Public Sans"/>
        </w:rPr>
        <w:t>49ZYQ.</w:t>
      </w:r>
    </w:p>
  </w:footnote>
  <w:footnote w:id="153">
    <w:p w14:paraId="1CC855C4" w14:textId="77777777" w:rsidR="00181C16" w:rsidRPr="00410DAB" w:rsidRDefault="00181C16" w:rsidP="00181C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szCs w:val="18"/>
        </w:rPr>
        <w:t>Anti-Discrimination Act 1977</w:t>
      </w:r>
      <w:r w:rsidRPr="00410DAB">
        <w:rPr>
          <w:rFonts w:ascii="Public Sans" w:hAnsi="Public Sans" w:cs="Arial"/>
          <w:szCs w:val="18"/>
        </w:rPr>
        <w:t xml:space="preserve"> (NSW) s</w:t>
      </w:r>
      <w:r w:rsidRPr="00410DAB">
        <w:rPr>
          <w:rFonts w:ascii="Public Sans" w:hAnsi="Public Sans" w:cs="Arial"/>
        </w:rPr>
        <w:t xml:space="preserve"> 49ZYV.</w:t>
      </w:r>
    </w:p>
  </w:footnote>
  <w:footnote w:id="154">
    <w:p w14:paraId="4C8EF3D4" w14:textId="77777777" w:rsidR="00181C16" w:rsidRPr="00410DAB" w:rsidRDefault="00181C16" w:rsidP="00181C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szCs w:val="18"/>
        </w:rPr>
        <w:t>Anti-Discrimination Act 1977</w:t>
      </w:r>
      <w:r w:rsidRPr="00410DAB">
        <w:rPr>
          <w:rFonts w:ascii="Public Sans" w:hAnsi="Public Sans" w:cs="Arial"/>
          <w:szCs w:val="18"/>
        </w:rPr>
        <w:t xml:space="preserve"> (NSW) s </w:t>
      </w:r>
      <w:r w:rsidRPr="00410DAB">
        <w:rPr>
          <w:rFonts w:ascii="Public Sans" w:hAnsi="Public Sans"/>
        </w:rPr>
        <w:t>49ZYX.</w:t>
      </w:r>
    </w:p>
  </w:footnote>
  <w:footnote w:id="155">
    <w:p w14:paraId="232CEBA0" w14:textId="77777777" w:rsidR="00181C16" w:rsidRPr="00410DAB" w:rsidRDefault="00181C16" w:rsidP="00181C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Anti-Discrimination Regulation 2019</w:t>
      </w:r>
      <w:r w:rsidRPr="00410DAB">
        <w:rPr>
          <w:rFonts w:ascii="Public Sans" w:hAnsi="Public Sans"/>
        </w:rPr>
        <w:t xml:space="preserve"> (NSW) cl 4.</w:t>
      </w:r>
    </w:p>
  </w:footnote>
  <w:footnote w:id="156">
    <w:p w14:paraId="0D582A47"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1977</w:t>
      </w:r>
      <w:r w:rsidRPr="00410DAB">
        <w:rPr>
          <w:rFonts w:ascii="Public Sans" w:hAnsi="Public Sans" w:cs="Arial"/>
          <w:color w:val="000000" w:themeColor="text1"/>
          <w:szCs w:val="18"/>
        </w:rPr>
        <w:t xml:space="preserve"> (NSW) s 49S(1), s 49S(3)–(4).</w:t>
      </w:r>
    </w:p>
  </w:footnote>
  <w:footnote w:id="157">
    <w:p w14:paraId="0A5A8E68"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49S(2).</w:t>
      </w:r>
    </w:p>
  </w:footnote>
  <w:footnote w:id="158">
    <w:p w14:paraId="4F15F07D"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308, 311, rec 26.</w:t>
      </w:r>
    </w:p>
  </w:footnote>
  <w:footnote w:id="159">
    <w:p w14:paraId="17B7DAE8" w14:textId="1E2A8EC5" w:rsidR="00181C16" w:rsidRPr="00410DAB" w:rsidRDefault="00181C16" w:rsidP="00181C16">
      <w:pPr>
        <w:pStyle w:val="FootnoteText"/>
        <w:rPr>
          <w:rFonts w:ascii="Public Sans" w:hAnsi="Public Sans" w:cs="Arial"/>
          <w:b/>
          <w:bCs/>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 xml:space="preserve">Respect at Work and Other Matters Amendment Act 2024 </w:t>
      </w:r>
      <w:r w:rsidRPr="00410DAB">
        <w:rPr>
          <w:rFonts w:ascii="Public Sans" w:hAnsi="Public Sans" w:cs="Arial"/>
          <w:szCs w:val="18"/>
        </w:rPr>
        <w:t>(Qld) s</w:t>
      </w:r>
      <w:r w:rsidRPr="00410DAB">
        <w:rPr>
          <w:rFonts w:ascii="Public Sans" w:hAnsi="Public Sans"/>
          <w:szCs w:val="18"/>
        </w:rPr>
        <w:t> </w:t>
      </w:r>
      <w:r w:rsidRPr="00410DAB">
        <w:rPr>
          <w:rFonts w:ascii="Public Sans" w:hAnsi="Public Sans" w:cs="Arial"/>
          <w:szCs w:val="18"/>
        </w:rPr>
        <w:t xml:space="preserve">7(3)(p), amending </w:t>
      </w:r>
      <w:r w:rsidRPr="00410DAB">
        <w:rPr>
          <w:rFonts w:ascii="Public Sans" w:hAnsi="Public Sans" w:cs="Arial"/>
          <w:i/>
          <w:iCs/>
          <w:szCs w:val="18"/>
        </w:rPr>
        <w:t>Anti-Discrimination Act 1991</w:t>
      </w:r>
      <w:r w:rsidRPr="00410DAB">
        <w:rPr>
          <w:rFonts w:ascii="Public Sans" w:hAnsi="Public Sans" w:cs="Arial"/>
          <w:szCs w:val="18"/>
        </w:rPr>
        <w:t xml:space="preserve"> (Qld) s 7(p) (</w:t>
      </w:r>
      <w:r w:rsidR="00100B83">
        <w:rPr>
          <w:rFonts w:ascii="Public Sans" w:hAnsi="Public Sans" w:cs="Arial"/>
          <w:szCs w:val="18"/>
        </w:rPr>
        <w:t>un</w:t>
      </w:r>
      <w:r w:rsidRPr="00410DAB">
        <w:rPr>
          <w:rFonts w:ascii="Public Sans" w:hAnsi="Public Sans" w:cs="Arial"/>
          <w:szCs w:val="18"/>
        </w:rPr>
        <w:t>commence</w:t>
      </w:r>
      <w:r w:rsidR="00100B83">
        <w:rPr>
          <w:rFonts w:ascii="Public Sans" w:hAnsi="Public Sans" w:cs="Arial"/>
          <w:szCs w:val="18"/>
        </w:rPr>
        <w:t>d</w:t>
      </w:r>
      <w:r w:rsidRPr="00410DAB">
        <w:rPr>
          <w:rFonts w:ascii="Public Sans" w:hAnsi="Public Sans" w:cs="Arial"/>
          <w:szCs w:val="18"/>
        </w:rPr>
        <w:t>).</w:t>
      </w:r>
    </w:p>
  </w:footnote>
  <w:footnote w:id="160">
    <w:p w14:paraId="0355B48D" w14:textId="467B340D" w:rsidR="00181C16" w:rsidRPr="00410DAB" w:rsidRDefault="00181C16" w:rsidP="00181C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D Frecklington, “Media Statement: Crisafulli Government to Consult on Anti-Discrimination Laws” (14 March 2025) </w:t>
      </w:r>
      <w:r w:rsidRPr="00410DAB">
        <w:rPr>
          <w:rFonts w:ascii="Public Sans" w:hAnsi="Public Sans" w:cs="Arial"/>
          <w:i/>
          <w:iCs/>
        </w:rPr>
        <w:t>Queensland Government</w:t>
      </w:r>
      <w:r w:rsidRPr="00410DAB">
        <w:rPr>
          <w:rFonts w:ascii="Public Sans" w:hAnsi="Public Sans" w:cs="Arial"/>
        </w:rPr>
        <w:t xml:space="preserve"> &lt;</w:t>
      </w:r>
      <w:hyperlink r:id="rId13" w:history="1">
        <w:r w:rsidRPr="00410DAB">
          <w:rPr>
            <w:rStyle w:val="Hyperlink"/>
            <w:rFonts w:ascii="Public Sans" w:hAnsi="Public Sans" w:cs="Arial"/>
          </w:rPr>
          <w:t>statements.qld.gov.au/statements/102168</w:t>
        </w:r>
      </w:hyperlink>
      <w:r w:rsidRPr="00410DAB">
        <w:rPr>
          <w:rFonts w:ascii="Public Sans" w:hAnsi="Public Sans" w:cs="Arial"/>
        </w:rPr>
        <w:t>&gt; (retrieved 4 April 2024).</w:t>
      </w:r>
    </w:p>
  </w:footnote>
  <w:footnote w:id="161">
    <w:p w14:paraId="09FC3687"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Equal Opportunity Act 2010</w:t>
      </w:r>
      <w:r w:rsidRPr="00410DAB">
        <w:rPr>
          <w:rFonts w:ascii="Public Sans" w:hAnsi="Public Sans" w:cs="Arial"/>
          <w:color w:val="000000" w:themeColor="text1"/>
          <w:szCs w:val="18"/>
        </w:rPr>
        <w:t xml:space="preserve"> (Vic) s 6(i), s 4 definition of “carer”. See also </w:t>
      </w:r>
      <w:r w:rsidRPr="00410DAB">
        <w:rPr>
          <w:rFonts w:ascii="Public Sans" w:hAnsi="Public Sans" w:cs="Arial"/>
          <w:i/>
          <w:iCs/>
          <w:color w:val="000000" w:themeColor="text1"/>
          <w:szCs w:val="18"/>
        </w:rPr>
        <w:t>Discrimination Act 1991</w:t>
      </w:r>
      <w:r w:rsidRPr="00410DAB">
        <w:rPr>
          <w:rFonts w:ascii="Public Sans" w:hAnsi="Public Sans" w:cs="Arial"/>
          <w:color w:val="000000" w:themeColor="text1"/>
          <w:szCs w:val="18"/>
        </w:rPr>
        <w:t xml:space="preserve"> (ACT) s 7(l) dictionary definition of “carer”.</w:t>
      </w:r>
    </w:p>
  </w:footnote>
  <w:footnote w:id="162">
    <w:p w14:paraId="2BC4A074"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Carers NSW, </w:t>
      </w:r>
      <w:r w:rsidRPr="00410DAB">
        <w:rPr>
          <w:rFonts w:ascii="Public Sans" w:hAnsi="Public Sans" w:cs="Arial"/>
          <w:i/>
          <w:iCs/>
          <w:color w:val="000000" w:themeColor="text1"/>
          <w:szCs w:val="18"/>
        </w:rPr>
        <w:t>Preliminary Submission PAD71</w:t>
      </w:r>
      <w:r w:rsidRPr="00410DAB">
        <w:rPr>
          <w:rFonts w:ascii="Public Sans" w:hAnsi="Public Sans" w:cs="Arial"/>
          <w:color w:val="000000" w:themeColor="text1"/>
          <w:szCs w:val="18"/>
        </w:rPr>
        <w:t>, 2.</w:t>
      </w:r>
    </w:p>
  </w:footnote>
  <w:footnote w:id="163">
    <w:p w14:paraId="314C3997"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Carers (Recognition) Act 2010</w:t>
      </w:r>
      <w:r w:rsidRPr="00410DAB">
        <w:rPr>
          <w:rFonts w:ascii="Public Sans" w:hAnsi="Public Sans" w:cs="Arial"/>
          <w:color w:val="000000" w:themeColor="text1"/>
          <w:szCs w:val="18"/>
        </w:rPr>
        <w:t xml:space="preserve"> (NSW) s 5(1).</w:t>
      </w:r>
    </w:p>
  </w:footnote>
  <w:footnote w:id="164">
    <w:p w14:paraId="544A1937" w14:textId="77777777" w:rsidR="00181C16" w:rsidRPr="00410DAB" w:rsidRDefault="00181C16" w:rsidP="00181C16">
      <w:pPr>
        <w:pStyle w:val="FootnoteText"/>
        <w:rPr>
          <w:rFonts w:ascii="Public Sans" w:hAnsi="Public Sans" w:cs="Arial"/>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szCs w:val="18"/>
        </w:rPr>
        <w:t>Discrimination Act 1991</w:t>
      </w:r>
      <w:r w:rsidRPr="00410DAB">
        <w:rPr>
          <w:rFonts w:ascii="Public Sans" w:hAnsi="Public Sans" w:cs="Arial"/>
          <w:szCs w:val="18"/>
        </w:rPr>
        <w:t xml:space="preserve"> (ACT)</w:t>
      </w:r>
      <w:r w:rsidRPr="00410DAB" w:rsidDel="00ED638E">
        <w:rPr>
          <w:rFonts w:ascii="Public Sans" w:hAnsi="Public Sans" w:cs="Arial"/>
          <w:szCs w:val="18"/>
        </w:rPr>
        <w:t xml:space="preserve"> </w:t>
      </w:r>
      <w:r w:rsidRPr="00410DAB">
        <w:rPr>
          <w:rFonts w:ascii="Public Sans" w:hAnsi="Public Sans" w:cs="Arial"/>
          <w:szCs w:val="18"/>
        </w:rPr>
        <w:t xml:space="preserve">s 7(l). </w:t>
      </w:r>
    </w:p>
  </w:footnote>
  <w:footnote w:id="165">
    <w:p w14:paraId="39B63822" w14:textId="77777777" w:rsidR="00181C16" w:rsidRPr="00410DAB" w:rsidRDefault="00181C16" w:rsidP="00181C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ACT Law Reform Advisory Council, </w:t>
      </w:r>
      <w:r w:rsidRPr="00410DAB">
        <w:rPr>
          <w:rFonts w:ascii="Public Sans" w:hAnsi="Public Sans" w:cs="Arial"/>
          <w:i/>
          <w:iCs/>
        </w:rPr>
        <w:t>Review of the Discrimination Act 1991 (ACT)</w:t>
      </w:r>
      <w:r w:rsidRPr="00410DAB">
        <w:rPr>
          <w:rFonts w:ascii="Public Sans" w:hAnsi="Public Sans" w:cs="Arial"/>
        </w:rPr>
        <w:t>,</w:t>
      </w:r>
      <w:r w:rsidRPr="00410DAB">
        <w:rPr>
          <w:rFonts w:ascii="Public Sans" w:hAnsi="Public Sans" w:cs="Arial"/>
          <w:i/>
          <w:iCs/>
        </w:rPr>
        <w:t xml:space="preserve"> </w:t>
      </w:r>
      <w:r w:rsidRPr="00410DAB">
        <w:rPr>
          <w:rFonts w:ascii="Public Sans" w:hAnsi="Public Sans" w:cs="Arial"/>
        </w:rPr>
        <w:t>Final Report</w:t>
      </w:r>
      <w:r w:rsidRPr="00410DAB">
        <w:rPr>
          <w:rFonts w:ascii="Public Sans" w:hAnsi="Public Sans" w:cs="Arial"/>
          <w:i/>
          <w:iCs/>
        </w:rPr>
        <w:t xml:space="preserve"> (</w:t>
      </w:r>
      <w:r w:rsidRPr="00410DAB">
        <w:rPr>
          <w:rFonts w:ascii="Public Sans" w:hAnsi="Public Sans" w:cs="Arial"/>
        </w:rPr>
        <w:t>2015) 73, rec 11.</w:t>
      </w:r>
    </w:p>
  </w:footnote>
  <w:footnote w:id="166">
    <w:p w14:paraId="1E94526F"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Equal Opportunity Act 2010</w:t>
      </w:r>
      <w:r w:rsidRPr="00410DAB">
        <w:rPr>
          <w:rFonts w:ascii="Public Sans" w:hAnsi="Public Sans" w:cs="Arial"/>
          <w:szCs w:val="18"/>
        </w:rPr>
        <w:t xml:space="preserve"> (Vic) s 4 definition of “parental status”, s 6(i); </w:t>
      </w:r>
      <w:r w:rsidRPr="00410DAB">
        <w:rPr>
          <w:rFonts w:ascii="Public Sans" w:hAnsi="Public Sans" w:cs="Arial"/>
          <w:i/>
          <w:iCs/>
          <w:szCs w:val="18"/>
        </w:rPr>
        <w:t>Anti-Discrimination Act 1998</w:t>
      </w:r>
      <w:r w:rsidRPr="00410DAB">
        <w:rPr>
          <w:rFonts w:ascii="Public Sans" w:hAnsi="Public Sans" w:cs="Arial"/>
          <w:szCs w:val="18"/>
        </w:rPr>
        <w:t xml:space="preserve"> (Tas) s 3 definition of “parental status”, s 16(i); </w:t>
      </w:r>
      <w:r w:rsidRPr="00410DAB">
        <w:rPr>
          <w:rFonts w:ascii="Public Sans" w:hAnsi="Public Sans" w:cs="Arial"/>
          <w:i/>
          <w:iCs/>
          <w:szCs w:val="18"/>
        </w:rPr>
        <w:t xml:space="preserve">Anti-Discrimination Act 1991 </w:t>
      </w:r>
      <w:r w:rsidRPr="00410DAB">
        <w:rPr>
          <w:rFonts w:ascii="Public Sans" w:hAnsi="Public Sans" w:cs="Arial"/>
          <w:szCs w:val="18"/>
        </w:rPr>
        <w:t>(Qld) s 7(d), sch 1 definition of “parental status”.</w:t>
      </w:r>
    </w:p>
  </w:footnote>
  <w:footnote w:id="167">
    <w:p w14:paraId="3B2B3D3F"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w:t>
      </w:r>
      <w:r w:rsidRPr="00410DAB">
        <w:rPr>
          <w:rFonts w:ascii="Public Sans" w:hAnsi="Public Sans"/>
          <w:szCs w:val="18"/>
        </w:rPr>
        <w:t>p</w:t>
      </w:r>
      <w:r w:rsidRPr="00410DAB">
        <w:rPr>
          <w:rFonts w:ascii="Public Sans" w:hAnsi="Public Sans" w:cs="Arial"/>
          <w:szCs w:val="18"/>
        </w:rPr>
        <w:t>t 4A.</w:t>
      </w:r>
    </w:p>
  </w:footnote>
  <w:footnote w:id="168">
    <w:p w14:paraId="04D97A53" w14:textId="77777777" w:rsidR="00181C16" w:rsidRPr="00410DAB" w:rsidRDefault="00181C16" w:rsidP="00181C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pt 4F.</w:t>
      </w:r>
    </w:p>
  </w:footnote>
  <w:footnote w:id="169">
    <w:p w14:paraId="26366CDD"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4(1) definition of “disability”.</w:t>
      </w:r>
    </w:p>
  </w:footnote>
  <w:footnote w:id="170">
    <w:p w14:paraId="10FB224B" w14:textId="77777777" w:rsidR="00181C16" w:rsidRPr="00410DAB" w:rsidRDefault="00181C16" w:rsidP="00181C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Disability Discrimination Act 1992</w:t>
      </w:r>
      <w:r w:rsidRPr="00410DAB">
        <w:rPr>
          <w:rFonts w:ascii="Public Sans" w:hAnsi="Public Sans" w:cs="Arial"/>
        </w:rPr>
        <w:t xml:space="preserve"> (Cth) s 4 definition of “disability”.</w:t>
      </w:r>
    </w:p>
  </w:footnote>
  <w:footnote w:id="171">
    <w:p w14:paraId="0D5F6014"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49A.</w:t>
      </w:r>
    </w:p>
  </w:footnote>
  <w:footnote w:id="172">
    <w:p w14:paraId="1EF5A806"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49B(3)–(3A).</w:t>
      </w:r>
    </w:p>
  </w:footnote>
  <w:footnote w:id="173">
    <w:p w14:paraId="513BAFF7"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Disability Discrimination Act</w:t>
      </w:r>
      <w:r w:rsidRPr="00410DAB">
        <w:rPr>
          <w:rFonts w:ascii="Public Sans" w:hAnsi="Public Sans" w:cs="Arial"/>
          <w:szCs w:val="18"/>
        </w:rPr>
        <w:t xml:space="preserve"> </w:t>
      </w:r>
      <w:r w:rsidRPr="00410DAB">
        <w:rPr>
          <w:rFonts w:ascii="Public Sans" w:hAnsi="Public Sans" w:cs="Arial"/>
          <w:i/>
          <w:iCs/>
          <w:szCs w:val="18"/>
        </w:rPr>
        <w:t>1992</w:t>
      </w:r>
      <w:r w:rsidRPr="00410DAB">
        <w:rPr>
          <w:rFonts w:ascii="Public Sans" w:hAnsi="Public Sans" w:cs="Arial"/>
          <w:szCs w:val="18"/>
        </w:rPr>
        <w:t xml:space="preserve"> (Cth) s 4 definition of “disability”; </w:t>
      </w:r>
      <w:r w:rsidRPr="00410DAB">
        <w:rPr>
          <w:rFonts w:ascii="Public Sans" w:hAnsi="Public Sans" w:cs="Arial"/>
          <w:i/>
          <w:iCs/>
          <w:szCs w:val="18"/>
        </w:rPr>
        <w:t>Anti-Discrimination Act 1998</w:t>
      </w:r>
      <w:r w:rsidRPr="00410DAB">
        <w:rPr>
          <w:rFonts w:ascii="Public Sans" w:hAnsi="Public Sans" w:cs="Arial"/>
          <w:szCs w:val="18"/>
        </w:rPr>
        <w:t xml:space="preserve"> (Tas) s 3 definition of “disability”; </w:t>
      </w:r>
      <w:r w:rsidRPr="00410DAB">
        <w:rPr>
          <w:rFonts w:ascii="Public Sans" w:hAnsi="Public Sans" w:cs="Arial"/>
          <w:i/>
          <w:iCs/>
          <w:szCs w:val="18"/>
        </w:rPr>
        <w:t>Equal Opportunity Act 1984</w:t>
      </w:r>
      <w:r w:rsidRPr="00410DAB">
        <w:rPr>
          <w:rFonts w:ascii="Public Sans" w:hAnsi="Public Sans" w:cs="Arial"/>
          <w:szCs w:val="18"/>
        </w:rPr>
        <w:t xml:space="preserve"> (SA) s 5 definition of “disability”; </w:t>
      </w:r>
      <w:r w:rsidRPr="00410DAB">
        <w:rPr>
          <w:rFonts w:ascii="Public Sans" w:hAnsi="Public Sans" w:cs="Arial"/>
          <w:i/>
          <w:iCs/>
          <w:szCs w:val="18"/>
        </w:rPr>
        <w:t xml:space="preserve">Anti-Discrimination Act </w:t>
      </w:r>
      <w:r w:rsidRPr="00410DAB">
        <w:rPr>
          <w:rFonts w:ascii="Public Sans" w:hAnsi="Public Sans" w:cs="Arial"/>
          <w:szCs w:val="18"/>
        </w:rPr>
        <w:t xml:space="preserve">1991 (Qld) sch 1 definition of “impairment”; </w:t>
      </w:r>
      <w:r w:rsidRPr="00410DAB">
        <w:rPr>
          <w:rFonts w:ascii="Public Sans" w:hAnsi="Public Sans" w:cs="Arial"/>
          <w:i/>
          <w:iCs/>
          <w:szCs w:val="18"/>
        </w:rPr>
        <w:t xml:space="preserve">Anti-Discrimination Act 1992 </w:t>
      </w:r>
      <w:r w:rsidRPr="00410DAB">
        <w:rPr>
          <w:rFonts w:ascii="Public Sans" w:hAnsi="Public Sans" w:cs="Arial"/>
          <w:szCs w:val="18"/>
        </w:rPr>
        <w:t>(NT) s 4 definition of “disability”;</w:t>
      </w:r>
      <w:r w:rsidRPr="00410DAB">
        <w:rPr>
          <w:rFonts w:ascii="Public Sans" w:hAnsi="Public Sans" w:cs="Arial"/>
          <w:i/>
          <w:iCs/>
          <w:szCs w:val="18"/>
        </w:rPr>
        <w:t xml:space="preserve"> Discrimination Act 1991 </w:t>
      </w:r>
      <w:r w:rsidRPr="00410DAB">
        <w:rPr>
          <w:rFonts w:ascii="Public Sans" w:hAnsi="Public Sans" w:cs="Arial"/>
          <w:szCs w:val="18"/>
        </w:rPr>
        <w:t>(ACT) s 5AA definition of “disability”.</w:t>
      </w:r>
    </w:p>
  </w:footnote>
  <w:footnote w:id="174">
    <w:p w14:paraId="79DA8300"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color w:val="000000" w:themeColor="text1"/>
          <w:szCs w:val="18"/>
        </w:rPr>
        <w:t>Anti-Discrimination and Crimes Legislation Amendment (Disability) Bill 2024 (NSW) sch 1 [1].</w:t>
      </w:r>
    </w:p>
  </w:footnote>
  <w:footnote w:id="175">
    <w:p w14:paraId="4EE082E5"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Draft Anti-Discrimination Bill 2024 (Qld) sch 1 definition of “disability”.</w:t>
      </w:r>
    </w:p>
  </w:footnote>
  <w:footnote w:id="176">
    <w:p w14:paraId="160A7A9D" w14:textId="6A99E7EC"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w:t>
      </w:r>
      <w:bookmarkStart w:id="132" w:name="_Hlk189216371"/>
      <w:bookmarkStart w:id="133" w:name="_Hlk189215384"/>
      <w:r w:rsidRPr="00410DAB">
        <w:rPr>
          <w:rStyle w:val="cf01"/>
          <w:rFonts w:ascii="Public Sans" w:hAnsi="Public Sans"/>
        </w:rPr>
        <w:t>Australian Bureau of Statistics, “Disability” (27 November 2023) &lt;</w:t>
      </w:r>
      <w:hyperlink r:id="rId14" w:history="1">
        <w:r w:rsidRPr="00410DAB">
          <w:rPr>
            <w:rStyle w:val="Hyperlink"/>
            <w:rFonts w:ascii="Public Sans" w:hAnsi="Public Sans" w:cs="Segoe UI"/>
            <w:szCs w:val="18"/>
          </w:rPr>
          <w:t>www.abs.gov.au/statistics/detailed-methodology-information/concepts-sources-methods/personal-safety-survey-user-guide/2021-22/disability</w:t>
        </w:r>
      </w:hyperlink>
      <w:r w:rsidRPr="00410DAB">
        <w:rPr>
          <w:rStyle w:val="cf01"/>
          <w:rFonts w:ascii="Public Sans" w:hAnsi="Public Sans"/>
        </w:rPr>
        <w:t>&gt; (retrieved 21 March 2025</w:t>
      </w:r>
      <w:bookmarkEnd w:id="132"/>
      <w:bookmarkEnd w:id="133"/>
      <w:r w:rsidRPr="00410DAB">
        <w:rPr>
          <w:rStyle w:val="cf01"/>
          <w:rFonts w:ascii="Public Sans" w:hAnsi="Public Sans"/>
        </w:rPr>
        <w:t>); World Health Organization, “International Classification of Functioning, Disability and Health (ICF)” (2025) &lt;</w:t>
      </w:r>
      <w:hyperlink r:id="rId15" w:history="1">
        <w:r w:rsidRPr="00410DAB">
          <w:rPr>
            <w:rStyle w:val="Hyperlink"/>
            <w:rFonts w:ascii="Public Sans" w:hAnsi="Public Sans" w:cs="Segoe UI"/>
            <w:szCs w:val="18"/>
          </w:rPr>
          <w:t>www.who.int/standards/classifications/international-classification-of-functioning-disability-and-health</w:t>
        </w:r>
      </w:hyperlink>
      <w:r w:rsidRPr="00410DAB">
        <w:rPr>
          <w:rStyle w:val="cf01"/>
          <w:rFonts w:ascii="Public Sans" w:hAnsi="Public Sans"/>
        </w:rPr>
        <w:t>&gt; (retrieved 21 March 2025).</w:t>
      </w:r>
      <w:r w:rsidRPr="00410DAB">
        <w:rPr>
          <w:rStyle w:val="cf01"/>
          <w:rFonts w:ascii="Public Sans" w:hAnsi="Public Sans"/>
          <w:color w:val="FF0000"/>
        </w:rPr>
        <w:t xml:space="preserve"> </w:t>
      </w:r>
    </w:p>
  </w:footnote>
  <w:footnote w:id="177">
    <w:p w14:paraId="2B0E9055" w14:textId="77777777" w:rsidR="00181C16" w:rsidRPr="00410DAB" w:rsidRDefault="00181C16" w:rsidP="00181C16">
      <w:pPr>
        <w:pStyle w:val="FootnoteText"/>
        <w:rPr>
          <w:rFonts w:ascii="Public Sans" w:hAnsi="Public Sans" w:cs="Arial"/>
          <w:szCs w:val="18"/>
          <w:highlight w:val="yellow"/>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bookmarkStart w:id="134" w:name="_Hlk190942074"/>
      <w:r w:rsidRPr="00410DAB">
        <w:rPr>
          <w:rFonts w:ascii="Public Sans" w:hAnsi="Public Sans" w:cs="Arial"/>
          <w:i/>
          <w:iCs/>
          <w:szCs w:val="18"/>
        </w:rPr>
        <w:t>Royal Commission into Violence, Abuse, Neglect and Exploitation of People with Disability</w:t>
      </w:r>
      <w:r w:rsidRPr="00410DAB">
        <w:rPr>
          <w:rFonts w:ascii="Public Sans" w:hAnsi="Public Sans" w:cs="Arial"/>
          <w:szCs w:val="18"/>
        </w:rPr>
        <w:t>, Executive Summary (2023) “Our Vision for an Inclusive Australia and Recommendations”, 17.</w:t>
      </w:r>
      <w:bookmarkEnd w:id="134"/>
    </w:p>
  </w:footnote>
  <w:footnote w:id="178">
    <w:p w14:paraId="68C3E8AA"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Royal Commission into Violence, Abuse, Neglect and Exploitation of People with Disability,</w:t>
      </w:r>
      <w:r w:rsidRPr="00410DAB">
        <w:rPr>
          <w:rFonts w:ascii="Public Sans" w:hAnsi="Public Sans" w:cs="Arial"/>
          <w:szCs w:val="18"/>
        </w:rPr>
        <w:t xml:space="preserve"> Executive Summary (2023) “Our Vision for an Inclusive Australia and Recommendations”,</w:t>
      </w:r>
      <w:r w:rsidRPr="00410DAB">
        <w:rPr>
          <w:rFonts w:ascii="Public Sans" w:hAnsi="Public Sans" w:cs="Arial"/>
          <w:i/>
          <w:iCs/>
          <w:szCs w:val="18"/>
        </w:rPr>
        <w:t xml:space="preserve"> </w:t>
      </w:r>
      <w:r w:rsidRPr="00410DAB">
        <w:rPr>
          <w:rFonts w:ascii="Public Sans" w:hAnsi="Public Sans" w:cs="Arial"/>
          <w:szCs w:val="18"/>
        </w:rPr>
        <w:t>18.</w:t>
      </w:r>
    </w:p>
  </w:footnote>
  <w:footnote w:id="179">
    <w:p w14:paraId="3EC1AF27"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 xml:space="preserve">. </w:t>
      </w:r>
      <w:r w:rsidRPr="00410DAB">
        <w:rPr>
          <w:rFonts w:ascii="Public Sans" w:hAnsi="Public Sans" w:cs="Arial"/>
          <w:szCs w:val="18"/>
        </w:rPr>
        <w:tab/>
      </w:r>
      <w:bookmarkStart w:id="135" w:name="_Hlk189230525"/>
      <w:r w:rsidRPr="00410DAB">
        <w:rPr>
          <w:rFonts w:ascii="Public Sans" w:hAnsi="Public Sans" w:cs="Arial"/>
          <w:i/>
          <w:iCs/>
          <w:szCs w:val="18"/>
        </w:rPr>
        <w:t>Royal Commission into Violence, Abuse, Neglect and Exploitation of People with Disability</w:t>
      </w:r>
      <w:r w:rsidRPr="00410DAB">
        <w:rPr>
          <w:rFonts w:ascii="Public Sans" w:hAnsi="Public Sans" w:cs="Arial"/>
          <w:szCs w:val="18"/>
        </w:rPr>
        <w:t>, Interim Report (2020) 346.</w:t>
      </w:r>
      <w:bookmarkEnd w:id="135"/>
    </w:p>
  </w:footnote>
  <w:footnote w:id="180">
    <w:p w14:paraId="27694C80"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 xml:space="preserve">Royal Commission into Violence, Abuse, Neglect and Exploitation of People with Disability, </w:t>
      </w:r>
      <w:r w:rsidRPr="00410DAB">
        <w:rPr>
          <w:rFonts w:ascii="Public Sans" w:hAnsi="Public Sans" w:cs="Arial"/>
          <w:szCs w:val="18"/>
        </w:rPr>
        <w:t xml:space="preserve">Executive Summary (2023) “Our Vision for an Inclusive Australia and Recommendations”, 18. </w:t>
      </w:r>
    </w:p>
  </w:footnote>
  <w:footnote w:id="181">
    <w:p w14:paraId="0DA8A278"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bookmarkStart w:id="136" w:name="_Hlk190943600"/>
      <w:r w:rsidRPr="00410DAB">
        <w:rPr>
          <w:rFonts w:ascii="Public Sans" w:hAnsi="Public Sans" w:cs="Arial"/>
          <w:i/>
          <w:iCs/>
          <w:szCs w:val="18"/>
        </w:rPr>
        <w:t>Convention on the Rights of Persons with Disabilities</w:t>
      </w:r>
      <w:r w:rsidRPr="00410DAB">
        <w:rPr>
          <w:rFonts w:ascii="Public Sans" w:hAnsi="Public Sans" w:cs="Arial"/>
          <w:szCs w:val="18"/>
        </w:rPr>
        <w:t xml:space="preserve">, 2515 UNTS 3 (entered into force 3 May 2008); </w:t>
      </w:r>
      <w:r w:rsidRPr="00410DAB">
        <w:rPr>
          <w:rFonts w:ascii="Public Sans" w:hAnsi="Public Sans" w:cs="Arial"/>
          <w:i/>
          <w:iCs/>
          <w:szCs w:val="18"/>
        </w:rPr>
        <w:t>Royal Commission into Violence, Abuse, Neglect and Exploitation of People with Disability</w:t>
      </w:r>
      <w:r w:rsidRPr="00410DAB">
        <w:rPr>
          <w:rFonts w:ascii="Public Sans" w:hAnsi="Public Sans" w:cs="Arial"/>
          <w:szCs w:val="18"/>
        </w:rPr>
        <w:t xml:space="preserve">, Final Report (2023) vol 4, “Realising the Human Rights of People with Disability”, </w:t>
      </w:r>
      <w:r w:rsidRPr="00410DAB">
        <w:rPr>
          <w:rStyle w:val="cf01"/>
          <w:rFonts w:ascii="Public Sans" w:hAnsi="Public Sans"/>
        </w:rPr>
        <w:t>44.</w:t>
      </w:r>
      <w:bookmarkEnd w:id="136"/>
      <w:r w:rsidRPr="00410DAB">
        <w:rPr>
          <w:rStyle w:val="cf01"/>
          <w:rFonts w:ascii="Public Sans" w:hAnsi="Public Sans"/>
          <w:color w:val="FF0000"/>
        </w:rPr>
        <w:t xml:space="preserve"> </w:t>
      </w:r>
    </w:p>
  </w:footnote>
  <w:footnote w:id="182">
    <w:p w14:paraId="196D9283"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Convention on the Rights of Persons with Disabilities</w:t>
      </w:r>
      <w:r w:rsidRPr="00410DAB">
        <w:rPr>
          <w:rFonts w:ascii="Public Sans" w:hAnsi="Public Sans" w:cs="Arial"/>
          <w:szCs w:val="18"/>
        </w:rPr>
        <w:t>, 2515 UNTS 3 (entered into force 3 May 2008) art 1.</w:t>
      </w:r>
    </w:p>
  </w:footnote>
  <w:footnote w:id="183">
    <w:p w14:paraId="1B9A78EB"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bookmarkStart w:id="137" w:name="_Hlk193454264"/>
      <w:r w:rsidRPr="00410DAB">
        <w:rPr>
          <w:rFonts w:ascii="Public Sans" w:hAnsi="Public Sans" w:cs="Arial"/>
          <w:szCs w:val="18"/>
        </w:rPr>
        <w:t>Anti-Discrimination and Crimes Legislation Amendment (Disability) Bill 2024</w:t>
      </w:r>
      <w:bookmarkEnd w:id="137"/>
      <w:r w:rsidRPr="00410DAB">
        <w:rPr>
          <w:rFonts w:ascii="Public Sans" w:hAnsi="Public Sans" w:cs="Arial"/>
          <w:szCs w:val="18"/>
        </w:rPr>
        <w:t xml:space="preserve"> (NSW) sch 1 [1].</w:t>
      </w:r>
    </w:p>
  </w:footnote>
  <w:footnote w:id="184">
    <w:p w14:paraId="101D943C"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Dementia Australia, </w:t>
      </w:r>
      <w:r w:rsidRPr="00410DAB">
        <w:rPr>
          <w:rFonts w:ascii="Public Sans" w:hAnsi="Public Sans" w:cs="Arial"/>
          <w:i/>
          <w:iCs/>
          <w:szCs w:val="18"/>
        </w:rPr>
        <w:t>Preliminary Submission PAD17</w:t>
      </w:r>
      <w:r w:rsidRPr="00410DAB">
        <w:rPr>
          <w:rFonts w:ascii="Public Sans" w:hAnsi="Public Sans" w:cs="Arial"/>
          <w:szCs w:val="18"/>
        </w:rPr>
        <w:t>, 5.</w:t>
      </w:r>
    </w:p>
  </w:footnote>
  <w:footnote w:id="185">
    <w:p w14:paraId="59CC7280"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267.</w:t>
      </w:r>
    </w:p>
  </w:footnote>
  <w:footnote w:id="186">
    <w:p w14:paraId="135174E4"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bookmarkStart w:id="140" w:name="_Hlk189487140"/>
      <w:r w:rsidRPr="00410DAB">
        <w:rPr>
          <w:rFonts w:ascii="Public Sans" w:hAnsi="Public Sans" w:cs="Arial"/>
          <w:i/>
          <w:iCs/>
          <w:color w:val="000000" w:themeColor="text1"/>
          <w:szCs w:val="18"/>
        </w:rPr>
        <w:t xml:space="preserve">Marsden v HREOC </w:t>
      </w:r>
      <w:r w:rsidRPr="00410DAB">
        <w:rPr>
          <w:rFonts w:ascii="Public Sans" w:hAnsi="Public Sans" w:cs="Arial"/>
          <w:color w:val="000000" w:themeColor="text1"/>
          <w:szCs w:val="18"/>
        </w:rPr>
        <w:t>[2000] FCA 161</w:t>
      </w:r>
      <w:bookmarkEnd w:id="140"/>
      <w:r w:rsidRPr="00410DAB">
        <w:rPr>
          <w:rFonts w:ascii="Public Sans" w:hAnsi="Public Sans" w:cs="Arial"/>
          <w:color w:val="000000" w:themeColor="text1"/>
          <w:szCs w:val="18"/>
        </w:rPr>
        <w:t xml:space="preserve">9 [54]; NSW Law Reform Commission, </w:t>
      </w:r>
      <w:r w:rsidRPr="00410DAB">
        <w:rPr>
          <w:rFonts w:ascii="Public Sans" w:hAnsi="Public Sans" w:cs="Arial"/>
          <w:i/>
          <w:iCs/>
          <w:color w:val="000000" w:themeColor="text1"/>
          <w:szCs w:val="18"/>
        </w:rPr>
        <w:t>Review of the Anti-Discrimination Act 1977 (NSW)</w:t>
      </w:r>
      <w:r w:rsidRPr="00410DAB">
        <w:rPr>
          <w:rFonts w:ascii="Public Sans" w:hAnsi="Public Sans" w:cs="Arial"/>
          <w:color w:val="000000" w:themeColor="text1"/>
          <w:szCs w:val="18"/>
        </w:rPr>
        <w:t xml:space="preserve">, Report 92 (1999) [5.92]. </w:t>
      </w:r>
    </w:p>
  </w:footnote>
  <w:footnote w:id="187">
    <w:p w14:paraId="36FE00E2" w14:textId="77777777" w:rsidR="00181C16" w:rsidRPr="00410DAB" w:rsidRDefault="00181C16" w:rsidP="00181C16">
      <w:pPr>
        <w:pStyle w:val="FootnoteText"/>
        <w:rPr>
          <w:rFonts w:ascii="Public Sans" w:hAnsi="Public Sans"/>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olor w:val="000000" w:themeColor="text1"/>
          <w:szCs w:val="18"/>
        </w:rPr>
        <w:t>.</w:t>
      </w:r>
      <w:r w:rsidRPr="00410DAB">
        <w:rPr>
          <w:rFonts w:ascii="Public Sans" w:hAnsi="Public Sans"/>
          <w:color w:val="000000" w:themeColor="text1"/>
          <w:szCs w:val="18"/>
        </w:rPr>
        <w:tab/>
      </w:r>
      <w:r w:rsidRPr="00410DAB">
        <w:rPr>
          <w:rFonts w:ascii="Public Sans" w:hAnsi="Public Sans" w:cs="Arial"/>
          <w:i/>
          <w:iCs/>
          <w:color w:val="000000" w:themeColor="text1"/>
          <w:szCs w:val="18"/>
        </w:rPr>
        <w:t>Anti-Discrimination Act 1977</w:t>
      </w:r>
      <w:r w:rsidRPr="00410DAB">
        <w:rPr>
          <w:rFonts w:ascii="Public Sans" w:hAnsi="Public Sans" w:cs="Arial"/>
          <w:color w:val="000000" w:themeColor="text1"/>
          <w:szCs w:val="18"/>
        </w:rPr>
        <w:t xml:space="preserve"> (NSW) </w:t>
      </w:r>
      <w:r w:rsidRPr="00410DAB">
        <w:rPr>
          <w:rFonts w:ascii="Public Sans" w:hAnsi="Public Sans"/>
          <w:color w:val="000000" w:themeColor="text1"/>
          <w:szCs w:val="18"/>
        </w:rPr>
        <w:t>s 49PA.</w:t>
      </w:r>
    </w:p>
  </w:footnote>
  <w:footnote w:id="188">
    <w:p w14:paraId="49749E77"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bookmarkStart w:id="141" w:name="_Hlk189487212"/>
      <w:r w:rsidRPr="00410DAB">
        <w:rPr>
          <w:rFonts w:ascii="Public Sans" w:hAnsi="Public Sans" w:cs="Arial"/>
          <w:i/>
          <w:iCs/>
          <w:color w:val="000000" w:themeColor="text1"/>
          <w:szCs w:val="18"/>
        </w:rPr>
        <w:t>Hinder v Salvation Army (NSW) Property Trust (No 3)</w:t>
      </w:r>
      <w:r w:rsidRPr="00410DAB">
        <w:rPr>
          <w:rFonts w:ascii="Public Sans" w:hAnsi="Public Sans" w:cs="Arial"/>
          <w:color w:val="000000" w:themeColor="text1"/>
          <w:szCs w:val="18"/>
        </w:rPr>
        <w:t xml:space="preserve"> [2017] NSWCATAD 16 [77]–[80]. See also </w:t>
      </w:r>
      <w:r w:rsidRPr="00410DAB">
        <w:rPr>
          <w:rStyle w:val="Emphasis"/>
          <w:rFonts w:ascii="Public Sans" w:hAnsi="Public Sans" w:cs="Arial"/>
          <w:color w:val="000000" w:themeColor="text1"/>
          <w:szCs w:val="18"/>
        </w:rPr>
        <w:t>McDougall v Kimberley-Clark Australia Pty Ltd</w:t>
      </w:r>
      <w:r w:rsidRPr="00410DAB">
        <w:rPr>
          <w:rFonts w:ascii="Public Sans" w:hAnsi="Public Sans" w:cs="Arial"/>
          <w:color w:val="000000" w:themeColor="text1"/>
          <w:szCs w:val="18"/>
        </w:rPr>
        <w:t> [2006] VCAT 2211</w:t>
      </w:r>
      <w:bookmarkEnd w:id="141"/>
      <w:r w:rsidRPr="00410DAB">
        <w:rPr>
          <w:rFonts w:ascii="Public Sans" w:hAnsi="Public Sans" w:cs="Arial"/>
          <w:color w:val="000000" w:themeColor="text1"/>
          <w:szCs w:val="18"/>
        </w:rPr>
        <w:t>.</w:t>
      </w:r>
    </w:p>
  </w:footnote>
  <w:footnote w:id="189">
    <w:p w14:paraId="19F01632"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Queensland Human Rights Commission, </w:t>
      </w:r>
      <w:r w:rsidRPr="00410DAB">
        <w:rPr>
          <w:rFonts w:ascii="Public Sans" w:hAnsi="Public Sans" w:cs="Arial"/>
          <w:i/>
          <w:iCs/>
          <w:color w:val="000000" w:themeColor="text1"/>
          <w:szCs w:val="18"/>
        </w:rPr>
        <w:t>Building Belonging: Review of Queensland’s Anti-Discrimination Act 1991</w:t>
      </w:r>
      <w:r w:rsidRPr="00410DAB">
        <w:rPr>
          <w:rFonts w:ascii="Public Sans" w:hAnsi="Public Sans" w:cs="Arial"/>
          <w:color w:val="000000" w:themeColor="text1"/>
          <w:szCs w:val="18"/>
        </w:rPr>
        <w:t xml:space="preserve"> (2022) rec 21.4.</w:t>
      </w:r>
    </w:p>
  </w:footnote>
  <w:footnote w:id="190">
    <w:p w14:paraId="2A904346"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1977</w:t>
      </w:r>
      <w:r w:rsidRPr="00410DAB">
        <w:rPr>
          <w:rFonts w:ascii="Public Sans" w:hAnsi="Public Sans" w:cs="Arial"/>
          <w:color w:val="000000" w:themeColor="text1"/>
          <w:szCs w:val="18"/>
        </w:rPr>
        <w:t xml:space="preserve"> (NSW) s 49B(3).</w:t>
      </w:r>
    </w:p>
  </w:footnote>
  <w:footnote w:id="191">
    <w:p w14:paraId="7B71965D"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 xml:space="preserve">Disability Discrimination Act 1992 </w:t>
      </w:r>
      <w:r w:rsidRPr="00410DAB">
        <w:rPr>
          <w:rFonts w:ascii="Public Sans" w:hAnsi="Public Sans" w:cs="Arial"/>
          <w:color w:val="000000" w:themeColor="text1"/>
          <w:szCs w:val="18"/>
        </w:rPr>
        <w:t>(Cth)</w:t>
      </w:r>
      <w:r w:rsidRPr="00410DAB">
        <w:rPr>
          <w:rFonts w:ascii="Public Sans" w:hAnsi="Public Sans" w:cs="Arial"/>
          <w:i/>
          <w:iCs/>
          <w:color w:val="000000" w:themeColor="text1"/>
          <w:szCs w:val="18"/>
        </w:rPr>
        <w:t xml:space="preserve"> </w:t>
      </w:r>
      <w:r w:rsidRPr="00410DAB">
        <w:rPr>
          <w:rFonts w:ascii="Public Sans" w:hAnsi="Public Sans" w:cs="Arial"/>
          <w:color w:val="000000" w:themeColor="text1"/>
          <w:szCs w:val="18"/>
        </w:rPr>
        <w:t>s 8,</w:t>
      </w:r>
      <w:r w:rsidRPr="00410DAB">
        <w:rPr>
          <w:rFonts w:ascii="Public Sans" w:hAnsi="Public Sans" w:cs="Arial"/>
          <w:i/>
          <w:iCs/>
          <w:color w:val="000000" w:themeColor="text1"/>
          <w:szCs w:val="18"/>
        </w:rPr>
        <w:t xml:space="preserve"> </w:t>
      </w:r>
      <w:r w:rsidRPr="00410DAB">
        <w:rPr>
          <w:rFonts w:ascii="Public Sans" w:hAnsi="Public Sans" w:cs="Arial"/>
          <w:color w:val="000000" w:themeColor="text1"/>
          <w:szCs w:val="18"/>
        </w:rPr>
        <w:t>s 9(2).</w:t>
      </w:r>
    </w:p>
  </w:footnote>
  <w:footnote w:id="192">
    <w:p w14:paraId="4FA267FE"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Companion Animals Act 1988</w:t>
      </w:r>
      <w:r w:rsidRPr="00410DAB">
        <w:rPr>
          <w:rFonts w:ascii="Public Sans" w:hAnsi="Public Sans" w:cs="Arial"/>
          <w:szCs w:val="18"/>
        </w:rPr>
        <w:t xml:space="preserve"> (NSW) s 5 definition of “assistance animal”.</w:t>
      </w:r>
    </w:p>
  </w:footnote>
  <w:footnote w:id="193">
    <w:p w14:paraId="247C5F01" w14:textId="77777777" w:rsidR="00181C16" w:rsidRPr="00410DAB" w:rsidRDefault="00181C16" w:rsidP="00181C16">
      <w:pPr>
        <w:pStyle w:val="FootnoteText"/>
        <w:rPr>
          <w:rFonts w:ascii="Public Sans" w:hAnsi="Public Sans" w:cs="Arial"/>
          <w:color w:val="0070C0"/>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rec 21.3; Law Reform Commission of Western Australia, </w:t>
      </w:r>
      <w:r w:rsidRPr="00410DAB">
        <w:rPr>
          <w:rFonts w:ascii="Public Sans" w:hAnsi="Public Sans" w:cs="Arial"/>
          <w:i/>
          <w:iCs/>
          <w:szCs w:val="18"/>
        </w:rPr>
        <w:t>Review of the Equal Opportunity Act 1984</w:t>
      </w:r>
      <w:r w:rsidRPr="00410DAB">
        <w:rPr>
          <w:rFonts w:ascii="Public Sans" w:hAnsi="Public Sans" w:cs="Arial"/>
          <w:szCs w:val="18"/>
        </w:rPr>
        <w:t xml:space="preserve"> </w:t>
      </w:r>
      <w:r w:rsidRPr="00410DAB">
        <w:rPr>
          <w:rFonts w:ascii="Public Sans" w:hAnsi="Public Sans" w:cs="Arial"/>
          <w:i/>
          <w:iCs/>
          <w:szCs w:val="18"/>
        </w:rPr>
        <w:t>(WA)</w:t>
      </w:r>
      <w:r w:rsidRPr="00410DAB">
        <w:rPr>
          <w:rFonts w:ascii="Public Sans" w:hAnsi="Public Sans" w:cs="Arial"/>
          <w:szCs w:val="18"/>
        </w:rPr>
        <w:t>, Project 111, Final Report (2022) rec 18. See also Anti-Discrimination and Crimes Legislation Amendment (Disability) Bill 2024 (NSW) sch 1 [1].</w:t>
      </w:r>
    </w:p>
  </w:footnote>
  <w:footnote w:id="194">
    <w:p w14:paraId="52557A23"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Equal Opportunity Act 1984</w:t>
      </w:r>
      <w:r w:rsidRPr="00410DAB">
        <w:rPr>
          <w:rFonts w:ascii="Public Sans" w:hAnsi="Public Sans" w:cs="Arial"/>
          <w:szCs w:val="18"/>
        </w:rPr>
        <w:t xml:space="preserve"> (SA) s 5 definition of “assistance animal”; </w:t>
      </w:r>
      <w:r w:rsidRPr="00410DAB">
        <w:rPr>
          <w:rFonts w:ascii="Public Sans" w:hAnsi="Public Sans" w:cs="Arial"/>
          <w:i/>
          <w:iCs/>
          <w:szCs w:val="18"/>
        </w:rPr>
        <w:t>Discrimination Act 1991</w:t>
      </w:r>
      <w:r w:rsidRPr="00410DAB">
        <w:rPr>
          <w:rFonts w:ascii="Public Sans" w:hAnsi="Public Sans" w:cs="Arial"/>
          <w:szCs w:val="18"/>
        </w:rPr>
        <w:t xml:space="preserve"> (ACT) s 5AA(3) definition of “assistance animal”; </w:t>
      </w:r>
      <w:r w:rsidRPr="00410DAB">
        <w:rPr>
          <w:rFonts w:ascii="Public Sans" w:hAnsi="Public Sans" w:cs="Arial"/>
          <w:i/>
          <w:iCs/>
          <w:szCs w:val="18"/>
        </w:rPr>
        <w:t xml:space="preserve">Anti-Discrimination Act 1992 </w:t>
      </w:r>
      <w:r w:rsidRPr="00410DAB">
        <w:rPr>
          <w:rFonts w:ascii="Public Sans" w:hAnsi="Public Sans" w:cs="Arial"/>
          <w:szCs w:val="18"/>
        </w:rPr>
        <w:t>(NT) s 4A definition of “assistance animal”.</w:t>
      </w:r>
    </w:p>
  </w:footnote>
  <w:footnote w:id="195">
    <w:p w14:paraId="343B6336"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w:t>
      </w:r>
      <w:bookmarkStart w:id="146" w:name="_Hlk193455503"/>
      <w:r w:rsidRPr="00410DAB">
        <w:rPr>
          <w:rFonts w:ascii="Public Sans" w:hAnsi="Public Sans" w:cs="Arial"/>
          <w:szCs w:val="18"/>
        </w:rPr>
        <w:t xml:space="preserve">L Heap, </w:t>
      </w:r>
      <w:r w:rsidRPr="00410DAB">
        <w:rPr>
          <w:rFonts w:ascii="Public Sans" w:hAnsi="Public Sans" w:cs="Arial"/>
          <w:i/>
          <w:iCs/>
          <w:szCs w:val="18"/>
        </w:rPr>
        <w:t xml:space="preserve">No Blood-No Job: Australia’s Privacy Laws and Workers’ Rights </w:t>
      </w:r>
      <w:r w:rsidRPr="00410DAB">
        <w:rPr>
          <w:rFonts w:ascii="Public Sans" w:hAnsi="Public Sans" w:cs="Arial"/>
          <w:szCs w:val="18"/>
        </w:rPr>
        <w:t>(Australia Institute, 2024) 13</w:t>
      </w:r>
      <w:bookmarkEnd w:id="146"/>
      <w:r w:rsidRPr="00410DAB">
        <w:rPr>
          <w:rFonts w:ascii="Public Sans" w:hAnsi="Public Sans" w:cs="Arial"/>
          <w:szCs w:val="18"/>
        </w:rPr>
        <w:t xml:space="preserve">, 17–18. </w:t>
      </w:r>
    </w:p>
  </w:footnote>
  <w:footnote w:id="196">
    <w:p w14:paraId="6559E7EE"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49A.</w:t>
      </w:r>
    </w:p>
  </w:footnote>
  <w:footnote w:id="197">
    <w:p w14:paraId="45238315"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Disability Discrimination Act 1992</w:t>
      </w:r>
      <w:r w:rsidRPr="00410DAB">
        <w:rPr>
          <w:rFonts w:ascii="Public Sans" w:hAnsi="Public Sans" w:cs="Arial"/>
          <w:szCs w:val="18"/>
        </w:rPr>
        <w:t xml:space="preserve"> (Cth) s 4 definition of “disability”. See also Law Reform Commission of Western Australia, </w:t>
      </w:r>
      <w:r w:rsidRPr="00410DAB">
        <w:rPr>
          <w:rFonts w:ascii="Public Sans" w:hAnsi="Public Sans" w:cs="Arial"/>
          <w:i/>
          <w:iCs/>
          <w:szCs w:val="18"/>
        </w:rPr>
        <w:t>Review of the Equal Opportunity Act 1984 (WA)</w:t>
      </w:r>
      <w:r w:rsidRPr="00410DAB">
        <w:rPr>
          <w:rFonts w:ascii="Public Sans" w:hAnsi="Public Sans" w:cs="Arial"/>
          <w:szCs w:val="18"/>
        </w:rPr>
        <w:t xml:space="preserve">, Project 111, Final Report (2022) rec 22; 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264, 266; Anti-Discrimination and Crimes Legislation Amendment (Disability) Bill 2024 (NSW) sch 1 [1], [3].</w:t>
      </w:r>
    </w:p>
  </w:footnote>
  <w:footnote w:id="198">
    <w:p w14:paraId="7E688C80"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i/>
          <w:iCs/>
          <w:color w:val="000000" w:themeColor="text1"/>
          <w:szCs w:val="18"/>
        </w:rPr>
        <w:tab/>
        <w:t>Discrimination Act 1991</w:t>
      </w:r>
      <w:r w:rsidRPr="00410DAB">
        <w:rPr>
          <w:rFonts w:ascii="Public Sans" w:hAnsi="Public Sans" w:cs="Arial"/>
          <w:color w:val="000000" w:themeColor="text1"/>
          <w:szCs w:val="18"/>
        </w:rPr>
        <w:t xml:space="preserve"> (ACT) s 7(1)(h).</w:t>
      </w:r>
    </w:p>
  </w:footnote>
  <w:footnote w:id="199">
    <w:p w14:paraId="0BE2FC78"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ACT Law Reform Advisory Council, </w:t>
      </w:r>
      <w:r w:rsidRPr="00410DAB">
        <w:rPr>
          <w:rFonts w:ascii="Public Sans" w:hAnsi="Public Sans" w:cs="Arial"/>
          <w:i/>
          <w:iCs/>
          <w:color w:val="000000" w:themeColor="text1"/>
          <w:szCs w:val="18"/>
        </w:rPr>
        <w:t>Inquiry into the Discrimination Act 1991 (ACT)</w:t>
      </w:r>
      <w:r w:rsidRPr="00410DAB">
        <w:rPr>
          <w:rFonts w:ascii="Public Sans" w:hAnsi="Public Sans" w:cs="Arial"/>
          <w:color w:val="000000" w:themeColor="text1"/>
          <w:szCs w:val="18"/>
        </w:rPr>
        <w:t>, Final Report, (2015) 60.</w:t>
      </w:r>
    </w:p>
  </w:footnote>
  <w:footnote w:id="200">
    <w:p w14:paraId="1DFC45B6" w14:textId="77777777" w:rsidR="00181C16" w:rsidRPr="00410DAB" w:rsidRDefault="00181C16" w:rsidP="00181C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szCs w:val="18"/>
        </w:rPr>
        <w:t>Anti-Discrimination Act 1977</w:t>
      </w:r>
      <w:r w:rsidRPr="00410DAB">
        <w:rPr>
          <w:rFonts w:ascii="Public Sans" w:hAnsi="Public Sans" w:cs="Arial"/>
          <w:szCs w:val="18"/>
        </w:rPr>
        <w:t xml:space="preserve"> (NSW)</w:t>
      </w:r>
      <w:r w:rsidRPr="00410DAB">
        <w:rPr>
          <w:rFonts w:ascii="Public Sans" w:hAnsi="Public Sans" w:cs="Arial"/>
        </w:rPr>
        <w:t xml:space="preserve"> s 49P.</w:t>
      </w:r>
    </w:p>
  </w:footnote>
  <w:footnote w:id="201">
    <w:p w14:paraId="720B20D8" w14:textId="77777777" w:rsidR="00181C16" w:rsidRPr="00410DAB" w:rsidRDefault="00181C16" w:rsidP="00181C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szCs w:val="18"/>
        </w:rPr>
        <w:t xml:space="preserve">NSW Law Reform Commission, </w:t>
      </w:r>
      <w:r w:rsidRPr="00410DAB">
        <w:rPr>
          <w:rFonts w:ascii="Public Sans" w:hAnsi="Public Sans" w:cs="Arial"/>
          <w:i/>
          <w:iCs/>
          <w:szCs w:val="18"/>
        </w:rPr>
        <w:t>Review of the Anti-Discrimination Act 1977 (NSW)</w:t>
      </w:r>
      <w:r w:rsidRPr="00410DAB">
        <w:rPr>
          <w:rFonts w:ascii="Public Sans" w:hAnsi="Public Sans" w:cs="Arial"/>
          <w:szCs w:val="18"/>
        </w:rPr>
        <w:t>, Report 92 (1999)</w:t>
      </w:r>
      <w:r w:rsidRPr="00410DAB">
        <w:rPr>
          <w:rFonts w:ascii="Public Sans" w:hAnsi="Public Sans" w:cs="Arial"/>
        </w:rPr>
        <w:t xml:space="preserve"> [6.272].</w:t>
      </w:r>
    </w:p>
  </w:footnote>
  <w:footnote w:id="202">
    <w:p w14:paraId="2FF7F47B" w14:textId="77777777" w:rsidR="00181C16" w:rsidRPr="00410DAB" w:rsidRDefault="00181C16" w:rsidP="00181C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szCs w:val="18"/>
        </w:rPr>
        <w:t>Disability Discrimination Act</w:t>
      </w:r>
      <w:r w:rsidRPr="00410DAB">
        <w:rPr>
          <w:rFonts w:ascii="Public Sans" w:hAnsi="Public Sans" w:cs="Arial"/>
          <w:szCs w:val="18"/>
        </w:rPr>
        <w:t xml:space="preserve"> </w:t>
      </w:r>
      <w:r w:rsidRPr="00410DAB">
        <w:rPr>
          <w:rFonts w:ascii="Public Sans" w:hAnsi="Public Sans" w:cs="Arial"/>
          <w:i/>
          <w:iCs/>
          <w:szCs w:val="18"/>
        </w:rPr>
        <w:t>1992</w:t>
      </w:r>
      <w:r w:rsidRPr="00410DAB">
        <w:rPr>
          <w:rFonts w:ascii="Public Sans" w:hAnsi="Public Sans" w:cs="Arial"/>
          <w:szCs w:val="18"/>
        </w:rPr>
        <w:t xml:space="preserve"> (Cth)</w:t>
      </w:r>
      <w:r w:rsidRPr="00410DAB">
        <w:rPr>
          <w:rFonts w:ascii="Public Sans" w:hAnsi="Public Sans" w:cs="Arial"/>
        </w:rPr>
        <w:t xml:space="preserve"> s 48; </w:t>
      </w:r>
      <w:r w:rsidRPr="00410DAB">
        <w:rPr>
          <w:rFonts w:ascii="Public Sans" w:hAnsi="Public Sans" w:cs="Arial"/>
          <w:i/>
          <w:iCs/>
          <w:szCs w:val="18"/>
        </w:rPr>
        <w:t xml:space="preserve">Discrimination Act 1991 </w:t>
      </w:r>
      <w:r w:rsidRPr="00410DAB">
        <w:rPr>
          <w:rFonts w:ascii="Public Sans" w:hAnsi="Public Sans" w:cs="Arial"/>
          <w:szCs w:val="18"/>
        </w:rPr>
        <w:t xml:space="preserve">(ACT) s </w:t>
      </w:r>
      <w:r w:rsidRPr="00410DAB">
        <w:rPr>
          <w:rFonts w:ascii="Public Sans" w:hAnsi="Public Sans" w:cs="Arial"/>
        </w:rPr>
        <w:t xml:space="preserve">56; </w:t>
      </w:r>
      <w:r w:rsidRPr="00410DAB">
        <w:rPr>
          <w:rFonts w:ascii="Public Sans" w:hAnsi="Public Sans" w:cs="Arial"/>
          <w:i/>
          <w:iCs/>
          <w:szCs w:val="18"/>
        </w:rPr>
        <w:t xml:space="preserve">Anti-Discrimination Act 1992 </w:t>
      </w:r>
      <w:r w:rsidRPr="00410DAB">
        <w:rPr>
          <w:rFonts w:ascii="Public Sans" w:hAnsi="Public Sans" w:cs="Arial"/>
          <w:szCs w:val="18"/>
        </w:rPr>
        <w:t xml:space="preserve">(NT) </w:t>
      </w:r>
      <w:r w:rsidRPr="00410DAB">
        <w:rPr>
          <w:rFonts w:ascii="Public Sans" w:hAnsi="Public Sans" w:cs="Arial"/>
        </w:rPr>
        <w:t xml:space="preserve">s 55; </w:t>
      </w:r>
      <w:r w:rsidRPr="00410DAB">
        <w:rPr>
          <w:rFonts w:ascii="Public Sans" w:hAnsi="Public Sans" w:cs="Arial"/>
          <w:i/>
          <w:iCs/>
          <w:szCs w:val="18"/>
        </w:rPr>
        <w:t>Anti-Discrimination Act 1991</w:t>
      </w:r>
      <w:r w:rsidRPr="00410DAB">
        <w:rPr>
          <w:rFonts w:ascii="Public Sans" w:hAnsi="Public Sans" w:cs="Arial"/>
          <w:szCs w:val="18"/>
        </w:rPr>
        <w:t xml:space="preserve"> (Qld)</w:t>
      </w:r>
      <w:r w:rsidRPr="00410DAB">
        <w:rPr>
          <w:rFonts w:ascii="Public Sans" w:hAnsi="Public Sans" w:cs="Arial"/>
        </w:rPr>
        <w:t xml:space="preserve"> s 107.</w:t>
      </w:r>
    </w:p>
  </w:footnote>
  <w:footnote w:id="203">
    <w:p w14:paraId="566AEFD2" w14:textId="77777777" w:rsidR="00181C16" w:rsidRPr="00410DAB" w:rsidRDefault="00181C16" w:rsidP="00181C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szCs w:val="18"/>
        </w:rPr>
        <w:t xml:space="preserve">NSW Law Reform Commission, </w:t>
      </w:r>
      <w:r w:rsidRPr="00410DAB">
        <w:rPr>
          <w:rFonts w:ascii="Public Sans" w:hAnsi="Public Sans" w:cs="Arial"/>
          <w:i/>
          <w:iCs/>
          <w:szCs w:val="18"/>
        </w:rPr>
        <w:t>Review of the Anti-Discrimination Act 1977 (NSW)</w:t>
      </w:r>
      <w:r w:rsidRPr="00410DAB">
        <w:rPr>
          <w:rFonts w:ascii="Public Sans" w:hAnsi="Public Sans" w:cs="Arial"/>
          <w:szCs w:val="18"/>
        </w:rPr>
        <w:t>, Report 92 (1999)</w:t>
      </w:r>
      <w:r w:rsidRPr="00410DAB">
        <w:rPr>
          <w:rFonts w:ascii="Public Sans" w:hAnsi="Public Sans" w:cs="Arial"/>
        </w:rPr>
        <w:t xml:space="preserve"> rec 66.</w:t>
      </w:r>
    </w:p>
  </w:footnote>
  <w:footnote w:id="204">
    <w:p w14:paraId="5F7F1CA9" w14:textId="77777777" w:rsidR="00181C16" w:rsidRPr="00410DAB" w:rsidRDefault="00181C16" w:rsidP="00181C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szCs w:val="18"/>
        </w:rPr>
        <w:t xml:space="preserve">NSW Law Reform Commission, </w:t>
      </w:r>
      <w:r w:rsidRPr="00410DAB">
        <w:rPr>
          <w:rFonts w:ascii="Public Sans" w:hAnsi="Public Sans" w:cs="Arial"/>
          <w:i/>
          <w:iCs/>
          <w:szCs w:val="18"/>
        </w:rPr>
        <w:t>Review of the Anti-Discrimination Act 1977 (NSW)</w:t>
      </w:r>
      <w:r w:rsidRPr="00410DAB">
        <w:rPr>
          <w:rFonts w:ascii="Public Sans" w:hAnsi="Public Sans" w:cs="Arial"/>
          <w:szCs w:val="18"/>
        </w:rPr>
        <w:t>, Report 92 (1999)</w:t>
      </w:r>
      <w:r w:rsidRPr="00410DAB">
        <w:rPr>
          <w:rFonts w:ascii="Public Sans" w:hAnsi="Public Sans" w:cs="Arial"/>
        </w:rPr>
        <w:t xml:space="preserve"> rec 66. See </w:t>
      </w:r>
      <w:r w:rsidRPr="00410DAB">
        <w:rPr>
          <w:rFonts w:ascii="Public Sans" w:hAnsi="Public Sans" w:cs="Arial"/>
          <w:i/>
          <w:iCs/>
        </w:rPr>
        <w:t>Mental Health Act 2007</w:t>
      </w:r>
      <w:r w:rsidRPr="00410DAB">
        <w:rPr>
          <w:rFonts w:ascii="Public Sans" w:hAnsi="Public Sans" w:cs="Arial"/>
        </w:rPr>
        <w:t xml:space="preserve"> (NSW), repealing </w:t>
      </w:r>
      <w:r w:rsidRPr="00410DAB">
        <w:rPr>
          <w:rFonts w:ascii="Public Sans" w:hAnsi="Public Sans" w:cs="Arial"/>
          <w:i/>
          <w:iCs/>
        </w:rPr>
        <w:t>Mental Health Act 1990</w:t>
      </w:r>
      <w:r w:rsidRPr="00410DAB">
        <w:rPr>
          <w:rFonts w:ascii="Public Sans" w:hAnsi="Public Sans" w:cs="Arial"/>
        </w:rPr>
        <w:t xml:space="preserve"> (NSW).</w:t>
      </w:r>
    </w:p>
  </w:footnote>
  <w:footnote w:id="205">
    <w:p w14:paraId="2A7B6347"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49ZF, s 49ZG, s 4(1) definition of “homosexual”.</w:t>
      </w:r>
    </w:p>
  </w:footnote>
  <w:footnote w:id="206">
    <w:p w14:paraId="5A9C5323"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Crimes Act 1900</w:t>
      </w:r>
      <w:r w:rsidRPr="00410DAB">
        <w:rPr>
          <w:rFonts w:ascii="Public Sans" w:hAnsi="Public Sans" w:cs="Arial"/>
          <w:szCs w:val="18"/>
        </w:rPr>
        <w:t xml:space="preserve"> (NSW) s 93Z(5) definition of “sexual orientation”; </w:t>
      </w:r>
      <w:r w:rsidRPr="00410DAB">
        <w:rPr>
          <w:rFonts w:ascii="Public Sans" w:hAnsi="Public Sans" w:cs="Arial"/>
          <w:i/>
          <w:iCs/>
          <w:szCs w:val="18"/>
        </w:rPr>
        <w:t>Sex Discrimination Act 1984</w:t>
      </w:r>
      <w:r w:rsidRPr="00410DAB">
        <w:rPr>
          <w:rFonts w:ascii="Public Sans" w:hAnsi="Public Sans" w:cs="Arial"/>
          <w:szCs w:val="18"/>
        </w:rPr>
        <w:t xml:space="preserve"> (Cth) s 4 definition of “sexual orientation”. See also NSW Law Reform Commission, </w:t>
      </w:r>
      <w:r w:rsidRPr="00410DAB">
        <w:rPr>
          <w:rFonts w:ascii="Public Sans" w:hAnsi="Public Sans" w:cs="Arial"/>
          <w:i/>
          <w:iCs/>
          <w:szCs w:val="18"/>
        </w:rPr>
        <w:t>Review of the Anti-Discrimination Act 1977 (NSW)</w:t>
      </w:r>
      <w:r w:rsidRPr="00410DAB">
        <w:rPr>
          <w:rFonts w:ascii="Public Sans" w:hAnsi="Public Sans" w:cs="Arial"/>
          <w:szCs w:val="18"/>
        </w:rPr>
        <w:t>, Report 92 (1999) rec 36.</w:t>
      </w:r>
    </w:p>
  </w:footnote>
  <w:footnote w:id="207">
    <w:p w14:paraId="3A2E5655" w14:textId="77777777" w:rsidR="00181C16" w:rsidRPr="00410DAB" w:rsidRDefault="00181C16" w:rsidP="00181C16">
      <w:pPr>
        <w:pStyle w:val="FootnoteText"/>
        <w:rPr>
          <w:rFonts w:ascii="Public Sans" w:hAnsi="Public Sans" w:cs="Arial"/>
          <w:color w:val="0070C0"/>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bookmarkStart w:id="152" w:name="_Hlk189567070"/>
      <w:r w:rsidRPr="00410DAB">
        <w:rPr>
          <w:rFonts w:ascii="Public Sans" w:hAnsi="Public Sans" w:cs="Arial"/>
          <w:i/>
          <w:iCs/>
          <w:szCs w:val="18"/>
        </w:rPr>
        <w:t>The Yogyakarta Principles: Principles on the Application of International Human Rights Law in Relation to Sexual Orientation and Gender Identity</w:t>
      </w:r>
      <w:r w:rsidRPr="00410DAB">
        <w:rPr>
          <w:rFonts w:ascii="Public Sans" w:hAnsi="Public Sans" w:cs="Arial"/>
          <w:szCs w:val="18"/>
        </w:rPr>
        <w:t xml:space="preserve"> (2007)</w:t>
      </w:r>
      <w:bookmarkEnd w:id="152"/>
      <w:r w:rsidRPr="00410DAB">
        <w:rPr>
          <w:rFonts w:ascii="Public Sans" w:hAnsi="Public Sans" w:cs="Arial"/>
          <w:szCs w:val="18"/>
        </w:rPr>
        <w:t xml:space="preserve"> 8.</w:t>
      </w:r>
    </w:p>
  </w:footnote>
  <w:footnote w:id="208">
    <w:p w14:paraId="1EB2D4F2"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Equal Opportunity Act 2010</w:t>
      </w:r>
      <w:r w:rsidRPr="00410DAB">
        <w:rPr>
          <w:rFonts w:ascii="Public Sans" w:hAnsi="Public Sans" w:cs="Arial"/>
          <w:szCs w:val="18"/>
        </w:rPr>
        <w:t xml:space="preserve"> (Vic) s 4 definition of “sexual orientation”. See also </w:t>
      </w:r>
      <w:r w:rsidRPr="00410DAB">
        <w:rPr>
          <w:rFonts w:ascii="Public Sans" w:hAnsi="Public Sans" w:cs="Arial"/>
          <w:i/>
          <w:iCs/>
          <w:szCs w:val="18"/>
        </w:rPr>
        <w:t>Anti-Discrimination Act</w:t>
      </w:r>
      <w:r w:rsidRPr="00410DAB">
        <w:rPr>
          <w:rFonts w:ascii="Public Sans" w:hAnsi="Public Sans" w:cs="Arial"/>
          <w:szCs w:val="18"/>
        </w:rPr>
        <w:t xml:space="preserve"> </w:t>
      </w:r>
      <w:r w:rsidRPr="00410DAB">
        <w:rPr>
          <w:rFonts w:ascii="Public Sans" w:hAnsi="Public Sans" w:cs="Arial"/>
          <w:i/>
          <w:iCs/>
          <w:szCs w:val="18"/>
        </w:rPr>
        <w:t>1992</w:t>
      </w:r>
      <w:r w:rsidRPr="00410DAB">
        <w:rPr>
          <w:rFonts w:ascii="Public Sans" w:hAnsi="Public Sans" w:cs="Arial"/>
          <w:szCs w:val="18"/>
        </w:rPr>
        <w:t xml:space="preserve"> (NT) s 4 definition of “sexual orientation”.</w:t>
      </w:r>
    </w:p>
  </w:footnote>
  <w:footnote w:id="209">
    <w:p w14:paraId="4DA00821"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Law Reform Commission of Western Australia, </w:t>
      </w:r>
      <w:r w:rsidRPr="00410DAB">
        <w:rPr>
          <w:rFonts w:ascii="Public Sans" w:hAnsi="Public Sans" w:cs="Arial"/>
          <w:i/>
          <w:iCs/>
          <w:szCs w:val="18"/>
        </w:rPr>
        <w:t>Review of the Equal Opportunity Act 1984 (WA)</w:t>
      </w:r>
      <w:r w:rsidRPr="00410DAB">
        <w:rPr>
          <w:rFonts w:ascii="Public Sans" w:hAnsi="Public Sans" w:cs="Arial"/>
          <w:szCs w:val="18"/>
        </w:rPr>
        <w:t xml:space="preserve">, Project 111, Final Report (2022) rec 54; 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rec 23.1.</w:t>
      </w:r>
    </w:p>
  </w:footnote>
  <w:footnote w:id="210">
    <w:p w14:paraId="0F64A705" w14:textId="5E8E104C"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Respect at Work and Other Matters Amendment Act 2024</w:t>
      </w:r>
      <w:r w:rsidRPr="00410DAB">
        <w:rPr>
          <w:rFonts w:ascii="Public Sans" w:hAnsi="Public Sans" w:cs="Arial"/>
          <w:szCs w:val="18"/>
        </w:rPr>
        <w:t xml:space="preserve"> (Qld) s 7(2), s 52</w:t>
      </w:r>
      <w:r w:rsidR="00711211">
        <w:rPr>
          <w:rFonts w:ascii="Public Sans" w:hAnsi="Public Sans" w:cs="Arial"/>
          <w:szCs w:val="18"/>
        </w:rPr>
        <w:t>(2)</w:t>
      </w:r>
      <w:r w:rsidRPr="00410DAB">
        <w:rPr>
          <w:rFonts w:ascii="Public Sans" w:hAnsi="Public Sans" w:cs="Arial"/>
          <w:szCs w:val="18"/>
        </w:rPr>
        <w:t xml:space="preserve">, amending </w:t>
      </w:r>
      <w:r w:rsidRPr="00410DAB">
        <w:rPr>
          <w:rFonts w:ascii="Public Sans" w:hAnsi="Public Sans" w:cs="Arial"/>
          <w:i/>
          <w:iCs/>
          <w:szCs w:val="18"/>
        </w:rPr>
        <w:t>Anti-Discrimination Act 1991</w:t>
      </w:r>
      <w:r w:rsidRPr="00410DAB">
        <w:rPr>
          <w:rFonts w:ascii="Public Sans" w:hAnsi="Public Sans" w:cs="Arial"/>
          <w:szCs w:val="18"/>
        </w:rPr>
        <w:t xml:space="preserve"> (Qld) s 7</w:t>
      </w:r>
      <w:r w:rsidR="00D71DF6">
        <w:rPr>
          <w:rFonts w:ascii="Public Sans" w:hAnsi="Public Sans" w:cs="Arial"/>
          <w:szCs w:val="18"/>
        </w:rPr>
        <w:t>(n)</w:t>
      </w:r>
      <w:r w:rsidR="00711211">
        <w:rPr>
          <w:rFonts w:ascii="Public Sans" w:hAnsi="Public Sans" w:cs="Arial"/>
          <w:szCs w:val="18"/>
        </w:rPr>
        <w:t xml:space="preserve">, sch 1 </w:t>
      </w:r>
      <w:r w:rsidR="00711211" w:rsidRPr="00410DAB">
        <w:rPr>
          <w:rFonts w:ascii="Public Sans" w:hAnsi="Public Sans" w:cs="Arial"/>
          <w:szCs w:val="18"/>
        </w:rPr>
        <w:t>definition of “sexual orientation”</w:t>
      </w:r>
      <w:r w:rsidRPr="00410DAB">
        <w:rPr>
          <w:rFonts w:ascii="Public Sans" w:hAnsi="Public Sans" w:cs="Arial"/>
          <w:szCs w:val="18"/>
        </w:rPr>
        <w:t>(</w:t>
      </w:r>
      <w:r w:rsidR="00FA5BA6">
        <w:rPr>
          <w:rFonts w:ascii="Public Sans" w:hAnsi="Public Sans" w:cs="Arial"/>
          <w:szCs w:val="18"/>
        </w:rPr>
        <w:t>un</w:t>
      </w:r>
      <w:r w:rsidRPr="00410DAB">
        <w:rPr>
          <w:rFonts w:ascii="Public Sans" w:hAnsi="Public Sans" w:cs="Arial"/>
          <w:szCs w:val="18"/>
        </w:rPr>
        <w:t>commence</w:t>
      </w:r>
      <w:r w:rsidR="00FA5BA6">
        <w:rPr>
          <w:rFonts w:ascii="Public Sans" w:hAnsi="Public Sans" w:cs="Arial"/>
          <w:szCs w:val="18"/>
        </w:rPr>
        <w:t>d</w:t>
      </w:r>
      <w:r w:rsidRPr="00410DAB">
        <w:rPr>
          <w:rFonts w:ascii="Public Sans" w:hAnsi="Public Sans" w:cs="Arial"/>
          <w:szCs w:val="18"/>
        </w:rPr>
        <w:t>).</w:t>
      </w:r>
    </w:p>
  </w:footnote>
  <w:footnote w:id="211">
    <w:p w14:paraId="236813CE" w14:textId="77777777" w:rsidR="00181C16" w:rsidRPr="00410DAB" w:rsidRDefault="00181C16" w:rsidP="00181C16">
      <w:pPr>
        <w:pStyle w:val="FootnoteText"/>
        <w:rPr>
          <w:rFonts w:ascii="Public Sans" w:hAnsi="Public Sans" w:cs="Arial"/>
          <w:color w:val="0070C0"/>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285, rec 23.2; Law Reform Commission of Western Australia, </w:t>
      </w:r>
      <w:r w:rsidRPr="00410DAB">
        <w:rPr>
          <w:rFonts w:ascii="Public Sans" w:hAnsi="Public Sans" w:cs="Arial"/>
          <w:i/>
          <w:iCs/>
          <w:szCs w:val="18"/>
        </w:rPr>
        <w:t>Review of the Equal Opportunity Act 1984 (WA)</w:t>
      </w:r>
      <w:r w:rsidRPr="00410DAB">
        <w:rPr>
          <w:rFonts w:ascii="Public Sans" w:hAnsi="Public Sans" w:cs="Arial"/>
          <w:szCs w:val="18"/>
        </w:rPr>
        <w:t>, Project 111, Final Report (2022) 117.</w:t>
      </w:r>
    </w:p>
  </w:footnote>
  <w:footnote w:id="212">
    <w:p w14:paraId="6ACC8705" w14:textId="480BB9AE"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Respect at Work and Other Matters Amendment Act 2024</w:t>
      </w:r>
      <w:r w:rsidRPr="00410DAB">
        <w:rPr>
          <w:rFonts w:ascii="Public Sans" w:hAnsi="Public Sans" w:cs="Arial"/>
          <w:szCs w:val="18"/>
        </w:rPr>
        <w:t xml:space="preserve"> (Qld) s 7, s 52</w:t>
      </w:r>
      <w:r w:rsidR="000F6929">
        <w:rPr>
          <w:rFonts w:ascii="Public Sans" w:hAnsi="Public Sans" w:cs="Arial"/>
          <w:szCs w:val="18"/>
        </w:rPr>
        <w:t>(2)</w:t>
      </w:r>
      <w:r w:rsidRPr="00410DAB">
        <w:rPr>
          <w:rFonts w:ascii="Public Sans" w:hAnsi="Public Sans" w:cs="Arial"/>
          <w:szCs w:val="18"/>
        </w:rPr>
        <w:t xml:space="preserve"> amending </w:t>
      </w:r>
      <w:r w:rsidRPr="00410DAB">
        <w:rPr>
          <w:rFonts w:ascii="Public Sans" w:hAnsi="Public Sans" w:cs="Arial"/>
          <w:i/>
          <w:iCs/>
          <w:szCs w:val="18"/>
        </w:rPr>
        <w:t>Anti-Discrimination Act 1991</w:t>
      </w:r>
      <w:r w:rsidRPr="00410DAB">
        <w:rPr>
          <w:rFonts w:ascii="Public Sans" w:hAnsi="Public Sans" w:cs="Arial"/>
          <w:szCs w:val="18"/>
        </w:rPr>
        <w:t xml:space="preserve"> (Qld) </w:t>
      </w:r>
      <w:r w:rsidRPr="00410DAB">
        <w:rPr>
          <w:rFonts w:ascii="Public Sans" w:hAnsi="Public Sans"/>
        </w:rPr>
        <w:t>s 7</w:t>
      </w:r>
      <w:r w:rsidR="000F6929">
        <w:rPr>
          <w:rFonts w:ascii="Public Sans" w:hAnsi="Public Sans"/>
        </w:rPr>
        <w:t>(n)</w:t>
      </w:r>
      <w:r w:rsidR="000F6929">
        <w:rPr>
          <w:rFonts w:ascii="Public Sans" w:hAnsi="Public Sans" w:cs="Arial"/>
          <w:szCs w:val="18"/>
        </w:rPr>
        <w:t>,</w:t>
      </w:r>
      <w:r w:rsidR="00F447A7">
        <w:rPr>
          <w:rFonts w:ascii="Public Sans" w:hAnsi="Public Sans" w:cs="Arial"/>
          <w:szCs w:val="18"/>
        </w:rPr>
        <w:t xml:space="preserve"> sch 1</w:t>
      </w:r>
      <w:r w:rsidR="000F6929">
        <w:rPr>
          <w:rFonts w:ascii="Public Sans" w:hAnsi="Public Sans" w:cs="Arial"/>
          <w:szCs w:val="18"/>
        </w:rPr>
        <w:t xml:space="preserve"> </w:t>
      </w:r>
      <w:r w:rsidR="001C69B5">
        <w:rPr>
          <w:rFonts w:ascii="Public Sans" w:hAnsi="Public Sans" w:cs="Arial"/>
          <w:szCs w:val="18"/>
        </w:rPr>
        <w:t>definition of “sexual orientation”</w:t>
      </w:r>
      <w:r w:rsidRPr="00410DAB">
        <w:rPr>
          <w:rFonts w:ascii="Public Sans" w:hAnsi="Public Sans" w:cs="Arial"/>
          <w:szCs w:val="18"/>
        </w:rPr>
        <w:t>(</w:t>
      </w:r>
      <w:r w:rsidR="001105CB">
        <w:rPr>
          <w:rFonts w:ascii="Public Sans" w:hAnsi="Public Sans" w:cs="Arial"/>
          <w:szCs w:val="18"/>
        </w:rPr>
        <w:t>un</w:t>
      </w:r>
      <w:r w:rsidRPr="00410DAB">
        <w:rPr>
          <w:rFonts w:ascii="Public Sans" w:hAnsi="Public Sans" w:cs="Arial"/>
          <w:szCs w:val="18"/>
        </w:rPr>
        <w:t>commence</w:t>
      </w:r>
      <w:r w:rsidR="001105CB">
        <w:rPr>
          <w:rFonts w:ascii="Public Sans" w:hAnsi="Public Sans" w:cs="Arial"/>
          <w:szCs w:val="18"/>
        </w:rPr>
        <w:t>d</w:t>
      </w:r>
      <w:r w:rsidRPr="00410DAB">
        <w:rPr>
          <w:rFonts w:ascii="Public Sans" w:hAnsi="Public Sans" w:cs="Arial"/>
          <w:szCs w:val="18"/>
        </w:rPr>
        <w:t>).</w:t>
      </w:r>
    </w:p>
  </w:footnote>
  <w:footnote w:id="213">
    <w:p w14:paraId="4364CC11"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Discrimination Act 1991</w:t>
      </w:r>
      <w:r w:rsidRPr="00410DAB">
        <w:rPr>
          <w:rFonts w:ascii="Public Sans" w:hAnsi="Public Sans" w:cs="Arial"/>
          <w:szCs w:val="18"/>
        </w:rPr>
        <w:t xml:space="preserve"> (ACT) dictionary definition of “sexuality”; </w:t>
      </w:r>
      <w:r w:rsidRPr="00410DAB">
        <w:rPr>
          <w:rFonts w:ascii="Public Sans" w:hAnsi="Public Sans" w:cs="Arial"/>
          <w:i/>
          <w:iCs/>
          <w:szCs w:val="18"/>
        </w:rPr>
        <w:t>Anti-Discrimination Act 1998</w:t>
      </w:r>
      <w:r w:rsidRPr="00410DAB">
        <w:rPr>
          <w:rFonts w:ascii="Public Sans" w:hAnsi="Public Sans" w:cs="Arial"/>
          <w:szCs w:val="18"/>
        </w:rPr>
        <w:t xml:space="preserve"> (Tas) s 3 definition of “sexual orientation”, s 16.</w:t>
      </w:r>
    </w:p>
  </w:footnote>
  <w:footnote w:id="214">
    <w:p w14:paraId="0CF58EC2" w14:textId="77777777" w:rsidR="00181C16" w:rsidRPr="00410DAB" w:rsidRDefault="00181C16" w:rsidP="00181C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Explanatory Statement and Human Rights Compatibility Statement, Justice Legislation Amendment Bill 2020 (ACT) 13–14.</w:t>
      </w:r>
    </w:p>
  </w:footnote>
  <w:footnote w:id="215">
    <w:p w14:paraId="43724F24" w14:textId="77777777" w:rsidR="00181C16" w:rsidRPr="00410DAB" w:rsidRDefault="00181C16" w:rsidP="00181C16">
      <w:pPr>
        <w:pStyle w:val="FootnoteText"/>
        <w:rPr>
          <w:rFonts w:ascii="Public Sans" w:hAnsi="Public Sans" w:cs="Arial"/>
          <w:color w:val="0070C0"/>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Equality Legislation Amendment (LGBTIQA+) Bill 2023 (NSW) First Print, sch 1 [23].</w:t>
      </w:r>
    </w:p>
  </w:footnote>
  <w:footnote w:id="216">
    <w:p w14:paraId="1352E76E" w14:textId="77777777" w:rsidR="00181C16" w:rsidRPr="00410DAB" w:rsidRDefault="00181C16" w:rsidP="00181C16">
      <w:pPr>
        <w:pStyle w:val="FootnoteText"/>
        <w:rPr>
          <w:rFonts w:ascii="Public Sans" w:hAnsi="Public Sans" w:cs="Arial"/>
          <w:color w:val="0070C0"/>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Public Interest Advocacy Centre, Submission No 17 to Legislative Assembly Committee on Community Services, </w:t>
      </w:r>
      <w:r w:rsidRPr="00410DAB">
        <w:rPr>
          <w:rFonts w:ascii="Public Sans" w:hAnsi="Public Sans" w:cs="Arial"/>
          <w:i/>
          <w:iCs/>
          <w:szCs w:val="18"/>
        </w:rPr>
        <w:t>Inquiry into Equality Legislation Amendment (LGBTIQA+) Bill 2023</w:t>
      </w:r>
      <w:r w:rsidRPr="00410DAB">
        <w:rPr>
          <w:rFonts w:ascii="Public Sans" w:hAnsi="Public Sans" w:cs="Arial"/>
          <w:szCs w:val="18"/>
        </w:rPr>
        <w:t xml:space="preserve"> (12 April 2024) 4–5. </w:t>
      </w:r>
    </w:p>
  </w:footnote>
  <w:footnote w:id="217">
    <w:p w14:paraId="6E852825" w14:textId="77777777" w:rsidR="00181C16" w:rsidRPr="00410DAB" w:rsidRDefault="00181C16" w:rsidP="00181C16">
      <w:pPr>
        <w:pStyle w:val="FootnoteText"/>
        <w:rPr>
          <w:rFonts w:ascii="Public Sans" w:hAnsi="Public Sans" w:cs="Arial"/>
          <w:color w:val="0070C0"/>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39, s 4(1) definition of “marital or domestic status”; </w:t>
      </w:r>
      <w:r w:rsidRPr="00410DAB">
        <w:rPr>
          <w:rFonts w:ascii="Public Sans" w:hAnsi="Public Sans" w:cs="Arial"/>
          <w:i/>
          <w:iCs/>
          <w:szCs w:val="18"/>
        </w:rPr>
        <w:t>Interpretation Act 1987</w:t>
      </w:r>
      <w:r w:rsidRPr="00410DAB">
        <w:rPr>
          <w:rFonts w:ascii="Public Sans" w:hAnsi="Public Sans" w:cs="Arial"/>
          <w:szCs w:val="18"/>
        </w:rPr>
        <w:t xml:space="preserve"> (NSW) s 21C.</w:t>
      </w:r>
    </w:p>
  </w:footnote>
  <w:footnote w:id="218">
    <w:p w14:paraId="056214B2"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4 definition of “marital or relationship status”.</w:t>
      </w:r>
    </w:p>
  </w:footnote>
  <w:footnote w:id="219">
    <w:p w14:paraId="1EC0B0E1" w14:textId="77777777" w:rsidR="00181C16" w:rsidRPr="00410DAB" w:rsidRDefault="00181C16" w:rsidP="00181C16">
      <w:pPr>
        <w:pStyle w:val="FootnoteText"/>
        <w:rPr>
          <w:rFonts w:ascii="Public Sans" w:hAnsi="Public Sans" w:cs="Arial"/>
          <w:color w:val="0070C0"/>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4; </w:t>
      </w:r>
      <w:r w:rsidRPr="00410DAB">
        <w:rPr>
          <w:rFonts w:ascii="Public Sans" w:hAnsi="Public Sans" w:cs="Arial"/>
          <w:i/>
          <w:iCs/>
          <w:szCs w:val="18"/>
        </w:rPr>
        <w:t>Anti-Discrimination Act 1992</w:t>
      </w:r>
      <w:r w:rsidRPr="00410DAB">
        <w:rPr>
          <w:rFonts w:ascii="Public Sans" w:hAnsi="Public Sans" w:cs="Arial"/>
          <w:szCs w:val="18"/>
        </w:rPr>
        <w:t xml:space="preserve"> (NT) s 4 definition of “relationship status”.</w:t>
      </w:r>
    </w:p>
  </w:footnote>
  <w:footnote w:id="220">
    <w:p w14:paraId="614E74C3"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1991</w:t>
      </w:r>
      <w:r w:rsidRPr="00410DAB">
        <w:rPr>
          <w:rFonts w:ascii="Public Sans" w:hAnsi="Public Sans" w:cs="Arial"/>
          <w:szCs w:val="18"/>
        </w:rPr>
        <w:t xml:space="preserve"> (Qld) sch 1 definition of “relationship status”; </w:t>
      </w:r>
      <w:r w:rsidRPr="00410DAB">
        <w:rPr>
          <w:rFonts w:ascii="Public Sans" w:hAnsi="Public Sans" w:cs="Arial"/>
          <w:i/>
          <w:iCs/>
          <w:szCs w:val="18"/>
        </w:rPr>
        <w:t xml:space="preserve">Discrimination Act 1991 </w:t>
      </w:r>
      <w:r w:rsidRPr="00410DAB">
        <w:rPr>
          <w:rFonts w:ascii="Public Sans" w:hAnsi="Public Sans" w:cs="Arial"/>
          <w:szCs w:val="18"/>
        </w:rPr>
        <w:t xml:space="preserve">(ACT) s 2, dictionary definition of “relationship status”; </w:t>
      </w:r>
      <w:r w:rsidRPr="00410DAB">
        <w:rPr>
          <w:rFonts w:ascii="Public Sans" w:hAnsi="Public Sans" w:cs="Arial"/>
          <w:i/>
          <w:iCs/>
          <w:szCs w:val="18"/>
        </w:rPr>
        <w:t>Legislation Act 2001</w:t>
      </w:r>
      <w:r w:rsidRPr="00410DAB">
        <w:rPr>
          <w:rFonts w:ascii="Public Sans" w:hAnsi="Public Sans" w:cs="Arial"/>
          <w:szCs w:val="18"/>
        </w:rPr>
        <w:t xml:space="preserve"> (ACT) s 169.</w:t>
      </w:r>
    </w:p>
  </w:footnote>
  <w:footnote w:id="221">
    <w:p w14:paraId="19E2528E"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Discrimination Act 1991</w:t>
      </w:r>
      <w:r w:rsidRPr="00410DAB">
        <w:rPr>
          <w:rFonts w:ascii="Public Sans" w:hAnsi="Public Sans" w:cs="Arial"/>
          <w:color w:val="000000" w:themeColor="text1"/>
          <w:szCs w:val="18"/>
        </w:rPr>
        <w:t xml:space="preserve"> (ACT) s 7(1)(s); </w:t>
      </w:r>
      <w:r w:rsidRPr="00410DAB">
        <w:rPr>
          <w:rFonts w:ascii="Public Sans" w:hAnsi="Public Sans" w:cs="Arial"/>
          <w:i/>
          <w:iCs/>
          <w:color w:val="000000" w:themeColor="text1"/>
          <w:szCs w:val="18"/>
        </w:rPr>
        <w:t>Anti-Discrimination Act 1991</w:t>
      </w:r>
      <w:r w:rsidRPr="00410DAB">
        <w:rPr>
          <w:rFonts w:ascii="Public Sans" w:hAnsi="Public Sans" w:cs="Arial"/>
          <w:color w:val="000000" w:themeColor="text1"/>
          <w:szCs w:val="18"/>
        </w:rPr>
        <w:t xml:space="preserve"> (Qld) s 7(b); </w:t>
      </w:r>
      <w:r w:rsidRPr="00410DAB">
        <w:rPr>
          <w:rFonts w:ascii="Public Sans" w:hAnsi="Public Sans" w:cs="Arial"/>
          <w:i/>
          <w:iCs/>
          <w:color w:val="000000" w:themeColor="text1"/>
          <w:szCs w:val="18"/>
        </w:rPr>
        <w:t xml:space="preserve">Anti-Discrimination Act 1992 </w:t>
      </w:r>
      <w:r w:rsidRPr="00410DAB">
        <w:rPr>
          <w:rFonts w:ascii="Public Sans" w:hAnsi="Public Sans" w:cs="Arial"/>
          <w:color w:val="000000" w:themeColor="text1"/>
          <w:szCs w:val="18"/>
        </w:rPr>
        <w:t>(NT) s 19(1)(e).</w:t>
      </w:r>
    </w:p>
  </w:footnote>
  <w:footnote w:id="222">
    <w:p w14:paraId="1A85D2C7"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1977</w:t>
      </w:r>
      <w:r w:rsidRPr="00410DAB">
        <w:rPr>
          <w:rFonts w:ascii="Public Sans" w:hAnsi="Public Sans" w:cs="Arial"/>
          <w:color w:val="000000" w:themeColor="text1"/>
          <w:szCs w:val="18"/>
        </w:rPr>
        <w:t xml:space="preserve"> (NSW) s 4(1) definition of “race”.</w:t>
      </w:r>
    </w:p>
  </w:footnote>
  <w:footnote w:id="223">
    <w:p w14:paraId="1AF3D0D2"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Coalition Against Caste Discrimination, </w:t>
      </w:r>
      <w:r w:rsidRPr="00410DAB">
        <w:rPr>
          <w:rFonts w:ascii="Public Sans" w:hAnsi="Public Sans" w:cs="Arial"/>
          <w:i/>
          <w:iCs/>
          <w:color w:val="000000" w:themeColor="text1"/>
          <w:szCs w:val="18"/>
        </w:rPr>
        <w:t>Preliminary Submission PAD28</w:t>
      </w:r>
      <w:r w:rsidRPr="00410DAB">
        <w:rPr>
          <w:rFonts w:ascii="Public Sans" w:hAnsi="Public Sans" w:cs="Arial"/>
          <w:color w:val="000000" w:themeColor="text1"/>
          <w:szCs w:val="18"/>
        </w:rPr>
        <w:t xml:space="preserve">, 13. See also Periyar Ambedkar Thoughts Circle Australia, </w:t>
      </w:r>
      <w:r w:rsidRPr="00410DAB">
        <w:rPr>
          <w:rFonts w:ascii="Public Sans" w:hAnsi="Public Sans" w:cs="Arial"/>
          <w:i/>
          <w:iCs/>
          <w:color w:val="000000" w:themeColor="text1"/>
          <w:szCs w:val="18"/>
        </w:rPr>
        <w:t>Submission SV06</w:t>
      </w:r>
      <w:r w:rsidRPr="00410DAB">
        <w:rPr>
          <w:rFonts w:ascii="Public Sans" w:hAnsi="Public Sans" w:cs="Arial"/>
          <w:color w:val="000000" w:themeColor="text1"/>
          <w:szCs w:val="18"/>
        </w:rPr>
        <w:t xml:space="preserve">, 1; Australian Muslim Advocacy Network, </w:t>
      </w:r>
      <w:r w:rsidRPr="00410DAB">
        <w:rPr>
          <w:rFonts w:ascii="Public Sans" w:hAnsi="Public Sans" w:cs="Arial"/>
          <w:i/>
          <w:iCs/>
          <w:color w:val="000000" w:themeColor="text1"/>
          <w:szCs w:val="18"/>
        </w:rPr>
        <w:t>Submission SV19</w:t>
      </w:r>
      <w:r w:rsidRPr="00410DAB">
        <w:rPr>
          <w:rFonts w:ascii="Public Sans" w:hAnsi="Public Sans" w:cs="Arial"/>
          <w:color w:val="000000" w:themeColor="text1"/>
          <w:szCs w:val="18"/>
        </w:rPr>
        <w:t>, 3–4.</w:t>
      </w:r>
    </w:p>
  </w:footnote>
  <w:footnote w:id="224">
    <w:p w14:paraId="169EC86E"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Australian Human Rights Commission, </w:t>
      </w:r>
      <w:r w:rsidRPr="00410DAB">
        <w:rPr>
          <w:rFonts w:ascii="Public Sans" w:hAnsi="Public Sans" w:cs="Arial"/>
          <w:i/>
          <w:iCs/>
          <w:color w:val="000000" w:themeColor="text1"/>
          <w:szCs w:val="18"/>
        </w:rPr>
        <w:t>National Anti-Racism Framework Scoping Report 2022</w:t>
      </w:r>
      <w:r w:rsidRPr="00410DAB">
        <w:rPr>
          <w:rFonts w:ascii="Public Sans" w:hAnsi="Public Sans" w:cs="Arial"/>
          <w:color w:val="000000" w:themeColor="text1"/>
          <w:szCs w:val="18"/>
        </w:rPr>
        <w:t xml:space="preserve"> (2022) 73. See also Periyar Ambedkar Thoughts Circle Australia, </w:t>
      </w:r>
      <w:r w:rsidRPr="00410DAB">
        <w:rPr>
          <w:rFonts w:ascii="Public Sans" w:hAnsi="Public Sans" w:cs="Arial"/>
          <w:i/>
          <w:iCs/>
          <w:color w:val="000000" w:themeColor="text1"/>
          <w:szCs w:val="18"/>
        </w:rPr>
        <w:t>Submission SV06</w:t>
      </w:r>
      <w:r w:rsidRPr="00410DAB">
        <w:rPr>
          <w:rFonts w:ascii="Public Sans" w:hAnsi="Public Sans" w:cs="Arial"/>
          <w:color w:val="000000" w:themeColor="text1"/>
          <w:szCs w:val="18"/>
        </w:rPr>
        <w:t>.</w:t>
      </w:r>
    </w:p>
  </w:footnote>
  <w:footnote w:id="225">
    <w:p w14:paraId="647BEA04"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SUPRA v Minister for Transport Services</w:t>
      </w:r>
      <w:r w:rsidRPr="00410DAB">
        <w:rPr>
          <w:rFonts w:ascii="Public Sans" w:hAnsi="Public Sans" w:cs="Arial"/>
          <w:color w:val="000000" w:themeColor="text1"/>
          <w:szCs w:val="18"/>
        </w:rPr>
        <w:t xml:space="preserve"> [2006] NSWADT 83 [63].</w:t>
      </w:r>
    </w:p>
  </w:footnote>
  <w:footnote w:id="226">
    <w:p w14:paraId="00CD954A"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SUPRA v Minister for Transport Services</w:t>
      </w:r>
      <w:r w:rsidRPr="00410DAB">
        <w:rPr>
          <w:rFonts w:ascii="Public Sans" w:hAnsi="Public Sans" w:cs="Arial"/>
          <w:szCs w:val="18"/>
        </w:rPr>
        <w:t xml:space="preserve"> [2006] NSWADT 83 [62], citing </w:t>
      </w:r>
      <w:r w:rsidRPr="00410DAB">
        <w:rPr>
          <w:rFonts w:ascii="Public Sans" w:hAnsi="Public Sans" w:cs="Arial"/>
          <w:i/>
          <w:iCs/>
          <w:szCs w:val="18"/>
        </w:rPr>
        <w:t>Macabenta v Minister for Immigration and Multicultural Affairs</w:t>
      </w:r>
      <w:r w:rsidRPr="00410DAB">
        <w:rPr>
          <w:rFonts w:ascii="Public Sans" w:hAnsi="Public Sans" w:cs="Arial"/>
          <w:szCs w:val="18"/>
        </w:rPr>
        <w:t xml:space="preserve"> (1998) 90 FCR 202, 211.</w:t>
      </w:r>
    </w:p>
  </w:footnote>
  <w:footnote w:id="227">
    <w:p w14:paraId="69E4F8B2"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Ealing London Borough Council v Race Relations Board</w:t>
      </w:r>
      <w:r w:rsidRPr="00410DAB">
        <w:rPr>
          <w:rFonts w:ascii="Public Sans" w:hAnsi="Public Sans" w:cs="Arial"/>
          <w:color w:val="000000" w:themeColor="text1"/>
          <w:szCs w:val="18"/>
        </w:rPr>
        <w:t xml:space="preserve"> [1972] AC 342, 346;</w:t>
      </w:r>
      <w:r w:rsidRPr="00410DAB">
        <w:rPr>
          <w:rFonts w:ascii="Public Sans" w:hAnsi="Public Sans" w:cs="Arial"/>
          <w:i/>
          <w:iCs/>
          <w:color w:val="000000" w:themeColor="text1"/>
          <w:szCs w:val="18"/>
        </w:rPr>
        <w:t xml:space="preserve"> SUPRA v Minister for Transport Services</w:t>
      </w:r>
      <w:r w:rsidRPr="00410DAB">
        <w:rPr>
          <w:rFonts w:ascii="Public Sans" w:hAnsi="Public Sans" w:cs="Arial"/>
          <w:color w:val="000000" w:themeColor="text1"/>
          <w:szCs w:val="18"/>
        </w:rPr>
        <w:t xml:space="preserve"> [2006] NSWADT 83 [57]; </w:t>
      </w:r>
      <w:r w:rsidRPr="00410DAB">
        <w:rPr>
          <w:rFonts w:ascii="Public Sans" w:hAnsi="Public Sans" w:cs="Arial"/>
          <w:i/>
          <w:iCs/>
          <w:color w:val="000000" w:themeColor="text1"/>
          <w:szCs w:val="18"/>
        </w:rPr>
        <w:t>Macabenta v Minister for Immigration and Multicultural Affairs</w:t>
      </w:r>
      <w:r w:rsidRPr="00410DAB">
        <w:rPr>
          <w:rFonts w:ascii="Public Sans" w:hAnsi="Public Sans" w:cs="Arial"/>
          <w:color w:val="000000" w:themeColor="text1"/>
          <w:szCs w:val="18"/>
        </w:rPr>
        <w:t xml:space="preserve"> (1998) 90 FCR 202, 210.</w:t>
      </w:r>
    </w:p>
  </w:footnote>
  <w:footnote w:id="228">
    <w:p w14:paraId="1025A314"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w:t>
      </w:r>
      <w:r w:rsidRPr="00410DAB">
        <w:rPr>
          <w:rFonts w:ascii="Public Sans" w:hAnsi="Public Sans" w:cs="Arial"/>
          <w:i/>
          <w:iCs/>
          <w:szCs w:val="18"/>
        </w:rPr>
        <w:t>Hamzy v Commissioner of Corrective Services NSW</w:t>
      </w:r>
      <w:r w:rsidRPr="00410DAB">
        <w:rPr>
          <w:rFonts w:ascii="Public Sans" w:hAnsi="Public Sans" w:cs="Arial"/>
          <w:szCs w:val="18"/>
        </w:rPr>
        <w:t xml:space="preserve"> [2022] NSWCA 16, 107 NSWLR 544 [55].</w:t>
      </w:r>
    </w:p>
  </w:footnote>
  <w:footnote w:id="229">
    <w:p w14:paraId="0EEDF01D" w14:textId="77777777" w:rsidR="00181C16" w:rsidRPr="00410DAB" w:rsidRDefault="00181C16" w:rsidP="00181C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Law Reform Commission of Western Australia, </w:t>
      </w:r>
      <w:r w:rsidRPr="00410DAB">
        <w:rPr>
          <w:rFonts w:ascii="Public Sans" w:hAnsi="Public Sans" w:cs="Arial"/>
          <w:i/>
          <w:iCs/>
          <w:szCs w:val="18"/>
        </w:rPr>
        <w:t>Review of the Equal Opportunity Act 1984 (WA)</w:t>
      </w:r>
      <w:r w:rsidRPr="00410DAB">
        <w:rPr>
          <w:rFonts w:ascii="Public Sans" w:hAnsi="Public Sans" w:cs="Arial"/>
          <w:szCs w:val="18"/>
        </w:rPr>
        <w:t>, Project 111, Final Report (2022) 108–109.</w:t>
      </w:r>
    </w:p>
  </w:footnote>
  <w:footnote w:id="230">
    <w:p w14:paraId="592144B4" w14:textId="154A7954"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color w:val="000000" w:themeColor="text1"/>
          <w:szCs w:val="18"/>
        </w:rPr>
        <w:t>Respect at Work and Other Matters Amendment Act 2024</w:t>
      </w:r>
      <w:r w:rsidRPr="00410DAB">
        <w:rPr>
          <w:rFonts w:ascii="Public Sans" w:hAnsi="Public Sans" w:cs="Arial"/>
          <w:color w:val="000000" w:themeColor="text1"/>
          <w:szCs w:val="18"/>
        </w:rPr>
        <w:t xml:space="preserve"> (Qld) s 52, amending </w:t>
      </w:r>
      <w:r w:rsidRPr="00410DAB">
        <w:rPr>
          <w:rFonts w:ascii="Public Sans" w:hAnsi="Public Sans" w:cs="Arial"/>
          <w:i/>
          <w:iCs/>
          <w:color w:val="000000" w:themeColor="text1"/>
          <w:szCs w:val="18"/>
        </w:rPr>
        <w:t xml:space="preserve">Anti-Discrimination Act 1991 </w:t>
      </w:r>
      <w:r w:rsidRPr="00410DAB">
        <w:rPr>
          <w:rFonts w:ascii="Public Sans" w:hAnsi="Public Sans" w:cs="Arial"/>
          <w:color w:val="000000" w:themeColor="text1"/>
          <w:szCs w:val="18"/>
        </w:rPr>
        <w:t>(Qld) sch 1 definition of “race” (</w:t>
      </w:r>
      <w:r w:rsidR="001A57F4">
        <w:rPr>
          <w:rFonts w:ascii="Public Sans" w:hAnsi="Public Sans" w:cs="Arial"/>
          <w:color w:val="000000" w:themeColor="text1"/>
          <w:szCs w:val="18"/>
        </w:rPr>
        <w:t>un</w:t>
      </w:r>
      <w:r w:rsidRPr="00410DAB">
        <w:rPr>
          <w:rFonts w:ascii="Public Sans" w:hAnsi="Public Sans" w:cs="Arial"/>
          <w:color w:val="000000" w:themeColor="text1"/>
          <w:szCs w:val="18"/>
        </w:rPr>
        <w:t>commence</w:t>
      </w:r>
      <w:r w:rsidR="001A57F4">
        <w:rPr>
          <w:rFonts w:ascii="Public Sans" w:hAnsi="Public Sans" w:cs="Arial"/>
          <w:color w:val="000000" w:themeColor="text1"/>
          <w:szCs w:val="18"/>
        </w:rPr>
        <w:t>d</w:t>
      </w:r>
      <w:r w:rsidRPr="00410DAB">
        <w:rPr>
          <w:rFonts w:ascii="Public Sans" w:hAnsi="Public Sans" w:cs="Arial"/>
          <w:color w:val="000000" w:themeColor="text1"/>
          <w:szCs w:val="18"/>
        </w:rPr>
        <w:t xml:space="preserve">). </w:t>
      </w:r>
    </w:p>
  </w:footnote>
  <w:footnote w:id="231">
    <w:p w14:paraId="6C5581C2" w14:textId="191FF686"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1992</w:t>
      </w:r>
      <w:r w:rsidRPr="00410DAB">
        <w:rPr>
          <w:rFonts w:ascii="Public Sans" w:hAnsi="Public Sans" w:cs="Arial"/>
          <w:color w:val="000000" w:themeColor="text1"/>
          <w:szCs w:val="18"/>
        </w:rPr>
        <w:t xml:space="preserve"> (NT) s 4 definition of “race”; </w:t>
      </w:r>
      <w:r w:rsidRPr="00410DAB">
        <w:rPr>
          <w:rFonts w:ascii="Public Sans" w:hAnsi="Public Sans" w:cs="Arial"/>
          <w:i/>
          <w:iCs/>
          <w:color w:val="000000" w:themeColor="text1"/>
          <w:szCs w:val="18"/>
        </w:rPr>
        <w:t>Anti-Discrimination Act 1998</w:t>
      </w:r>
      <w:r w:rsidRPr="00410DAB">
        <w:rPr>
          <w:rFonts w:ascii="Public Sans" w:hAnsi="Public Sans" w:cs="Arial"/>
          <w:color w:val="000000" w:themeColor="text1"/>
          <w:szCs w:val="18"/>
        </w:rPr>
        <w:t xml:space="preserve"> (Tas) s 3 definition of “race”; </w:t>
      </w:r>
      <w:r w:rsidRPr="00410DAB">
        <w:rPr>
          <w:rFonts w:ascii="Public Sans" w:hAnsi="Public Sans" w:cs="Arial"/>
          <w:i/>
          <w:iCs/>
          <w:color w:val="000000" w:themeColor="text1"/>
          <w:szCs w:val="18"/>
        </w:rPr>
        <w:t>Respect at Work and Other Matters Amendment Act 2024</w:t>
      </w:r>
      <w:r w:rsidRPr="00410DAB">
        <w:rPr>
          <w:rFonts w:ascii="Public Sans" w:hAnsi="Public Sans" w:cs="Arial"/>
          <w:color w:val="000000" w:themeColor="text1"/>
          <w:szCs w:val="18"/>
        </w:rPr>
        <w:t xml:space="preserve"> (Qld) s 52, amending </w:t>
      </w:r>
      <w:r w:rsidRPr="00410DAB">
        <w:rPr>
          <w:rFonts w:ascii="Public Sans" w:hAnsi="Public Sans" w:cs="Arial"/>
          <w:i/>
          <w:iCs/>
          <w:color w:val="000000" w:themeColor="text1"/>
          <w:szCs w:val="18"/>
        </w:rPr>
        <w:t xml:space="preserve">Anti-Discrimination Act 1991 </w:t>
      </w:r>
      <w:r w:rsidRPr="00410DAB">
        <w:rPr>
          <w:rFonts w:ascii="Public Sans" w:hAnsi="Public Sans" w:cs="Arial"/>
          <w:color w:val="000000" w:themeColor="text1"/>
          <w:szCs w:val="18"/>
        </w:rPr>
        <w:t xml:space="preserve">(Qld) sch 1 </w:t>
      </w:r>
      <w:r w:rsidR="00A15451" w:rsidRPr="00410DAB">
        <w:rPr>
          <w:rFonts w:ascii="Public Sans" w:hAnsi="Public Sans" w:cs="Arial"/>
          <w:color w:val="000000" w:themeColor="text1"/>
          <w:szCs w:val="18"/>
        </w:rPr>
        <w:t xml:space="preserve">definition of “race” </w:t>
      </w:r>
      <w:r w:rsidRPr="00410DAB">
        <w:rPr>
          <w:rFonts w:ascii="Public Sans" w:hAnsi="Public Sans" w:cs="Arial"/>
          <w:color w:val="000000" w:themeColor="text1"/>
          <w:szCs w:val="18"/>
        </w:rPr>
        <w:t>(</w:t>
      </w:r>
      <w:r w:rsidR="00A15451">
        <w:rPr>
          <w:rFonts w:ascii="Public Sans" w:hAnsi="Public Sans" w:cs="Arial"/>
          <w:color w:val="000000" w:themeColor="text1"/>
          <w:szCs w:val="18"/>
        </w:rPr>
        <w:t>un</w:t>
      </w:r>
      <w:r w:rsidRPr="00410DAB">
        <w:rPr>
          <w:rFonts w:ascii="Public Sans" w:hAnsi="Public Sans" w:cs="Arial"/>
          <w:color w:val="000000" w:themeColor="text1"/>
          <w:szCs w:val="18"/>
        </w:rPr>
        <w:t>commence</w:t>
      </w:r>
      <w:r w:rsidR="00A15451">
        <w:rPr>
          <w:rFonts w:ascii="Public Sans" w:hAnsi="Public Sans" w:cs="Arial"/>
          <w:color w:val="000000" w:themeColor="text1"/>
          <w:szCs w:val="18"/>
        </w:rPr>
        <w:t>d</w:t>
      </w:r>
      <w:r w:rsidRPr="00410DAB">
        <w:rPr>
          <w:rFonts w:ascii="Public Sans" w:hAnsi="Public Sans" w:cs="Arial"/>
          <w:color w:val="000000" w:themeColor="text1"/>
          <w:szCs w:val="18"/>
        </w:rPr>
        <w:t xml:space="preserve">); </w:t>
      </w:r>
      <w:r w:rsidRPr="00410DAB">
        <w:rPr>
          <w:rFonts w:ascii="Public Sans" w:hAnsi="Public Sans" w:cs="Arial"/>
          <w:i/>
          <w:iCs/>
          <w:color w:val="000000" w:themeColor="text1"/>
          <w:szCs w:val="18"/>
        </w:rPr>
        <w:t>Discrimination Act 1991</w:t>
      </w:r>
      <w:r w:rsidRPr="00410DAB">
        <w:rPr>
          <w:rFonts w:ascii="Public Sans" w:hAnsi="Public Sans" w:cs="Arial"/>
          <w:color w:val="000000" w:themeColor="text1"/>
          <w:szCs w:val="18"/>
        </w:rPr>
        <w:t xml:space="preserve"> (ACT) s 7. See also Law Reform Commission of Western Australia, </w:t>
      </w:r>
      <w:r w:rsidRPr="00410DAB">
        <w:rPr>
          <w:rFonts w:ascii="Public Sans" w:hAnsi="Public Sans" w:cs="Arial"/>
          <w:i/>
          <w:iCs/>
          <w:color w:val="000000" w:themeColor="text1"/>
          <w:szCs w:val="18"/>
        </w:rPr>
        <w:t>Review of the Equal Opportunity Act 1984 (WA)</w:t>
      </w:r>
      <w:r w:rsidRPr="00410DAB">
        <w:rPr>
          <w:rFonts w:ascii="Public Sans" w:hAnsi="Public Sans" w:cs="Arial"/>
          <w:color w:val="000000" w:themeColor="text1"/>
          <w:szCs w:val="18"/>
        </w:rPr>
        <w:t>, Project 111, Final Report (2022) 84, rec 31.</w:t>
      </w:r>
    </w:p>
  </w:footnote>
  <w:footnote w:id="232">
    <w:p w14:paraId="275FDD8C"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1992</w:t>
      </w:r>
      <w:r w:rsidRPr="00410DAB">
        <w:rPr>
          <w:rFonts w:ascii="Public Sans" w:hAnsi="Public Sans" w:cs="Arial"/>
          <w:color w:val="000000" w:themeColor="text1"/>
          <w:szCs w:val="18"/>
        </w:rPr>
        <w:t xml:space="preserve"> (NT) s 19(1)(ab).</w:t>
      </w:r>
    </w:p>
  </w:footnote>
  <w:footnote w:id="233">
    <w:p w14:paraId="23C31742"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Discrimination Act 1991</w:t>
      </w:r>
      <w:r w:rsidRPr="00410DAB">
        <w:rPr>
          <w:rFonts w:ascii="Public Sans" w:hAnsi="Public Sans" w:cs="Arial"/>
          <w:color w:val="000000" w:themeColor="text1"/>
          <w:szCs w:val="18"/>
        </w:rPr>
        <w:t xml:space="preserve"> (ACT) s 57P.</w:t>
      </w:r>
    </w:p>
  </w:footnote>
  <w:footnote w:id="234">
    <w:p w14:paraId="0E5FF8D3"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Explanatory Statement, Discrimination Amendment Bill 2016 (ACT) 14.</w:t>
      </w:r>
    </w:p>
  </w:footnote>
  <w:footnote w:id="235">
    <w:p w14:paraId="12D972D3"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 xml:space="preserve">Anti-Discrimination Act 1991 </w:t>
      </w:r>
      <w:r w:rsidRPr="00410DAB">
        <w:rPr>
          <w:rFonts w:ascii="Public Sans" w:hAnsi="Public Sans" w:cs="Arial"/>
          <w:color w:val="000000" w:themeColor="text1"/>
          <w:szCs w:val="18"/>
        </w:rPr>
        <w:t>(Qld) s 106B.</w:t>
      </w:r>
    </w:p>
  </w:footnote>
  <w:footnote w:id="236">
    <w:p w14:paraId="3B16B6A9"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Queensland Human Rights Commission, </w:t>
      </w:r>
      <w:r w:rsidRPr="00410DAB">
        <w:rPr>
          <w:rFonts w:ascii="Public Sans" w:hAnsi="Public Sans" w:cs="Arial"/>
          <w:i/>
          <w:iCs/>
          <w:color w:val="000000" w:themeColor="text1"/>
          <w:szCs w:val="18"/>
        </w:rPr>
        <w:t>Building Belonging: Review of Queensland’s Anti-Discrimination Act 1991</w:t>
      </w:r>
      <w:r w:rsidRPr="00410DAB">
        <w:rPr>
          <w:rFonts w:ascii="Public Sans" w:hAnsi="Public Sans" w:cs="Arial"/>
          <w:color w:val="000000" w:themeColor="text1"/>
          <w:szCs w:val="18"/>
        </w:rPr>
        <w:t xml:space="preserve"> (2022) rec 25.3.</w:t>
      </w:r>
    </w:p>
  </w:footnote>
  <w:footnote w:id="237">
    <w:p w14:paraId="716A3919"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Law Reform Commission of Western Australia,</w:t>
      </w:r>
      <w:r w:rsidRPr="00410DAB">
        <w:rPr>
          <w:rFonts w:ascii="Public Sans" w:hAnsi="Public Sans" w:cs="Arial"/>
          <w:i/>
          <w:iCs/>
          <w:color w:val="000000" w:themeColor="text1"/>
          <w:szCs w:val="18"/>
        </w:rPr>
        <w:t xml:space="preserve"> Review of the Equal Opportunity Act 1984 (WA)</w:t>
      </w:r>
      <w:r w:rsidRPr="00410DAB">
        <w:rPr>
          <w:rFonts w:ascii="Public Sans" w:hAnsi="Public Sans" w:cs="Arial"/>
          <w:color w:val="000000" w:themeColor="text1"/>
          <w:szCs w:val="18"/>
        </w:rPr>
        <w:t>, Project 111, Final Report (2022) 108.</w:t>
      </w:r>
    </w:p>
  </w:footnote>
  <w:footnote w:id="238">
    <w:p w14:paraId="131D6DC5"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Eatock v Bolt</w:t>
      </w:r>
      <w:r w:rsidRPr="00410DAB">
        <w:rPr>
          <w:rFonts w:ascii="Public Sans" w:hAnsi="Public Sans" w:cs="Arial"/>
          <w:color w:val="000000" w:themeColor="text1"/>
          <w:szCs w:val="18"/>
        </w:rPr>
        <w:t xml:space="preserve"> [2011] FCA 1103, 197 FCR 261 [314].</w:t>
      </w:r>
    </w:p>
  </w:footnote>
  <w:footnote w:id="239">
    <w:p w14:paraId="6B08D171"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Equality Australia, </w:t>
      </w:r>
      <w:r w:rsidRPr="00410DAB">
        <w:rPr>
          <w:rFonts w:ascii="Public Sans" w:hAnsi="Public Sans" w:cs="Arial"/>
          <w:i/>
          <w:iCs/>
          <w:color w:val="000000" w:themeColor="text1"/>
          <w:szCs w:val="18"/>
        </w:rPr>
        <w:t>Preliminary Submission PAD07</w:t>
      </w:r>
      <w:r w:rsidRPr="00410DAB">
        <w:rPr>
          <w:rFonts w:ascii="Public Sans" w:hAnsi="Public Sans" w:cs="Arial"/>
          <w:color w:val="000000" w:themeColor="text1"/>
          <w:szCs w:val="18"/>
        </w:rPr>
        <w:t>, 7.</w:t>
      </w:r>
    </w:p>
  </w:footnote>
  <w:footnote w:id="240">
    <w:p w14:paraId="4C57C2B4"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Australian Government Guidelines on the Recognition of Sex and Gender</w:t>
      </w:r>
      <w:r w:rsidRPr="00410DAB">
        <w:rPr>
          <w:rFonts w:ascii="Public Sans" w:hAnsi="Public Sans" w:cs="Arial"/>
          <w:color w:val="000000" w:themeColor="text1"/>
          <w:szCs w:val="18"/>
        </w:rPr>
        <w:t xml:space="preserve"> (2015) [11], [13] (emphasis omitted).</w:t>
      </w:r>
    </w:p>
  </w:footnote>
  <w:footnote w:id="241">
    <w:p w14:paraId="5DD54789"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1998</w:t>
      </w:r>
      <w:r w:rsidRPr="00410DAB">
        <w:rPr>
          <w:rFonts w:ascii="Public Sans" w:hAnsi="Public Sans" w:cs="Arial"/>
          <w:color w:val="000000" w:themeColor="text1"/>
          <w:szCs w:val="18"/>
        </w:rPr>
        <w:t xml:space="preserve"> (Tas) s 16. </w:t>
      </w:r>
    </w:p>
  </w:footnote>
  <w:footnote w:id="242">
    <w:p w14:paraId="5A262BEF"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Queensland Human Rights Commission, </w:t>
      </w:r>
      <w:r w:rsidRPr="00410DAB">
        <w:rPr>
          <w:rFonts w:ascii="Public Sans" w:hAnsi="Public Sans" w:cs="Arial"/>
          <w:i/>
          <w:iCs/>
          <w:color w:val="000000" w:themeColor="text1"/>
          <w:szCs w:val="18"/>
        </w:rPr>
        <w:t>Building Belonging: Review of Queensland’s Anti-Discrimination Act 1991</w:t>
      </w:r>
      <w:r w:rsidRPr="00410DAB">
        <w:rPr>
          <w:rFonts w:ascii="Public Sans" w:hAnsi="Public Sans" w:cs="Arial"/>
          <w:color w:val="000000" w:themeColor="text1"/>
          <w:szCs w:val="18"/>
        </w:rPr>
        <w:t xml:space="preserve"> (2022) 272, 280.</w:t>
      </w:r>
    </w:p>
  </w:footnote>
  <w:footnote w:id="243">
    <w:p w14:paraId="05704F83"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1977</w:t>
      </w:r>
      <w:r w:rsidRPr="00410DAB">
        <w:rPr>
          <w:rFonts w:ascii="Public Sans" w:hAnsi="Public Sans" w:cs="Arial"/>
          <w:color w:val="000000" w:themeColor="text1"/>
          <w:szCs w:val="18"/>
        </w:rPr>
        <w:t xml:space="preserve"> (NSW) s 23.</w:t>
      </w:r>
    </w:p>
  </w:footnote>
  <w:footnote w:id="244">
    <w:p w14:paraId="40A70658"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1977</w:t>
      </w:r>
      <w:r w:rsidRPr="00410DAB">
        <w:rPr>
          <w:rFonts w:ascii="Public Sans" w:hAnsi="Public Sans" w:cs="Arial"/>
          <w:color w:val="000000" w:themeColor="text1"/>
          <w:szCs w:val="18"/>
        </w:rPr>
        <w:t xml:space="preserve"> (NSW) s 24(1).</w:t>
      </w:r>
    </w:p>
  </w:footnote>
  <w:footnote w:id="245">
    <w:p w14:paraId="62AB28D2" w14:textId="77777777" w:rsidR="00181C16" w:rsidRPr="00410DAB" w:rsidRDefault="00181C16" w:rsidP="00181C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szCs w:val="18"/>
        </w:rPr>
        <w:t>Anti-Discrimination Act 1977</w:t>
      </w:r>
      <w:r w:rsidRPr="00410DAB">
        <w:rPr>
          <w:rFonts w:ascii="Public Sans" w:hAnsi="Public Sans" w:cs="Arial"/>
          <w:color w:val="000000" w:themeColor="text1"/>
          <w:szCs w:val="18"/>
        </w:rPr>
        <w:t xml:space="preserve"> (NSW) s 38A(c).</w:t>
      </w:r>
    </w:p>
  </w:footnote>
  <w:footnote w:id="246">
    <w:p w14:paraId="5B49EBBC" w14:textId="77777777" w:rsidR="00181C16" w:rsidRPr="00410DAB" w:rsidRDefault="00181C16" w:rsidP="00181C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NSW Registrar of Births, Deaths and Marriages v Norrie</w:t>
      </w:r>
      <w:r w:rsidRPr="00410DAB">
        <w:rPr>
          <w:rFonts w:ascii="Public Sans" w:hAnsi="Public Sans" w:cs="Arial"/>
          <w:color w:val="000000" w:themeColor="text1"/>
        </w:rPr>
        <w:t xml:space="preserve"> [2014] HCA 11</w:t>
      </w:r>
      <w:r w:rsidRPr="00410DAB">
        <w:rPr>
          <w:rFonts w:ascii="Public Sans" w:hAnsi="Public Sans" w:cs="Arial"/>
        </w:rPr>
        <w:t>,</w:t>
      </w:r>
      <w:r w:rsidRPr="00410DAB">
        <w:rPr>
          <w:rFonts w:ascii="Public Sans" w:hAnsi="Public Sans" w:cs="Arial"/>
          <w:szCs w:val="18"/>
        </w:rPr>
        <w:t xml:space="preserve"> 250 CLR 490</w:t>
      </w:r>
      <w:r w:rsidRPr="00410DAB">
        <w:rPr>
          <w:rFonts w:ascii="Public Sans" w:hAnsi="Public Sans" w:cs="Arial"/>
        </w:rPr>
        <w:t xml:space="preserve"> [</w:t>
      </w:r>
      <w:r w:rsidRPr="00410DAB">
        <w:rPr>
          <w:rFonts w:ascii="Public Sans" w:hAnsi="Public Sans" w:cs="Arial"/>
          <w:color w:val="000000" w:themeColor="text1"/>
        </w:rPr>
        <w:t>18], [46].</w:t>
      </w:r>
    </w:p>
  </w:footnote>
  <w:footnote w:id="247">
    <w:p w14:paraId="3DE57745"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Sex Discrimination Act 1984</w:t>
      </w:r>
      <w:r w:rsidRPr="00410DAB">
        <w:rPr>
          <w:rFonts w:ascii="Public Sans" w:hAnsi="Public Sans" w:cs="Arial"/>
          <w:color w:val="000000" w:themeColor="text1"/>
          <w:szCs w:val="18"/>
        </w:rPr>
        <w:t xml:space="preserve"> (Cth) s 5, s 4 definition of “sexual orientation”. </w:t>
      </w:r>
    </w:p>
  </w:footnote>
  <w:footnote w:id="248">
    <w:p w14:paraId="271D6217"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Law Reform Commission of Western Australia, </w:t>
      </w:r>
      <w:r w:rsidRPr="00410DAB">
        <w:rPr>
          <w:rFonts w:ascii="Public Sans" w:hAnsi="Public Sans" w:cs="Arial"/>
          <w:i/>
          <w:iCs/>
          <w:color w:val="000000" w:themeColor="text1"/>
          <w:szCs w:val="18"/>
        </w:rPr>
        <w:t>Review of the Equal Opportunity Act 1984 (WA</w:t>
      </w:r>
      <w:r w:rsidRPr="00410DAB">
        <w:rPr>
          <w:rFonts w:ascii="Public Sans" w:hAnsi="Public Sans" w:cs="Arial"/>
          <w:color w:val="000000" w:themeColor="text1"/>
          <w:szCs w:val="18"/>
        </w:rPr>
        <w:t xml:space="preserve">), Project 111, Final Report (2022) rec 30; Queensland Human Rights Commission, </w:t>
      </w:r>
      <w:r w:rsidRPr="00410DAB">
        <w:rPr>
          <w:rFonts w:ascii="Public Sans" w:hAnsi="Public Sans" w:cs="Arial"/>
          <w:i/>
          <w:iCs/>
          <w:color w:val="000000" w:themeColor="text1"/>
          <w:szCs w:val="18"/>
        </w:rPr>
        <w:t>Building Belonging: Review of Queensland’s Anti-Discrimination Act 1991</w:t>
      </w:r>
      <w:r w:rsidRPr="00410DAB">
        <w:rPr>
          <w:rFonts w:ascii="Public Sans" w:hAnsi="Public Sans" w:cs="Arial"/>
          <w:color w:val="000000" w:themeColor="text1"/>
          <w:szCs w:val="18"/>
        </w:rPr>
        <w:t xml:space="preserve"> (2022) 280. </w:t>
      </w:r>
    </w:p>
  </w:footnote>
  <w:footnote w:id="249">
    <w:p w14:paraId="2D48E5E5"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1991</w:t>
      </w:r>
      <w:r w:rsidRPr="00410DAB">
        <w:rPr>
          <w:rFonts w:ascii="Public Sans" w:hAnsi="Public Sans" w:cs="Arial"/>
          <w:color w:val="000000" w:themeColor="text1"/>
          <w:szCs w:val="18"/>
        </w:rPr>
        <w:t xml:space="preserve"> (Qld) s 98, s 111. </w:t>
      </w:r>
    </w:p>
  </w:footnote>
  <w:footnote w:id="250">
    <w:p w14:paraId="60A85E5A"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1977</w:t>
      </w:r>
      <w:r w:rsidRPr="00410DAB">
        <w:rPr>
          <w:rFonts w:ascii="Public Sans" w:hAnsi="Public Sans" w:cs="Arial"/>
          <w:color w:val="000000" w:themeColor="text1"/>
          <w:szCs w:val="18"/>
        </w:rPr>
        <w:t xml:space="preserve"> (NSW) s 24(1)–(1A).</w:t>
      </w:r>
      <w:r w:rsidRPr="00410DAB" w:rsidDel="00441C1A">
        <w:rPr>
          <w:rFonts w:ascii="Public Sans" w:hAnsi="Public Sans" w:cs="Arial"/>
          <w:color w:val="000000" w:themeColor="text1"/>
          <w:szCs w:val="18"/>
        </w:rPr>
        <w:t xml:space="preserve"> </w:t>
      </w:r>
    </w:p>
  </w:footnote>
  <w:footnote w:id="251">
    <w:p w14:paraId="36388C92" w14:textId="77777777" w:rsidR="00181C16" w:rsidRPr="00410DAB" w:rsidRDefault="00181C16" w:rsidP="00181C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szCs w:val="18"/>
        </w:rPr>
        <w:t>Anti-Discrimination Act 1977</w:t>
      </w:r>
      <w:r w:rsidRPr="00410DAB">
        <w:rPr>
          <w:rFonts w:ascii="Public Sans" w:hAnsi="Public Sans" w:cs="Arial"/>
          <w:color w:val="000000" w:themeColor="text1"/>
          <w:szCs w:val="18"/>
        </w:rPr>
        <w:t xml:space="preserve"> (NSW) s 35.</w:t>
      </w:r>
    </w:p>
  </w:footnote>
  <w:footnote w:id="252">
    <w:p w14:paraId="327589C4"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NSW Law Reform Commission, </w:t>
      </w:r>
      <w:r w:rsidRPr="00410DAB">
        <w:rPr>
          <w:rFonts w:ascii="Public Sans" w:hAnsi="Public Sans" w:cs="Arial"/>
          <w:i/>
          <w:iCs/>
          <w:color w:val="000000" w:themeColor="text1"/>
          <w:szCs w:val="18"/>
        </w:rPr>
        <w:t>Review of the Anti-Discrimination Act 1977 (NSW)</w:t>
      </w:r>
      <w:r w:rsidRPr="00410DAB">
        <w:rPr>
          <w:rFonts w:ascii="Public Sans" w:hAnsi="Public Sans" w:cs="Arial"/>
          <w:color w:val="000000" w:themeColor="text1"/>
          <w:szCs w:val="18"/>
        </w:rPr>
        <w:t>, Report 92 (1999) rec 31, [5.40], [5.42].</w:t>
      </w:r>
    </w:p>
  </w:footnote>
  <w:footnote w:id="253">
    <w:p w14:paraId="6232FE0A" w14:textId="77777777" w:rsidR="00181C16" w:rsidRPr="00410DAB" w:rsidRDefault="00181C16" w:rsidP="00181C16">
      <w:pPr>
        <w:pStyle w:val="FootnoteText"/>
        <w:rPr>
          <w:rFonts w:ascii="Public Sans" w:hAnsi="Public Sans" w:cs="Arial"/>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szCs w:val="18"/>
        </w:rPr>
        <w:t>Sex Discrimination Act 1984</w:t>
      </w:r>
      <w:r w:rsidRPr="00410DAB">
        <w:rPr>
          <w:rFonts w:ascii="Public Sans" w:hAnsi="Public Sans" w:cs="Arial"/>
          <w:color w:val="000000" w:themeColor="text1"/>
          <w:szCs w:val="18"/>
        </w:rPr>
        <w:t xml:space="preserve"> (Cth) s 7; </w:t>
      </w:r>
      <w:r w:rsidRPr="00410DAB">
        <w:rPr>
          <w:rFonts w:ascii="Public Sans" w:hAnsi="Public Sans" w:cs="Arial"/>
          <w:i/>
          <w:iCs/>
          <w:color w:val="000000" w:themeColor="text1"/>
          <w:szCs w:val="18"/>
        </w:rPr>
        <w:t>Discrimination Act 1991</w:t>
      </w:r>
      <w:r w:rsidRPr="00410DAB">
        <w:rPr>
          <w:rFonts w:ascii="Public Sans" w:hAnsi="Public Sans" w:cs="Arial"/>
          <w:color w:val="000000" w:themeColor="text1"/>
          <w:szCs w:val="18"/>
        </w:rPr>
        <w:t xml:space="preserve"> (ACT) s 7(1)(o); </w:t>
      </w:r>
      <w:r w:rsidRPr="00410DAB">
        <w:rPr>
          <w:rFonts w:ascii="Public Sans" w:hAnsi="Public Sans" w:cs="Arial"/>
          <w:i/>
          <w:iCs/>
          <w:color w:val="000000" w:themeColor="text1"/>
          <w:szCs w:val="18"/>
        </w:rPr>
        <w:t>Equal Opportunity Act 2010</w:t>
      </w:r>
      <w:r w:rsidRPr="00410DAB">
        <w:rPr>
          <w:rFonts w:ascii="Public Sans" w:hAnsi="Public Sans" w:cs="Arial"/>
          <w:color w:val="000000" w:themeColor="text1"/>
          <w:szCs w:val="18"/>
        </w:rPr>
        <w:t xml:space="preserve"> (Vic) s 6(b); </w:t>
      </w:r>
      <w:r w:rsidRPr="00410DAB">
        <w:rPr>
          <w:rFonts w:ascii="Public Sans" w:hAnsi="Public Sans" w:cs="Arial"/>
          <w:i/>
          <w:iCs/>
          <w:color w:val="000000" w:themeColor="text1"/>
          <w:szCs w:val="18"/>
        </w:rPr>
        <w:t>Anti-Discrimination Act 1991</w:t>
      </w:r>
      <w:r w:rsidRPr="00410DAB">
        <w:rPr>
          <w:rFonts w:ascii="Public Sans" w:hAnsi="Public Sans" w:cs="Arial"/>
          <w:color w:val="000000" w:themeColor="text1"/>
          <w:szCs w:val="18"/>
        </w:rPr>
        <w:t xml:space="preserve"> (Qld) s 7(c); </w:t>
      </w:r>
      <w:r w:rsidRPr="00410DAB">
        <w:rPr>
          <w:rFonts w:ascii="Public Sans" w:hAnsi="Public Sans" w:cs="Arial"/>
          <w:i/>
          <w:iCs/>
          <w:color w:val="000000" w:themeColor="text1"/>
          <w:szCs w:val="18"/>
        </w:rPr>
        <w:t>Equal Opportunity Act 1984</w:t>
      </w:r>
      <w:r w:rsidRPr="00410DAB">
        <w:rPr>
          <w:rFonts w:ascii="Public Sans" w:hAnsi="Public Sans" w:cs="Arial"/>
          <w:color w:val="000000" w:themeColor="text1"/>
          <w:szCs w:val="18"/>
        </w:rPr>
        <w:t xml:space="preserve"> (WA) s 10; </w:t>
      </w:r>
      <w:r w:rsidRPr="00410DAB">
        <w:rPr>
          <w:rFonts w:ascii="Public Sans" w:hAnsi="Public Sans" w:cs="Arial"/>
          <w:i/>
          <w:iCs/>
          <w:color w:val="000000" w:themeColor="text1"/>
          <w:szCs w:val="18"/>
        </w:rPr>
        <w:t>Anti-Discrimination Act 1998</w:t>
      </w:r>
      <w:r w:rsidRPr="00410DAB">
        <w:rPr>
          <w:rFonts w:ascii="Public Sans" w:hAnsi="Public Sans" w:cs="Arial"/>
          <w:color w:val="000000" w:themeColor="text1"/>
          <w:szCs w:val="18"/>
        </w:rPr>
        <w:t xml:space="preserve"> (Tas) s 16(g); </w:t>
      </w:r>
      <w:r w:rsidRPr="00410DAB">
        <w:rPr>
          <w:rFonts w:ascii="Public Sans" w:hAnsi="Public Sans" w:cs="Arial"/>
          <w:i/>
          <w:iCs/>
          <w:color w:val="000000" w:themeColor="text1"/>
          <w:szCs w:val="18"/>
        </w:rPr>
        <w:t>Anti-Discrimination Act 1992</w:t>
      </w:r>
      <w:r w:rsidRPr="00410DAB">
        <w:rPr>
          <w:rFonts w:ascii="Public Sans" w:hAnsi="Public Sans" w:cs="Arial"/>
          <w:color w:val="000000" w:themeColor="text1"/>
          <w:szCs w:val="18"/>
        </w:rPr>
        <w:t xml:space="preserve"> (NT) s 19(f</w:t>
      </w:r>
      <w:r w:rsidRPr="00410DAB">
        <w:rPr>
          <w:rFonts w:ascii="Public Sans" w:hAnsi="Public Sans" w:cs="Arial"/>
          <w:szCs w:val="18"/>
        </w:rPr>
        <w:t xml:space="preserve">); </w:t>
      </w:r>
      <w:r w:rsidRPr="00410DAB">
        <w:rPr>
          <w:rFonts w:ascii="Public Sans" w:hAnsi="Public Sans" w:cs="Arial"/>
          <w:i/>
          <w:iCs/>
          <w:szCs w:val="18"/>
        </w:rPr>
        <w:t>Equal Opportunity Act 1984</w:t>
      </w:r>
      <w:r w:rsidRPr="00410DAB">
        <w:rPr>
          <w:rFonts w:ascii="Public Sans" w:hAnsi="Public Sans" w:cs="Arial"/>
          <w:szCs w:val="18"/>
        </w:rPr>
        <w:t xml:space="preserve"> (SA) s 85T(4).</w:t>
      </w:r>
    </w:p>
  </w:footnote>
  <w:footnote w:id="254">
    <w:p w14:paraId="5948BDAB"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Sex Discrimination Act 1984</w:t>
      </w:r>
      <w:r w:rsidRPr="00410DAB">
        <w:rPr>
          <w:rFonts w:ascii="Public Sans" w:hAnsi="Public Sans" w:cs="Arial"/>
          <w:color w:val="000000" w:themeColor="text1"/>
          <w:szCs w:val="18"/>
        </w:rPr>
        <w:t xml:space="preserve"> (Cth) s 7AA;</w:t>
      </w:r>
      <w:r w:rsidRPr="00410DAB">
        <w:rPr>
          <w:rFonts w:ascii="Public Sans" w:hAnsi="Public Sans" w:cs="Arial"/>
          <w:i/>
          <w:iCs/>
          <w:color w:val="000000" w:themeColor="text1"/>
          <w:szCs w:val="18"/>
        </w:rPr>
        <w:t xml:space="preserve"> Discrimination Act 1991</w:t>
      </w:r>
      <w:r w:rsidRPr="00410DAB">
        <w:rPr>
          <w:rFonts w:ascii="Public Sans" w:hAnsi="Public Sans" w:cs="Arial"/>
          <w:color w:val="000000" w:themeColor="text1"/>
          <w:szCs w:val="18"/>
        </w:rPr>
        <w:t xml:space="preserve"> (ACT) s 7(d); </w:t>
      </w:r>
      <w:r w:rsidRPr="00410DAB">
        <w:rPr>
          <w:rFonts w:ascii="Public Sans" w:hAnsi="Public Sans" w:cs="Arial"/>
          <w:i/>
          <w:iCs/>
          <w:color w:val="000000" w:themeColor="text1"/>
          <w:szCs w:val="18"/>
        </w:rPr>
        <w:t>Equal Opportunity Act 2010</w:t>
      </w:r>
      <w:r w:rsidRPr="00410DAB">
        <w:rPr>
          <w:rFonts w:ascii="Public Sans" w:hAnsi="Public Sans" w:cs="Arial"/>
          <w:color w:val="000000" w:themeColor="text1"/>
          <w:szCs w:val="18"/>
        </w:rPr>
        <w:t xml:space="preserve"> (Vic) s 6(l); </w:t>
      </w:r>
      <w:r w:rsidRPr="00410DAB">
        <w:rPr>
          <w:rFonts w:ascii="Public Sans" w:hAnsi="Public Sans" w:cs="Arial"/>
          <w:i/>
          <w:iCs/>
          <w:color w:val="000000" w:themeColor="text1"/>
          <w:szCs w:val="18"/>
        </w:rPr>
        <w:t>Anti-Discrimination Act 1991</w:t>
      </w:r>
      <w:r w:rsidRPr="00410DAB">
        <w:rPr>
          <w:rFonts w:ascii="Public Sans" w:hAnsi="Public Sans" w:cs="Arial"/>
          <w:color w:val="000000" w:themeColor="text1"/>
          <w:szCs w:val="18"/>
        </w:rPr>
        <w:t xml:space="preserve"> (Qld) s 7(e); </w:t>
      </w:r>
      <w:r w:rsidRPr="00410DAB">
        <w:rPr>
          <w:rFonts w:ascii="Public Sans" w:hAnsi="Public Sans" w:cs="Arial"/>
          <w:i/>
          <w:iCs/>
          <w:color w:val="000000" w:themeColor="text1"/>
          <w:szCs w:val="18"/>
        </w:rPr>
        <w:t>Equal Opportunity Act 1984</w:t>
      </w:r>
      <w:r w:rsidRPr="00410DAB">
        <w:rPr>
          <w:rFonts w:ascii="Public Sans" w:hAnsi="Public Sans" w:cs="Arial"/>
          <w:color w:val="000000" w:themeColor="text1"/>
          <w:szCs w:val="18"/>
        </w:rPr>
        <w:t xml:space="preserve"> (WA) s 10A; </w:t>
      </w:r>
      <w:r w:rsidRPr="00410DAB">
        <w:rPr>
          <w:rFonts w:ascii="Public Sans" w:hAnsi="Public Sans" w:cs="Arial"/>
          <w:i/>
          <w:iCs/>
          <w:color w:val="000000" w:themeColor="text1"/>
          <w:szCs w:val="18"/>
        </w:rPr>
        <w:t>Anti-Discrimination Act 1998</w:t>
      </w:r>
      <w:r w:rsidRPr="00410DAB">
        <w:rPr>
          <w:rFonts w:ascii="Public Sans" w:hAnsi="Public Sans" w:cs="Arial"/>
          <w:color w:val="000000" w:themeColor="text1"/>
          <w:szCs w:val="18"/>
        </w:rPr>
        <w:t xml:space="preserve"> (Tas) s 16(h); </w:t>
      </w:r>
      <w:r w:rsidRPr="00410DAB">
        <w:rPr>
          <w:rFonts w:ascii="Public Sans" w:hAnsi="Public Sans" w:cs="Arial"/>
          <w:i/>
          <w:iCs/>
          <w:color w:val="000000" w:themeColor="text1"/>
          <w:szCs w:val="18"/>
        </w:rPr>
        <w:t>Anti-Discrimination Act 1992</w:t>
      </w:r>
      <w:r w:rsidRPr="00410DAB">
        <w:rPr>
          <w:rFonts w:ascii="Public Sans" w:hAnsi="Public Sans" w:cs="Arial"/>
          <w:color w:val="000000" w:themeColor="text1"/>
          <w:szCs w:val="18"/>
        </w:rPr>
        <w:t xml:space="preserve"> (NT) s 19(h); </w:t>
      </w:r>
      <w:r w:rsidRPr="00410DAB">
        <w:rPr>
          <w:rFonts w:ascii="Public Sans" w:hAnsi="Public Sans" w:cs="Arial"/>
          <w:i/>
          <w:iCs/>
          <w:szCs w:val="18"/>
        </w:rPr>
        <w:t>Equal Opportunity Act 1984</w:t>
      </w:r>
      <w:r w:rsidRPr="00410DAB">
        <w:rPr>
          <w:rFonts w:ascii="Public Sans" w:hAnsi="Public Sans" w:cs="Arial"/>
          <w:szCs w:val="18"/>
        </w:rPr>
        <w:t xml:space="preserve"> (SA) s 85T(5), s 87B(1).</w:t>
      </w:r>
    </w:p>
  </w:footnote>
  <w:footnote w:id="255">
    <w:p w14:paraId="56A12282"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1977</w:t>
      </w:r>
      <w:r w:rsidRPr="00410DAB">
        <w:rPr>
          <w:rFonts w:ascii="Public Sans" w:hAnsi="Public Sans" w:cs="Arial"/>
          <w:color w:val="000000" w:themeColor="text1"/>
          <w:szCs w:val="18"/>
        </w:rPr>
        <w:t xml:space="preserve"> (NSW) s 38A.</w:t>
      </w:r>
    </w:p>
  </w:footnote>
  <w:footnote w:id="256">
    <w:p w14:paraId="7EB5C9D0"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1977</w:t>
      </w:r>
      <w:r w:rsidRPr="00410DAB">
        <w:rPr>
          <w:rFonts w:ascii="Public Sans" w:hAnsi="Public Sans" w:cs="Arial"/>
          <w:color w:val="000000" w:themeColor="text1"/>
          <w:szCs w:val="18"/>
        </w:rPr>
        <w:t xml:space="preserve"> (NSW) s 4(1) definition of “recognised transgender person”, s 38A.</w:t>
      </w:r>
    </w:p>
  </w:footnote>
  <w:footnote w:id="257">
    <w:p w14:paraId="1F0C22AE"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Sex Discrimination Act 1984</w:t>
      </w:r>
      <w:r w:rsidRPr="00410DAB">
        <w:rPr>
          <w:rFonts w:ascii="Public Sans" w:hAnsi="Public Sans" w:cs="Arial"/>
          <w:color w:val="000000" w:themeColor="text1"/>
          <w:szCs w:val="18"/>
        </w:rPr>
        <w:t xml:space="preserve"> (Cth) s 5B; </w:t>
      </w:r>
      <w:r w:rsidRPr="00410DAB">
        <w:rPr>
          <w:rFonts w:ascii="Public Sans" w:hAnsi="Public Sans" w:cs="Arial"/>
          <w:i/>
          <w:iCs/>
          <w:color w:val="000000" w:themeColor="text1"/>
          <w:szCs w:val="18"/>
        </w:rPr>
        <w:t>Discrimination Act 1991</w:t>
      </w:r>
      <w:r w:rsidRPr="00410DAB">
        <w:rPr>
          <w:rFonts w:ascii="Public Sans" w:hAnsi="Public Sans" w:cs="Arial"/>
          <w:color w:val="000000" w:themeColor="text1"/>
          <w:szCs w:val="18"/>
        </w:rPr>
        <w:t xml:space="preserve"> (ACT) s 7; </w:t>
      </w:r>
      <w:r w:rsidRPr="00410DAB">
        <w:rPr>
          <w:rFonts w:ascii="Public Sans" w:hAnsi="Public Sans" w:cs="Arial"/>
          <w:i/>
          <w:iCs/>
          <w:color w:val="000000" w:themeColor="text1"/>
          <w:szCs w:val="18"/>
        </w:rPr>
        <w:t>Equal Opportunity Act 2010</w:t>
      </w:r>
      <w:r w:rsidRPr="00410DAB">
        <w:rPr>
          <w:rFonts w:ascii="Public Sans" w:hAnsi="Public Sans" w:cs="Arial"/>
          <w:color w:val="000000" w:themeColor="text1"/>
          <w:szCs w:val="18"/>
        </w:rPr>
        <w:t xml:space="preserve"> (Vic) s 6; </w:t>
      </w:r>
      <w:r w:rsidRPr="00410DAB">
        <w:rPr>
          <w:rFonts w:ascii="Public Sans" w:hAnsi="Public Sans" w:cs="Arial"/>
          <w:i/>
          <w:iCs/>
          <w:color w:val="000000" w:themeColor="text1"/>
          <w:szCs w:val="18"/>
        </w:rPr>
        <w:t>Anti-discrimination Act 1991</w:t>
      </w:r>
      <w:r w:rsidRPr="00410DAB">
        <w:rPr>
          <w:rFonts w:ascii="Public Sans" w:hAnsi="Public Sans" w:cs="Arial"/>
          <w:color w:val="000000" w:themeColor="text1"/>
          <w:szCs w:val="18"/>
        </w:rPr>
        <w:t xml:space="preserve"> (Qld) s 7; </w:t>
      </w:r>
      <w:r w:rsidRPr="00410DAB">
        <w:rPr>
          <w:rFonts w:ascii="Public Sans" w:hAnsi="Public Sans" w:cs="Arial"/>
          <w:i/>
          <w:iCs/>
          <w:color w:val="000000" w:themeColor="text1"/>
          <w:szCs w:val="18"/>
        </w:rPr>
        <w:t>Equal Opportunity Act 1984</w:t>
      </w:r>
      <w:r w:rsidRPr="00410DAB">
        <w:rPr>
          <w:rFonts w:ascii="Public Sans" w:hAnsi="Public Sans" w:cs="Arial"/>
          <w:color w:val="000000" w:themeColor="text1"/>
          <w:szCs w:val="18"/>
        </w:rPr>
        <w:t xml:space="preserve"> (SA) s 29; </w:t>
      </w:r>
      <w:r w:rsidRPr="00410DAB">
        <w:rPr>
          <w:rFonts w:ascii="Public Sans" w:hAnsi="Public Sans" w:cs="Arial"/>
          <w:i/>
          <w:iCs/>
          <w:color w:val="000000" w:themeColor="text1"/>
          <w:szCs w:val="18"/>
        </w:rPr>
        <w:t>Anti-Discrimination Act 1998</w:t>
      </w:r>
      <w:r w:rsidRPr="00410DAB">
        <w:rPr>
          <w:rFonts w:ascii="Public Sans" w:hAnsi="Public Sans" w:cs="Arial"/>
          <w:color w:val="000000" w:themeColor="text1"/>
          <w:szCs w:val="18"/>
        </w:rPr>
        <w:t xml:space="preserve"> (Tas) s 16; </w:t>
      </w:r>
      <w:r w:rsidRPr="00410DAB">
        <w:rPr>
          <w:rFonts w:ascii="Public Sans" w:hAnsi="Public Sans" w:cs="Arial"/>
          <w:i/>
          <w:iCs/>
          <w:color w:val="000000" w:themeColor="text1"/>
          <w:szCs w:val="18"/>
        </w:rPr>
        <w:t>Discrimination Act 1992</w:t>
      </w:r>
      <w:r w:rsidRPr="00410DAB">
        <w:rPr>
          <w:rFonts w:ascii="Public Sans" w:hAnsi="Public Sans" w:cs="Arial"/>
          <w:color w:val="000000" w:themeColor="text1"/>
          <w:szCs w:val="18"/>
        </w:rPr>
        <w:t xml:space="preserve"> (NT) s 19. See also Law Reform Commission of Western Australia, </w:t>
      </w:r>
      <w:r w:rsidRPr="00410DAB">
        <w:rPr>
          <w:rFonts w:ascii="Public Sans" w:hAnsi="Public Sans" w:cs="Arial"/>
          <w:i/>
          <w:iCs/>
          <w:color w:val="000000" w:themeColor="text1"/>
          <w:szCs w:val="18"/>
        </w:rPr>
        <w:t>Review of the Equal Opportunity Act 1984 (WA)</w:t>
      </w:r>
      <w:r w:rsidRPr="00410DAB">
        <w:rPr>
          <w:rFonts w:ascii="Public Sans" w:hAnsi="Public Sans" w:cs="Arial"/>
          <w:color w:val="000000" w:themeColor="text1"/>
          <w:szCs w:val="18"/>
        </w:rPr>
        <w:t>, Project 111, Final Report (2022) rec 28, rec 29.</w:t>
      </w:r>
    </w:p>
  </w:footnote>
  <w:footnote w:id="258">
    <w:p w14:paraId="2F9B3944"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Crimes Act 1900</w:t>
      </w:r>
      <w:r w:rsidRPr="00410DAB">
        <w:rPr>
          <w:rFonts w:ascii="Public Sans" w:hAnsi="Public Sans" w:cs="Arial"/>
          <w:color w:val="000000" w:themeColor="text1"/>
          <w:szCs w:val="18"/>
        </w:rPr>
        <w:t xml:space="preserve"> (NSW) s 93Z; </w:t>
      </w:r>
      <w:r w:rsidRPr="00410DAB">
        <w:rPr>
          <w:rFonts w:ascii="Public Sans" w:hAnsi="Public Sans" w:cs="Arial"/>
          <w:i/>
          <w:iCs/>
          <w:color w:val="000000" w:themeColor="text1"/>
          <w:szCs w:val="18"/>
        </w:rPr>
        <w:t>Sex Discrimination Act 1984</w:t>
      </w:r>
      <w:r w:rsidRPr="00410DAB">
        <w:rPr>
          <w:rFonts w:ascii="Public Sans" w:hAnsi="Public Sans" w:cs="Arial"/>
          <w:color w:val="000000" w:themeColor="text1"/>
          <w:szCs w:val="18"/>
        </w:rPr>
        <w:t xml:space="preserve"> (Cth) s 4. </w:t>
      </w:r>
    </w:p>
  </w:footnote>
  <w:footnote w:id="259">
    <w:p w14:paraId="70F0A730"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Tickle v Giggle for Girls Pty Ltd (No 2</w:t>
      </w:r>
      <w:r w:rsidRPr="00410DAB">
        <w:rPr>
          <w:rFonts w:ascii="Public Sans" w:hAnsi="Public Sans" w:cs="Arial"/>
          <w:color w:val="000000" w:themeColor="text1"/>
          <w:szCs w:val="18"/>
        </w:rPr>
        <w:t>) [2024] FCA 960</w:t>
      </w:r>
      <w:r w:rsidRPr="00410DAB">
        <w:rPr>
          <w:rFonts w:ascii="Public Sans" w:hAnsi="Public Sans" w:cs="Arial"/>
          <w:szCs w:val="18"/>
        </w:rPr>
        <w:t>,</w:t>
      </w:r>
      <w:r w:rsidRPr="00410DAB">
        <w:rPr>
          <w:rFonts w:ascii="Public Sans" w:hAnsi="Public Sans" w:cs="Arial"/>
          <w:color w:val="FF0000"/>
          <w:szCs w:val="18"/>
        </w:rPr>
        <w:t xml:space="preserve"> </w:t>
      </w:r>
      <w:r w:rsidRPr="00410DAB">
        <w:rPr>
          <w:rFonts w:ascii="Public Sans" w:hAnsi="Public Sans" w:cs="Arial"/>
          <w:szCs w:val="18"/>
        </w:rPr>
        <w:t>333 IR 296</w:t>
      </w:r>
      <w:r w:rsidRPr="00410DAB">
        <w:rPr>
          <w:rFonts w:ascii="Public Sans" w:hAnsi="Public Sans" w:cs="Arial"/>
          <w:color w:val="000000" w:themeColor="text1"/>
          <w:szCs w:val="18"/>
        </w:rPr>
        <w:t xml:space="preserve"> [74].</w:t>
      </w:r>
    </w:p>
  </w:footnote>
  <w:footnote w:id="260">
    <w:p w14:paraId="5B4AD333"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1991</w:t>
      </w:r>
      <w:r w:rsidRPr="00410DAB">
        <w:rPr>
          <w:rFonts w:ascii="Public Sans" w:hAnsi="Public Sans" w:cs="Arial"/>
          <w:color w:val="000000" w:themeColor="text1"/>
          <w:szCs w:val="18"/>
        </w:rPr>
        <w:t xml:space="preserve"> (Qld) sch 1 definition of “gender identity”.</w:t>
      </w:r>
    </w:p>
  </w:footnote>
  <w:footnote w:id="261">
    <w:p w14:paraId="6095219E"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The Yogyakarta Principles: Principles on the on the Application of International Human Rights Law in Relation to Sexual Orientation and Gender Identity</w:t>
      </w:r>
      <w:r w:rsidRPr="00410DAB">
        <w:rPr>
          <w:rFonts w:ascii="Public Sans" w:hAnsi="Public Sans" w:cs="Arial"/>
          <w:color w:val="000000" w:themeColor="text1"/>
          <w:szCs w:val="18"/>
        </w:rPr>
        <w:t xml:space="preserve"> (2007) 6. See also Queensland Human Rights Commission, </w:t>
      </w:r>
      <w:r w:rsidRPr="00410DAB">
        <w:rPr>
          <w:rFonts w:ascii="Public Sans" w:hAnsi="Public Sans" w:cs="Arial"/>
          <w:i/>
          <w:iCs/>
          <w:color w:val="000000" w:themeColor="text1"/>
          <w:szCs w:val="18"/>
        </w:rPr>
        <w:t>Building Belonging: Review of Queensland’s Anti-Discrimination Act 1991</w:t>
      </w:r>
      <w:r w:rsidRPr="00410DAB">
        <w:rPr>
          <w:rFonts w:ascii="Public Sans" w:hAnsi="Public Sans" w:cs="Arial"/>
          <w:color w:val="000000" w:themeColor="text1"/>
          <w:szCs w:val="18"/>
        </w:rPr>
        <w:t xml:space="preserve"> (2022) 276–276, rec 22.1.</w:t>
      </w:r>
    </w:p>
  </w:footnote>
  <w:footnote w:id="262">
    <w:p w14:paraId="54379F49"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Equality Australia, </w:t>
      </w:r>
      <w:r w:rsidRPr="00410DAB">
        <w:rPr>
          <w:rFonts w:ascii="Public Sans" w:hAnsi="Public Sans" w:cs="Arial"/>
          <w:i/>
          <w:iCs/>
          <w:color w:val="000000" w:themeColor="text1"/>
          <w:szCs w:val="18"/>
        </w:rPr>
        <w:t>Preliminary Submission PAD07</w:t>
      </w:r>
      <w:r w:rsidRPr="00410DAB">
        <w:rPr>
          <w:rFonts w:ascii="Public Sans" w:hAnsi="Public Sans" w:cs="Arial"/>
          <w:color w:val="000000" w:themeColor="text1"/>
          <w:szCs w:val="18"/>
        </w:rPr>
        <w:t>, 5.</w:t>
      </w:r>
    </w:p>
  </w:footnote>
  <w:footnote w:id="263">
    <w:p w14:paraId="74E69B24"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 xml:space="preserve">Tickle v Giggle for Girls Pty Ltd (No 2) </w:t>
      </w:r>
      <w:r w:rsidRPr="00410DAB">
        <w:rPr>
          <w:rFonts w:ascii="Public Sans" w:hAnsi="Public Sans" w:cs="Arial"/>
          <w:color w:val="000000" w:themeColor="text1"/>
          <w:szCs w:val="18"/>
        </w:rPr>
        <w:t xml:space="preserve">[2024] FCA 960, </w:t>
      </w:r>
      <w:r w:rsidRPr="00410DAB">
        <w:rPr>
          <w:rFonts w:ascii="Public Sans" w:hAnsi="Public Sans" w:cs="Arial"/>
          <w:szCs w:val="18"/>
        </w:rPr>
        <w:t>333 IR 296</w:t>
      </w:r>
      <w:r w:rsidRPr="00410DAB">
        <w:rPr>
          <w:rFonts w:ascii="Public Sans" w:hAnsi="Public Sans" w:cs="Arial"/>
          <w:color w:val="000000" w:themeColor="text1"/>
          <w:szCs w:val="18"/>
        </w:rPr>
        <w:t xml:space="preserve"> [74].</w:t>
      </w:r>
    </w:p>
  </w:footnote>
  <w:footnote w:id="264">
    <w:p w14:paraId="4DDABC4C"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Equality Legislation Amendment (LGBTIQA+) Bill 2023 (NSW) First Print, sch 1 [1], [3]–[5].</w:t>
      </w:r>
    </w:p>
  </w:footnote>
  <w:footnote w:id="265">
    <w:p w14:paraId="5B769224"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NSW, </w:t>
      </w:r>
      <w:r w:rsidRPr="00410DAB">
        <w:rPr>
          <w:rFonts w:ascii="Public Sans" w:hAnsi="Public Sans" w:cs="Arial"/>
          <w:i/>
          <w:iCs/>
          <w:color w:val="000000" w:themeColor="text1"/>
          <w:szCs w:val="18"/>
        </w:rPr>
        <w:t>Parliamentary Debates</w:t>
      </w:r>
      <w:r w:rsidRPr="00410DAB">
        <w:rPr>
          <w:rFonts w:ascii="Public Sans" w:hAnsi="Public Sans" w:cs="Arial"/>
          <w:color w:val="000000" w:themeColor="text1"/>
          <w:szCs w:val="18"/>
        </w:rPr>
        <w:t xml:space="preserve">, Legislative Assembly, Second Reading Speech, 24 August 2023, 9145; Public Interest Advocacy Centre, Submission No 17 to Legislative Assembly Committee on Community Services, </w:t>
      </w:r>
      <w:r w:rsidRPr="00410DAB">
        <w:rPr>
          <w:rFonts w:ascii="Public Sans" w:hAnsi="Public Sans" w:cs="Arial"/>
          <w:i/>
          <w:iCs/>
          <w:color w:val="000000" w:themeColor="text1"/>
          <w:szCs w:val="18"/>
        </w:rPr>
        <w:t>Inquiry into Equality Legislation Amendment (LGBTIQA+) Bill 2023</w:t>
      </w:r>
      <w:r w:rsidRPr="00410DAB">
        <w:rPr>
          <w:rFonts w:ascii="Public Sans" w:hAnsi="Public Sans" w:cs="Arial"/>
          <w:color w:val="000000" w:themeColor="text1"/>
          <w:szCs w:val="18"/>
        </w:rPr>
        <w:t xml:space="preserve"> (12 April 2024) 5.</w:t>
      </w:r>
    </w:p>
  </w:footnote>
  <w:footnote w:id="266">
    <w:p w14:paraId="6ED14372"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1977</w:t>
      </w:r>
      <w:r w:rsidRPr="00410DAB">
        <w:rPr>
          <w:rFonts w:ascii="Public Sans" w:hAnsi="Public Sans" w:cs="Arial"/>
          <w:color w:val="000000" w:themeColor="text1"/>
          <w:szCs w:val="18"/>
        </w:rPr>
        <w:t xml:space="preserve"> (NSW) s 49A(c), s 49A(d), s 49S(2).</w:t>
      </w:r>
    </w:p>
  </w:footnote>
  <w:footnote w:id="267">
    <w:p w14:paraId="6D155A7B"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See, eg, </w:t>
      </w:r>
      <w:r w:rsidRPr="00410DAB">
        <w:rPr>
          <w:rFonts w:ascii="Public Sans" w:hAnsi="Public Sans" w:cs="Arial"/>
          <w:i/>
          <w:iCs/>
          <w:color w:val="000000" w:themeColor="text1"/>
          <w:szCs w:val="18"/>
        </w:rPr>
        <w:t>Discrimination Act 1991</w:t>
      </w:r>
      <w:r w:rsidRPr="00410DAB">
        <w:rPr>
          <w:rFonts w:ascii="Public Sans" w:hAnsi="Public Sans" w:cs="Arial"/>
          <w:color w:val="000000" w:themeColor="text1"/>
          <w:szCs w:val="18"/>
        </w:rPr>
        <w:t xml:space="preserve"> (ACT) s 7(2); </w:t>
      </w:r>
      <w:r w:rsidRPr="00410DAB">
        <w:rPr>
          <w:rFonts w:ascii="Public Sans" w:hAnsi="Public Sans" w:cs="Arial"/>
          <w:i/>
          <w:iCs/>
          <w:color w:val="000000" w:themeColor="text1"/>
          <w:szCs w:val="18"/>
        </w:rPr>
        <w:t xml:space="preserve">Equal Opportunity Act 2010 </w:t>
      </w:r>
      <w:r w:rsidRPr="00410DAB">
        <w:rPr>
          <w:rFonts w:ascii="Public Sans" w:hAnsi="Public Sans" w:cs="Arial"/>
          <w:color w:val="000000" w:themeColor="text1"/>
          <w:szCs w:val="18"/>
        </w:rPr>
        <w:t xml:space="preserve">(Vic) s </w:t>
      </w:r>
      <w:r w:rsidRPr="00410DAB">
        <w:rPr>
          <w:rFonts w:ascii="Public Sans" w:hAnsi="Public Sans"/>
          <w:color w:val="000000" w:themeColor="text1"/>
          <w:szCs w:val="18"/>
        </w:rPr>
        <w:t xml:space="preserve">7(2); </w:t>
      </w:r>
      <w:r w:rsidRPr="00410DAB">
        <w:rPr>
          <w:rFonts w:ascii="Public Sans" w:hAnsi="Public Sans" w:cs="Arial"/>
          <w:i/>
          <w:iCs/>
          <w:color w:val="000000" w:themeColor="text1"/>
          <w:szCs w:val="18"/>
        </w:rPr>
        <w:t>Anti-Discrimination Act 1991</w:t>
      </w:r>
      <w:r w:rsidRPr="00410DAB">
        <w:rPr>
          <w:rFonts w:ascii="Public Sans" w:hAnsi="Public Sans" w:cs="Arial"/>
          <w:color w:val="000000" w:themeColor="text1"/>
          <w:szCs w:val="18"/>
        </w:rPr>
        <w:t xml:space="preserve"> (Qld) s 8; </w:t>
      </w:r>
      <w:r w:rsidRPr="00410DAB">
        <w:rPr>
          <w:rFonts w:ascii="Public Sans" w:hAnsi="Public Sans" w:cs="Arial"/>
          <w:i/>
          <w:iCs/>
          <w:color w:val="000000" w:themeColor="text1"/>
          <w:szCs w:val="18"/>
        </w:rPr>
        <w:t>Anti-Discrimination Act 1992</w:t>
      </w:r>
      <w:r w:rsidRPr="00410DAB">
        <w:rPr>
          <w:rFonts w:ascii="Public Sans" w:hAnsi="Public Sans" w:cs="Arial"/>
          <w:color w:val="000000" w:themeColor="text1"/>
          <w:szCs w:val="18"/>
        </w:rPr>
        <w:t xml:space="preserve"> (NT) s 20(2).</w:t>
      </w:r>
    </w:p>
  </w:footnote>
  <w:footnote w:id="268">
    <w:p w14:paraId="673D1A71"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Law Reform Commission of Western Australia,</w:t>
      </w:r>
      <w:r w:rsidRPr="00410DAB">
        <w:rPr>
          <w:rFonts w:ascii="Public Sans" w:hAnsi="Public Sans" w:cs="Arial"/>
          <w:i/>
          <w:iCs/>
          <w:color w:val="000000" w:themeColor="text1"/>
          <w:szCs w:val="18"/>
        </w:rPr>
        <w:t xml:space="preserve"> Review of the Equal Opportunity Act 1984 (WA)</w:t>
      </w:r>
      <w:r w:rsidRPr="00410DAB">
        <w:rPr>
          <w:rFonts w:ascii="Public Sans" w:hAnsi="Public Sans" w:cs="Arial"/>
          <w:color w:val="000000" w:themeColor="text1"/>
          <w:szCs w:val="18"/>
        </w:rPr>
        <w:t>, Project 111, Final Report (2022) rec 14.</w:t>
      </w:r>
    </w:p>
  </w:footnote>
  <w:footnote w:id="269">
    <w:p w14:paraId="2E2C4156"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1977</w:t>
      </w:r>
      <w:r w:rsidRPr="00410DAB">
        <w:rPr>
          <w:rFonts w:ascii="Public Sans" w:hAnsi="Public Sans" w:cs="Arial"/>
          <w:color w:val="000000" w:themeColor="text1"/>
          <w:szCs w:val="18"/>
        </w:rPr>
        <w:t xml:space="preserve"> (NSW) s 7(1), s 24(1), s 38B(1)(a)–(b), s 49B(1), s 49ZG(1), s 49ZYA(1).</w:t>
      </w:r>
    </w:p>
  </w:footnote>
  <w:footnote w:id="270">
    <w:p w14:paraId="72D34360" w14:textId="77777777" w:rsidR="00181C16" w:rsidRPr="00410DAB" w:rsidRDefault="00181C16" w:rsidP="00181C16">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 xml:space="preserve">Equal Opportunity Act 2010 </w:t>
      </w:r>
      <w:r w:rsidRPr="00410DAB">
        <w:rPr>
          <w:rFonts w:ascii="Public Sans" w:hAnsi="Public Sans" w:cs="Arial"/>
          <w:color w:val="000000" w:themeColor="text1"/>
          <w:szCs w:val="18"/>
        </w:rPr>
        <w:t xml:space="preserve">(Vic) s 6; </w:t>
      </w:r>
      <w:r w:rsidRPr="00410DAB">
        <w:rPr>
          <w:rFonts w:ascii="Public Sans" w:hAnsi="Public Sans" w:cs="Arial"/>
          <w:i/>
          <w:iCs/>
          <w:color w:val="000000" w:themeColor="text1"/>
          <w:szCs w:val="18"/>
        </w:rPr>
        <w:t>Discrimination Act 1991</w:t>
      </w:r>
      <w:r w:rsidRPr="00410DAB">
        <w:rPr>
          <w:rFonts w:ascii="Public Sans" w:hAnsi="Public Sans" w:cs="Arial"/>
          <w:color w:val="000000" w:themeColor="text1"/>
          <w:szCs w:val="18"/>
        </w:rPr>
        <w:t xml:space="preserve"> (ACT) s 7; </w:t>
      </w:r>
      <w:r w:rsidRPr="00410DAB">
        <w:rPr>
          <w:rFonts w:ascii="Public Sans" w:hAnsi="Public Sans" w:cs="Arial"/>
          <w:i/>
          <w:iCs/>
          <w:color w:val="000000" w:themeColor="text1"/>
          <w:szCs w:val="18"/>
        </w:rPr>
        <w:t>Anti-Discrimination Act</w:t>
      </w:r>
      <w:r w:rsidRPr="00410DAB">
        <w:rPr>
          <w:rFonts w:ascii="Public Sans" w:hAnsi="Public Sans" w:cs="Arial"/>
          <w:color w:val="000000" w:themeColor="text1"/>
          <w:szCs w:val="18"/>
        </w:rPr>
        <w:t xml:space="preserve"> </w:t>
      </w:r>
      <w:r w:rsidRPr="00410DAB">
        <w:rPr>
          <w:rFonts w:ascii="Public Sans" w:hAnsi="Public Sans" w:cs="Arial"/>
          <w:i/>
          <w:iCs/>
          <w:color w:val="000000" w:themeColor="text1"/>
          <w:szCs w:val="18"/>
        </w:rPr>
        <w:t>1992</w:t>
      </w:r>
      <w:r w:rsidRPr="00410DAB">
        <w:rPr>
          <w:rFonts w:ascii="Public Sans" w:hAnsi="Public Sans" w:cs="Arial"/>
          <w:color w:val="000000" w:themeColor="text1"/>
          <w:szCs w:val="18"/>
        </w:rPr>
        <w:t xml:space="preserve"> (NT) s 19; </w:t>
      </w:r>
      <w:r w:rsidRPr="00410DAB">
        <w:rPr>
          <w:rFonts w:ascii="Public Sans" w:hAnsi="Public Sans" w:cs="Arial"/>
          <w:i/>
          <w:iCs/>
          <w:color w:val="000000" w:themeColor="text1"/>
          <w:szCs w:val="18"/>
        </w:rPr>
        <w:t>Anti-Discrimination Act 1998</w:t>
      </w:r>
      <w:r w:rsidRPr="00410DAB">
        <w:rPr>
          <w:rFonts w:ascii="Public Sans" w:hAnsi="Public Sans" w:cs="Arial"/>
          <w:color w:val="000000" w:themeColor="text1"/>
          <w:szCs w:val="18"/>
        </w:rPr>
        <w:t xml:space="preserve"> (Tas) s 16; </w:t>
      </w:r>
      <w:r w:rsidRPr="00410DAB">
        <w:rPr>
          <w:rFonts w:ascii="Public Sans" w:hAnsi="Public Sans" w:cs="Arial"/>
          <w:i/>
          <w:iCs/>
          <w:color w:val="000000" w:themeColor="text1"/>
          <w:szCs w:val="18"/>
        </w:rPr>
        <w:t>Anti-Discrimination Act 1991</w:t>
      </w:r>
      <w:r w:rsidRPr="00410DAB">
        <w:rPr>
          <w:rFonts w:ascii="Public Sans" w:hAnsi="Public Sans" w:cs="Arial"/>
          <w:color w:val="000000" w:themeColor="text1"/>
          <w:szCs w:val="18"/>
        </w:rPr>
        <w:t xml:space="preserve"> (Qld) s 7. See also Law Reform Commission of Western Australia, </w:t>
      </w:r>
      <w:r w:rsidRPr="00410DAB">
        <w:rPr>
          <w:rFonts w:ascii="Public Sans" w:hAnsi="Public Sans" w:cs="Arial"/>
          <w:i/>
          <w:iCs/>
          <w:color w:val="000000" w:themeColor="text1"/>
          <w:szCs w:val="18"/>
        </w:rPr>
        <w:t>Review of the Equal Opportunity Act 1984 (WA)</w:t>
      </w:r>
      <w:r w:rsidRPr="00410DAB">
        <w:rPr>
          <w:rFonts w:ascii="Public Sans" w:hAnsi="Public Sans" w:cs="Arial"/>
          <w:color w:val="000000" w:themeColor="text1"/>
          <w:szCs w:val="18"/>
        </w:rPr>
        <w:t>, Project 111, Final Report (2022) rec 50.</w:t>
      </w:r>
    </w:p>
  </w:footnote>
  <w:footnote w:id="271">
    <w:p w14:paraId="0599AA50"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NSW Law Reform Commission, </w:t>
      </w:r>
      <w:r w:rsidRPr="00410DAB">
        <w:rPr>
          <w:rFonts w:ascii="Public Sans" w:hAnsi="Public Sans" w:cs="Arial"/>
          <w:i/>
          <w:iCs/>
          <w:szCs w:val="18"/>
        </w:rPr>
        <w:t>Review of the Anti-Discrimination Act 1977 (NSW)</w:t>
      </w:r>
      <w:r w:rsidRPr="00410DAB">
        <w:rPr>
          <w:rFonts w:ascii="Public Sans" w:hAnsi="Public Sans" w:cs="Arial"/>
          <w:szCs w:val="18"/>
        </w:rPr>
        <w:t>, Report 92 (1999) [5.8].</w:t>
      </w:r>
    </w:p>
  </w:footnote>
  <w:footnote w:id="272">
    <w:p w14:paraId="732772E9"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310.</w:t>
      </w:r>
    </w:p>
  </w:footnote>
  <w:footnote w:id="273">
    <w:p w14:paraId="4B704928"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309–310.</w:t>
      </w:r>
    </w:p>
  </w:footnote>
  <w:footnote w:id="274">
    <w:p w14:paraId="2DB36EC1"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Australian Human Rights Commission Act 1986 </w:t>
      </w:r>
      <w:r w:rsidRPr="00410DAB">
        <w:rPr>
          <w:rFonts w:ascii="Public Sans" w:hAnsi="Public Sans" w:cs="Arial"/>
        </w:rPr>
        <w:t>(Cth) s 11(1)(aa), s 46PO.</w:t>
      </w:r>
    </w:p>
  </w:footnote>
  <w:footnote w:id="275">
    <w:p w14:paraId="57ACB92E"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Australian Human Rights Commission Act 1986</w:t>
      </w:r>
      <w:r w:rsidRPr="00410DAB">
        <w:rPr>
          <w:rFonts w:ascii="Public Sans" w:hAnsi="Public Sans"/>
        </w:rPr>
        <w:t xml:space="preserve"> (Cth) s 3(1) definition of “discrimination”, s 31(b), s 35L, s 11(1)(f); </w:t>
      </w:r>
      <w:r w:rsidRPr="00410DAB">
        <w:rPr>
          <w:rFonts w:ascii="Public Sans" w:hAnsi="Public Sans"/>
          <w:i/>
          <w:iCs/>
        </w:rPr>
        <w:t xml:space="preserve">Australian Human Rights Commission </w:t>
      </w:r>
      <w:r w:rsidRPr="00410DAB">
        <w:rPr>
          <w:rFonts w:ascii="Public Sans" w:hAnsi="Public Sans" w:cs="Arial"/>
          <w:i/>
          <w:iCs/>
        </w:rPr>
        <w:t>Regulations 2019</w:t>
      </w:r>
      <w:r w:rsidRPr="00410DAB">
        <w:rPr>
          <w:rFonts w:ascii="Public Sans" w:hAnsi="Public Sans" w:cs="Arial"/>
        </w:rPr>
        <w:t xml:space="preserve"> (Cth) reg 6</w:t>
      </w:r>
      <w:r w:rsidRPr="00410DAB">
        <w:rPr>
          <w:rFonts w:ascii="Public Sans" w:hAnsi="Public Sans"/>
        </w:rPr>
        <w:t>.</w:t>
      </w:r>
    </w:p>
  </w:footnote>
  <w:footnote w:id="276">
    <w:p w14:paraId="1848F61A"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Australian Human Rights Commission Act 1986</w:t>
      </w:r>
      <w:r w:rsidRPr="00410DAB">
        <w:rPr>
          <w:rFonts w:ascii="Public Sans" w:hAnsi="Public Sans"/>
        </w:rPr>
        <w:t xml:space="preserve"> (Cth) s 3(1) definition of “discrimination”; </w:t>
      </w:r>
      <w:r w:rsidRPr="00410DAB">
        <w:rPr>
          <w:rFonts w:ascii="Public Sans" w:hAnsi="Public Sans"/>
          <w:i/>
          <w:iCs/>
        </w:rPr>
        <w:t xml:space="preserve">Australian Human Rights Commission </w:t>
      </w:r>
      <w:r w:rsidRPr="00410DAB">
        <w:rPr>
          <w:rFonts w:ascii="Public Sans" w:hAnsi="Public Sans" w:cs="Arial"/>
          <w:i/>
          <w:iCs/>
        </w:rPr>
        <w:t>Regulations 2019</w:t>
      </w:r>
      <w:r w:rsidRPr="00410DAB">
        <w:rPr>
          <w:rFonts w:ascii="Public Sans" w:hAnsi="Public Sans" w:cs="Arial"/>
        </w:rPr>
        <w:t xml:space="preserve"> (Cth) reg 6.</w:t>
      </w:r>
    </w:p>
  </w:footnote>
  <w:footnote w:id="277">
    <w:p w14:paraId="4215F57F"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Australian Human Rights Commission Act 1986</w:t>
      </w:r>
      <w:r w:rsidRPr="00410DAB">
        <w:rPr>
          <w:rFonts w:ascii="Public Sans" w:hAnsi="Public Sans"/>
        </w:rPr>
        <w:t xml:space="preserve"> (Cth) </w:t>
      </w:r>
      <w:r w:rsidRPr="00410DAB">
        <w:rPr>
          <w:rFonts w:ascii="Public Sans" w:hAnsi="Public Sans" w:cs="Arial"/>
        </w:rPr>
        <w:t>s 11(1)(f), s 20A,</w:t>
      </w:r>
      <w:r w:rsidRPr="00410DAB">
        <w:rPr>
          <w:rFonts w:ascii="Public Sans" w:hAnsi="Public Sans"/>
        </w:rPr>
        <w:t xml:space="preserve"> s</w:t>
      </w:r>
      <w:r w:rsidRPr="00410DAB">
        <w:rPr>
          <w:rFonts w:ascii="Public Sans" w:hAnsi="Public Sans" w:cs="Arial"/>
        </w:rPr>
        <w:t xml:space="preserve"> 31(b), s 31(e), s 32A.</w:t>
      </w:r>
    </w:p>
  </w:footnote>
  <w:footnote w:id="278">
    <w:p w14:paraId="5F77EFDD"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Fair Work Act 2009</w:t>
      </w:r>
      <w:r w:rsidRPr="00410DAB">
        <w:rPr>
          <w:rFonts w:ascii="Public Sans" w:hAnsi="Public Sans" w:cs="Arial"/>
        </w:rPr>
        <w:t xml:space="preserve"> (Cth) s 351(1).</w:t>
      </w:r>
    </w:p>
  </w:footnote>
  <w:footnote w:id="279">
    <w:p w14:paraId="1739CC40"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Fair Work Act 2009</w:t>
      </w:r>
      <w:r w:rsidRPr="00410DAB">
        <w:rPr>
          <w:rFonts w:ascii="Public Sans" w:hAnsi="Public Sans" w:cs="Arial"/>
        </w:rPr>
        <w:t xml:space="preserve"> (Cth) s 342(1) item 1.</w:t>
      </w:r>
    </w:p>
  </w:footnote>
  <w:footnote w:id="280">
    <w:p w14:paraId="1F5D7A5C"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Fair Work Act 2009</w:t>
      </w:r>
      <w:r w:rsidRPr="00410DAB">
        <w:rPr>
          <w:rFonts w:ascii="Public Sans" w:hAnsi="Public Sans" w:cs="Arial"/>
        </w:rPr>
        <w:t xml:space="preserve"> (Cth) s 351(2), s 723. See </w:t>
      </w:r>
      <w:r w:rsidRPr="00410DAB">
        <w:rPr>
          <w:rFonts w:ascii="Public Sans" w:hAnsi="Public Sans"/>
          <w:i/>
          <w:iCs/>
        </w:rPr>
        <w:t>McIntyre v Special Broadcasting Services Corporation</w:t>
      </w:r>
      <w:r w:rsidRPr="00410DAB">
        <w:rPr>
          <w:rFonts w:ascii="Public Sans" w:hAnsi="Public Sans"/>
        </w:rPr>
        <w:t xml:space="preserve"> [2015] FWC 6768; </w:t>
      </w:r>
      <w:r w:rsidRPr="00410DAB">
        <w:rPr>
          <w:rFonts w:ascii="Public Sans" w:hAnsi="Public Sans"/>
          <w:i/>
          <w:iCs/>
        </w:rPr>
        <w:t>Krcho v University of NSW</w:t>
      </w:r>
      <w:r w:rsidRPr="00410DAB">
        <w:rPr>
          <w:rFonts w:ascii="Public Sans" w:hAnsi="Public Sans"/>
        </w:rPr>
        <w:t xml:space="preserve"> [2021] FWCFB 350.</w:t>
      </w:r>
    </w:p>
  </w:footnote>
  <w:footnote w:id="281">
    <w:p w14:paraId="602BDD5B"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Fair Work Act 2009</w:t>
      </w:r>
      <w:r w:rsidRPr="00410DAB">
        <w:rPr>
          <w:rFonts w:ascii="Public Sans" w:hAnsi="Public Sans" w:cs="Arial"/>
        </w:rPr>
        <w:t xml:space="preserve"> (Cth) s 346.</w:t>
      </w:r>
    </w:p>
  </w:footnote>
  <w:footnote w:id="282">
    <w:p w14:paraId="0DD7E645"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Fair Work Act 2009</w:t>
      </w:r>
      <w:r w:rsidRPr="00410DAB">
        <w:rPr>
          <w:rFonts w:ascii="Public Sans" w:hAnsi="Public Sans" w:cs="Arial"/>
        </w:rPr>
        <w:t xml:space="preserve"> (Cth) s 772(1)(f).</w:t>
      </w:r>
    </w:p>
  </w:footnote>
  <w:footnote w:id="283">
    <w:p w14:paraId="2EA9A25C" w14:textId="77777777" w:rsidR="000B3E50" w:rsidRPr="00410DAB" w:rsidRDefault="000B3E50" w:rsidP="000B3E50">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See, eg, HIV/AIDS Legal Centre, </w:t>
      </w:r>
      <w:r w:rsidRPr="00410DAB">
        <w:rPr>
          <w:rFonts w:ascii="Public Sans" w:hAnsi="Public Sans" w:cs="Arial"/>
          <w:color w:val="000000" w:themeColor="text1"/>
          <w:szCs w:val="18"/>
        </w:rPr>
        <w:t>Positive Life NSW,</w:t>
      </w:r>
      <w:r w:rsidRPr="00410DAB">
        <w:rPr>
          <w:rFonts w:ascii="Public Sans" w:hAnsi="Public Sans" w:cs="Arial"/>
          <w:color w:val="000000" w:themeColor="text1"/>
        </w:rPr>
        <w:t xml:space="preserve"> </w:t>
      </w:r>
      <w:r w:rsidRPr="00410DAB">
        <w:rPr>
          <w:rFonts w:ascii="Public Sans" w:hAnsi="Public Sans" w:cs="Arial"/>
          <w:i/>
          <w:iCs/>
          <w:color w:val="000000" w:themeColor="text1"/>
        </w:rPr>
        <w:t>Preliminary Submission PAD60</w:t>
      </w:r>
      <w:r w:rsidRPr="00410DAB">
        <w:rPr>
          <w:rFonts w:ascii="Public Sans" w:hAnsi="Public Sans" w:cs="Arial"/>
          <w:color w:val="000000" w:themeColor="text1"/>
        </w:rPr>
        <w:t xml:space="preserve">, 10; Inner City Legal Centre, </w:t>
      </w:r>
      <w:r w:rsidRPr="00410DAB">
        <w:rPr>
          <w:rFonts w:ascii="Public Sans" w:hAnsi="Public Sans" w:cs="Arial"/>
          <w:i/>
          <w:iCs/>
          <w:color w:val="000000" w:themeColor="text1"/>
        </w:rPr>
        <w:t>Preliminary Submission PAD40</w:t>
      </w:r>
      <w:r w:rsidRPr="00410DAB">
        <w:rPr>
          <w:rFonts w:ascii="Public Sans" w:hAnsi="Public Sans" w:cs="Arial"/>
          <w:color w:val="000000" w:themeColor="text1"/>
        </w:rPr>
        <w:t xml:space="preserve">, 2; </w:t>
      </w:r>
      <w:r w:rsidRPr="00410DAB">
        <w:rPr>
          <w:rFonts w:ascii="Public Sans" w:hAnsi="Public Sans" w:cs="Arial"/>
          <w:color w:val="000000" w:themeColor="text1"/>
          <w:szCs w:val="18"/>
        </w:rPr>
        <w:t xml:space="preserve">Australian Human Rights Commission, </w:t>
      </w:r>
      <w:r w:rsidRPr="00410DAB">
        <w:rPr>
          <w:rFonts w:ascii="Public Sans" w:hAnsi="Public Sans" w:cs="Arial"/>
          <w:i/>
          <w:iCs/>
          <w:color w:val="000000" w:themeColor="text1"/>
          <w:szCs w:val="18"/>
        </w:rPr>
        <w:t xml:space="preserve">Free and Equal: A Reform Agenda for Federal Discrimination Laws </w:t>
      </w:r>
      <w:r w:rsidRPr="00410DAB">
        <w:rPr>
          <w:rFonts w:ascii="Public Sans" w:hAnsi="Public Sans" w:cs="Arial"/>
          <w:color w:val="000000" w:themeColor="text1"/>
          <w:szCs w:val="18"/>
        </w:rPr>
        <w:t>(2021) 266.</w:t>
      </w:r>
    </w:p>
  </w:footnote>
  <w:footnote w:id="284">
    <w:p w14:paraId="3CC66D3A"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 xml:space="preserve">. </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 xml:space="preserve">Anti-Discrimination Act 1992 </w:t>
      </w:r>
      <w:r w:rsidRPr="00410DAB">
        <w:rPr>
          <w:rFonts w:ascii="Public Sans" w:hAnsi="Public Sans" w:cs="Arial"/>
          <w:color w:val="000000" w:themeColor="text1"/>
          <w:szCs w:val="18"/>
        </w:rPr>
        <w:t xml:space="preserve">(NT) s 19(q); </w:t>
      </w:r>
      <w:r w:rsidRPr="00410DAB">
        <w:rPr>
          <w:rFonts w:ascii="Public Sans" w:hAnsi="Public Sans" w:cs="Arial"/>
          <w:i/>
          <w:iCs/>
          <w:color w:val="000000" w:themeColor="text1"/>
          <w:szCs w:val="18"/>
        </w:rPr>
        <w:t>Discrimination Act 1991</w:t>
      </w:r>
      <w:r w:rsidRPr="00410DAB">
        <w:rPr>
          <w:rFonts w:ascii="Public Sans" w:hAnsi="Public Sans" w:cs="Arial"/>
          <w:color w:val="000000" w:themeColor="text1"/>
          <w:szCs w:val="18"/>
        </w:rPr>
        <w:t xml:space="preserve"> (ACT) s 7(1)(k); </w:t>
      </w:r>
      <w:r w:rsidRPr="00410DAB">
        <w:rPr>
          <w:rFonts w:ascii="Public Sans" w:hAnsi="Public Sans" w:cs="Arial"/>
          <w:i/>
          <w:iCs/>
          <w:color w:val="000000" w:themeColor="text1"/>
          <w:szCs w:val="18"/>
        </w:rPr>
        <w:t xml:space="preserve">Anti-Discrimination Act 1998 </w:t>
      </w:r>
      <w:r w:rsidRPr="00410DAB">
        <w:rPr>
          <w:rFonts w:ascii="Public Sans" w:hAnsi="Public Sans" w:cs="Arial"/>
          <w:color w:val="000000" w:themeColor="text1"/>
          <w:szCs w:val="18"/>
        </w:rPr>
        <w:t xml:space="preserve">(Tas) s 16(q). </w:t>
      </w:r>
    </w:p>
  </w:footnote>
  <w:footnote w:id="285">
    <w:p w14:paraId="235920B1"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Australian Human Rights Commission, </w:t>
      </w:r>
      <w:r w:rsidRPr="00410DAB">
        <w:rPr>
          <w:rFonts w:ascii="Public Sans" w:hAnsi="Public Sans" w:cs="Arial"/>
          <w:i/>
          <w:iCs/>
          <w:color w:val="000000" w:themeColor="text1"/>
          <w:szCs w:val="18"/>
        </w:rPr>
        <w:t>Free and Equal: A Reform Agenda for Federal</w:t>
      </w:r>
      <w:r w:rsidRPr="00410DAB">
        <w:rPr>
          <w:rFonts w:ascii="Public Sans" w:hAnsi="Public Sans" w:cs="Arial"/>
          <w:color w:val="000000" w:themeColor="text1"/>
          <w:szCs w:val="18"/>
        </w:rPr>
        <w:t xml:space="preserve"> </w:t>
      </w:r>
      <w:r w:rsidRPr="00410DAB">
        <w:rPr>
          <w:rFonts w:ascii="Public Sans" w:hAnsi="Public Sans" w:cs="Arial"/>
          <w:i/>
          <w:iCs/>
          <w:color w:val="000000" w:themeColor="text1"/>
          <w:szCs w:val="18"/>
        </w:rPr>
        <w:t>Discrimination Laws</w:t>
      </w:r>
      <w:r w:rsidRPr="00410DAB">
        <w:rPr>
          <w:rFonts w:ascii="Public Sans" w:hAnsi="Public Sans" w:cs="Arial"/>
          <w:color w:val="000000" w:themeColor="text1"/>
          <w:szCs w:val="18"/>
        </w:rPr>
        <w:t xml:space="preserve"> (2021) 262. </w:t>
      </w:r>
    </w:p>
  </w:footnote>
  <w:footnote w:id="286">
    <w:p w14:paraId="2D47D8E1"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Australian Human Rights Commission Act 1986</w:t>
      </w:r>
      <w:r w:rsidRPr="00410DAB">
        <w:rPr>
          <w:rFonts w:ascii="Public Sans" w:hAnsi="Public Sans" w:cs="Arial"/>
        </w:rPr>
        <w:t xml:space="preserve"> (Cth) s 31(b); </w:t>
      </w:r>
      <w:r w:rsidRPr="00410DAB">
        <w:rPr>
          <w:rFonts w:ascii="Public Sans" w:hAnsi="Public Sans" w:cs="Arial"/>
          <w:i/>
          <w:iCs/>
        </w:rPr>
        <w:t>Australian Human Rights Commission Regulations 2019</w:t>
      </w:r>
      <w:r w:rsidRPr="00410DAB">
        <w:rPr>
          <w:rFonts w:ascii="Public Sans" w:hAnsi="Public Sans" w:cs="Arial"/>
        </w:rPr>
        <w:t xml:space="preserve"> (Cth) reg 6(a)(iii).</w:t>
      </w:r>
    </w:p>
  </w:footnote>
  <w:footnote w:id="287">
    <w:p w14:paraId="3857FA84"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NSW Law Reform Commission, </w:t>
      </w:r>
      <w:r w:rsidRPr="00410DAB">
        <w:rPr>
          <w:rFonts w:ascii="Public Sans" w:hAnsi="Public Sans" w:cs="Arial"/>
          <w:i/>
          <w:iCs/>
          <w:color w:val="000000" w:themeColor="text1"/>
          <w:szCs w:val="18"/>
        </w:rPr>
        <w:t>Review of the Anti-Discrimination Act 1977 (NSW)</w:t>
      </w:r>
      <w:r w:rsidRPr="00410DAB">
        <w:rPr>
          <w:rFonts w:ascii="Public Sans" w:hAnsi="Public Sans" w:cs="Arial"/>
          <w:color w:val="000000" w:themeColor="text1"/>
          <w:szCs w:val="18"/>
        </w:rPr>
        <w:t xml:space="preserve"> Report 92 (1999) [5.236]. See also </w:t>
      </w:r>
      <w:r w:rsidRPr="00410DAB">
        <w:rPr>
          <w:rFonts w:ascii="Public Sans" w:hAnsi="Public Sans" w:cs="Arial"/>
          <w:i/>
          <w:iCs/>
          <w:color w:val="000000" w:themeColor="text1"/>
          <w:szCs w:val="18"/>
        </w:rPr>
        <w:t>Criminal Records Act 1991</w:t>
      </w:r>
      <w:r w:rsidRPr="00410DAB">
        <w:rPr>
          <w:rFonts w:ascii="Public Sans" w:hAnsi="Public Sans" w:cs="Arial"/>
          <w:color w:val="000000" w:themeColor="text1"/>
          <w:szCs w:val="18"/>
        </w:rPr>
        <w:t xml:space="preserve"> (NSW) s 8, s 9, s 12.</w:t>
      </w:r>
    </w:p>
  </w:footnote>
  <w:footnote w:id="288">
    <w:p w14:paraId="22327E6F" w14:textId="523A92CB"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szCs w:val="18"/>
        </w:rPr>
        <w:t>Respect at Work and Other Matters Amendment Act 2024</w:t>
      </w:r>
      <w:r w:rsidRPr="00410DAB">
        <w:rPr>
          <w:rFonts w:ascii="Public Sans" w:hAnsi="Public Sans" w:cs="Arial"/>
          <w:szCs w:val="18"/>
        </w:rPr>
        <w:t xml:space="preserve"> (Qld) s 7(3), inserting </w:t>
      </w:r>
      <w:r w:rsidRPr="00410DAB">
        <w:rPr>
          <w:rFonts w:ascii="Public Sans" w:hAnsi="Public Sans" w:cs="Arial"/>
          <w:i/>
          <w:iCs/>
          <w:szCs w:val="18"/>
        </w:rPr>
        <w:t>Anti-Discrimination Act 1991</w:t>
      </w:r>
      <w:r w:rsidRPr="00410DAB">
        <w:rPr>
          <w:rFonts w:ascii="Public Sans" w:hAnsi="Public Sans" w:cs="Arial"/>
          <w:szCs w:val="18"/>
        </w:rPr>
        <w:t xml:space="preserve"> (Qld) s 7(pe) (</w:t>
      </w:r>
      <w:r w:rsidR="00E17348">
        <w:rPr>
          <w:rFonts w:ascii="Public Sans" w:hAnsi="Public Sans" w:cs="Arial"/>
          <w:szCs w:val="18"/>
        </w:rPr>
        <w:t>unc</w:t>
      </w:r>
      <w:r w:rsidRPr="00410DAB">
        <w:rPr>
          <w:rFonts w:ascii="Public Sans" w:hAnsi="Public Sans" w:cs="Arial"/>
          <w:szCs w:val="18"/>
        </w:rPr>
        <w:t>ommence</w:t>
      </w:r>
      <w:r w:rsidR="00E17348">
        <w:rPr>
          <w:rFonts w:ascii="Public Sans" w:hAnsi="Public Sans" w:cs="Arial"/>
          <w:szCs w:val="18"/>
        </w:rPr>
        <w:t>d</w:t>
      </w:r>
      <w:r w:rsidRPr="00410DAB">
        <w:rPr>
          <w:rFonts w:ascii="Public Sans" w:hAnsi="Public Sans" w:cs="Arial"/>
          <w:szCs w:val="18"/>
        </w:rPr>
        <w:t>).</w:t>
      </w:r>
    </w:p>
  </w:footnote>
  <w:footnote w:id="289">
    <w:p w14:paraId="0629320F" w14:textId="59CFDB0F"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D Frecklington, “Media Statement: Crisafulli Government to Consult on Anti-Discrimination Laws” (14 March 2025) </w:t>
      </w:r>
      <w:r w:rsidRPr="00410DAB">
        <w:rPr>
          <w:rFonts w:ascii="Public Sans" w:hAnsi="Public Sans" w:cs="Arial"/>
          <w:i/>
          <w:iCs/>
        </w:rPr>
        <w:t>Queensland Government</w:t>
      </w:r>
      <w:r w:rsidRPr="00410DAB">
        <w:rPr>
          <w:rFonts w:ascii="Public Sans" w:hAnsi="Public Sans" w:cs="Arial"/>
        </w:rPr>
        <w:t xml:space="preserve"> &lt;</w:t>
      </w:r>
      <w:hyperlink r:id="rId16" w:history="1">
        <w:r w:rsidRPr="00410DAB">
          <w:rPr>
            <w:rStyle w:val="Hyperlink"/>
            <w:rFonts w:ascii="Public Sans" w:hAnsi="Public Sans" w:cs="Arial"/>
          </w:rPr>
          <w:t>statements.qld.gov.au/statements/102168</w:t>
        </w:r>
      </w:hyperlink>
      <w:r w:rsidRPr="00410DAB">
        <w:rPr>
          <w:rFonts w:ascii="Public Sans" w:hAnsi="Public Sans" w:cs="Arial"/>
        </w:rPr>
        <w:t>&gt; (retrieved 7 April 2024).</w:t>
      </w:r>
    </w:p>
  </w:footnote>
  <w:footnote w:id="290">
    <w:p w14:paraId="757212BB"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Discrimination Act 1991</w:t>
      </w:r>
      <w:r w:rsidRPr="00410DAB">
        <w:rPr>
          <w:rFonts w:ascii="Public Sans" w:hAnsi="Public Sans" w:cs="Arial"/>
          <w:szCs w:val="18"/>
        </w:rPr>
        <w:t xml:space="preserve"> (ACT) s 2, dictionary definition of “irrelevant criminal record”; </w:t>
      </w:r>
      <w:r w:rsidRPr="00410DAB">
        <w:rPr>
          <w:rFonts w:ascii="Public Sans" w:hAnsi="Public Sans" w:cs="Arial"/>
          <w:i/>
          <w:iCs/>
          <w:szCs w:val="18"/>
        </w:rPr>
        <w:t xml:space="preserve">Spent Convictions Act 2000 </w:t>
      </w:r>
      <w:r w:rsidRPr="00410DAB">
        <w:rPr>
          <w:rFonts w:ascii="Public Sans" w:hAnsi="Public Sans" w:cs="Arial"/>
          <w:szCs w:val="18"/>
        </w:rPr>
        <w:t>(ACT) pt 3A.</w:t>
      </w:r>
    </w:p>
  </w:footnote>
  <w:footnote w:id="291">
    <w:p w14:paraId="3445935C"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Discrimination Act 1991</w:t>
      </w:r>
      <w:r w:rsidRPr="00410DAB">
        <w:rPr>
          <w:rFonts w:ascii="Public Sans" w:hAnsi="Public Sans" w:cs="Arial"/>
          <w:szCs w:val="18"/>
        </w:rPr>
        <w:t xml:space="preserve"> (ACT)</w:t>
      </w:r>
      <w:r w:rsidRPr="00410DAB">
        <w:rPr>
          <w:rFonts w:ascii="Public Sans" w:hAnsi="Public Sans" w:cs="Arial"/>
        </w:rPr>
        <w:t xml:space="preserve"> s 2,</w:t>
      </w:r>
      <w:r w:rsidRPr="00410DAB">
        <w:rPr>
          <w:rFonts w:ascii="Public Sans" w:hAnsi="Public Sans" w:cs="Arial"/>
          <w:szCs w:val="18"/>
        </w:rPr>
        <w:t xml:space="preserve"> dictionary definition of “irrelevant criminal record”; </w:t>
      </w:r>
      <w:r w:rsidRPr="00410DAB">
        <w:rPr>
          <w:rFonts w:ascii="Public Sans" w:hAnsi="Public Sans" w:cs="Arial"/>
          <w:i/>
          <w:iCs/>
          <w:szCs w:val="18"/>
        </w:rPr>
        <w:t>Spent Convictions Act 2000 (</w:t>
      </w:r>
      <w:r w:rsidRPr="00410DAB">
        <w:rPr>
          <w:rFonts w:ascii="Public Sans" w:hAnsi="Public Sans" w:cs="Arial"/>
          <w:szCs w:val="18"/>
        </w:rPr>
        <w:t xml:space="preserve">ACT) pt 3A; </w:t>
      </w:r>
      <w:r w:rsidRPr="00410DAB">
        <w:rPr>
          <w:rFonts w:ascii="Public Sans" w:hAnsi="Public Sans" w:cs="Arial"/>
          <w:i/>
          <w:iCs/>
          <w:szCs w:val="18"/>
        </w:rPr>
        <w:t>Anti-Discrimination Act 1992</w:t>
      </w:r>
      <w:r w:rsidRPr="00410DAB">
        <w:rPr>
          <w:rFonts w:ascii="Public Sans" w:hAnsi="Public Sans" w:cs="Arial"/>
          <w:szCs w:val="18"/>
        </w:rPr>
        <w:t xml:space="preserve"> (NT) s 4(1) definition of “irrelevant criminal record”, s 19(1)(q); </w:t>
      </w:r>
      <w:r w:rsidRPr="00410DAB">
        <w:rPr>
          <w:rFonts w:ascii="Public Sans" w:hAnsi="Public Sans" w:cs="Arial"/>
          <w:i/>
          <w:iCs/>
          <w:szCs w:val="18"/>
        </w:rPr>
        <w:t>Anti-Discrimination Act 1998</w:t>
      </w:r>
      <w:r w:rsidRPr="00410DAB">
        <w:rPr>
          <w:rFonts w:ascii="Public Sans" w:hAnsi="Public Sans" w:cs="Arial"/>
          <w:szCs w:val="18"/>
        </w:rPr>
        <w:t xml:space="preserve"> (Tas) s 3 definition of “irrelevant criminal </w:t>
      </w:r>
      <w:r w:rsidRPr="00410DAB">
        <w:rPr>
          <w:rFonts w:ascii="Public Sans" w:hAnsi="Public Sans" w:cs="Arial"/>
          <w:color w:val="000000" w:themeColor="text1"/>
          <w:szCs w:val="18"/>
        </w:rPr>
        <w:t xml:space="preserve">record”, s 16(q). See also Queensland Human Rights Commission, </w:t>
      </w:r>
      <w:r w:rsidRPr="00410DAB">
        <w:rPr>
          <w:rFonts w:ascii="Public Sans" w:hAnsi="Public Sans" w:cs="Arial"/>
          <w:i/>
          <w:iCs/>
          <w:color w:val="000000" w:themeColor="text1"/>
          <w:szCs w:val="18"/>
        </w:rPr>
        <w:t>Building Belonging: Review of Queensland’s Anti-Discrimination Act 1991</w:t>
      </w:r>
      <w:r w:rsidRPr="00410DAB">
        <w:rPr>
          <w:rFonts w:ascii="Public Sans" w:hAnsi="Public Sans" w:cs="Arial"/>
          <w:color w:val="000000" w:themeColor="text1"/>
          <w:szCs w:val="18"/>
        </w:rPr>
        <w:t xml:space="preserve"> (2022) 316–317, rec 29.1; Law Reform Commission of Western Australia, </w:t>
      </w:r>
      <w:r w:rsidRPr="00410DAB">
        <w:rPr>
          <w:rFonts w:ascii="Public Sans" w:hAnsi="Public Sans" w:cs="Arial"/>
          <w:i/>
          <w:iCs/>
          <w:color w:val="000000" w:themeColor="text1"/>
          <w:szCs w:val="18"/>
        </w:rPr>
        <w:t>Review of the Equal Opportunity Act 1984 (WA)</w:t>
      </w:r>
      <w:r w:rsidRPr="00410DAB">
        <w:rPr>
          <w:rFonts w:ascii="Public Sans" w:hAnsi="Public Sans" w:cs="Arial"/>
          <w:color w:val="000000" w:themeColor="text1"/>
          <w:szCs w:val="18"/>
        </w:rPr>
        <w:t>,</w:t>
      </w:r>
      <w:r w:rsidRPr="00410DAB">
        <w:rPr>
          <w:rFonts w:ascii="Public Sans" w:hAnsi="Public Sans" w:cs="Arial"/>
          <w:i/>
          <w:iCs/>
          <w:color w:val="000000" w:themeColor="text1"/>
          <w:szCs w:val="18"/>
        </w:rPr>
        <w:t xml:space="preserve"> </w:t>
      </w:r>
      <w:r w:rsidRPr="00410DAB">
        <w:rPr>
          <w:rFonts w:ascii="Public Sans" w:hAnsi="Public Sans" w:cs="Arial"/>
          <w:color w:val="000000" w:themeColor="text1"/>
          <w:szCs w:val="18"/>
        </w:rPr>
        <w:t>Project 111, Final Report (2022) 90, rec 36.</w:t>
      </w:r>
    </w:p>
  </w:footnote>
  <w:footnote w:id="292">
    <w:p w14:paraId="6C32FAF9"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Equal Opportunity Act 2010</w:t>
      </w:r>
      <w:r w:rsidRPr="00410DAB">
        <w:rPr>
          <w:rFonts w:ascii="Public Sans" w:hAnsi="Public Sans" w:cs="Arial"/>
          <w:color w:val="000000" w:themeColor="text1"/>
          <w:szCs w:val="18"/>
        </w:rPr>
        <w:t xml:space="preserve"> (Vic) s 6(pa), s 6(pb).</w:t>
      </w:r>
    </w:p>
  </w:footnote>
  <w:footnote w:id="293">
    <w:p w14:paraId="7AD31864" w14:textId="06754203"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Queensland Parliament, Community Safety and Legal Affairs Committee, </w:t>
      </w:r>
      <w:r w:rsidRPr="00410DAB">
        <w:rPr>
          <w:rFonts w:ascii="Public Sans" w:hAnsi="Public Sans" w:cs="Arial"/>
          <w:i/>
          <w:iCs/>
          <w:szCs w:val="18"/>
        </w:rPr>
        <w:t>Respect at Work and Other Matters Amendment Bill 2024</w:t>
      </w:r>
      <w:r w:rsidRPr="00410DAB">
        <w:rPr>
          <w:rFonts w:ascii="Public Sans" w:hAnsi="Public Sans" w:cs="Arial"/>
          <w:szCs w:val="18"/>
        </w:rPr>
        <w:t xml:space="preserve">, Report No 13 (2024) 7, rec 29; </w:t>
      </w:r>
      <w:r w:rsidRPr="00410DAB">
        <w:rPr>
          <w:rFonts w:ascii="Public Sans" w:hAnsi="Public Sans" w:cs="Arial"/>
          <w:i/>
          <w:iCs/>
          <w:szCs w:val="18"/>
        </w:rPr>
        <w:t xml:space="preserve">Respect at Work and Other Matters Amendment Act 2024 </w:t>
      </w:r>
      <w:r w:rsidRPr="00410DAB">
        <w:rPr>
          <w:rFonts w:ascii="Public Sans" w:hAnsi="Public Sans" w:cs="Arial"/>
          <w:szCs w:val="18"/>
        </w:rPr>
        <w:t xml:space="preserve">(Qld) s 7(3), inserting </w:t>
      </w:r>
      <w:r w:rsidRPr="00410DAB">
        <w:rPr>
          <w:rFonts w:ascii="Public Sans" w:hAnsi="Public Sans" w:cs="Arial"/>
          <w:i/>
          <w:iCs/>
          <w:szCs w:val="18"/>
        </w:rPr>
        <w:t>Anti-Discrimination Act 1991</w:t>
      </w:r>
      <w:r w:rsidRPr="00410DAB">
        <w:rPr>
          <w:rFonts w:ascii="Public Sans" w:hAnsi="Public Sans" w:cs="Arial"/>
          <w:szCs w:val="18"/>
        </w:rPr>
        <w:t xml:space="preserve"> (Qld) s 7(pd)–(pe) (</w:t>
      </w:r>
      <w:r w:rsidR="006A3627">
        <w:rPr>
          <w:rFonts w:ascii="Public Sans" w:hAnsi="Public Sans" w:cs="Arial"/>
          <w:szCs w:val="18"/>
        </w:rPr>
        <w:t>un</w:t>
      </w:r>
      <w:r w:rsidRPr="00410DAB">
        <w:rPr>
          <w:rFonts w:ascii="Public Sans" w:hAnsi="Public Sans" w:cs="Arial"/>
          <w:szCs w:val="18"/>
        </w:rPr>
        <w:t>commence</w:t>
      </w:r>
      <w:r w:rsidR="006A3627">
        <w:rPr>
          <w:rFonts w:ascii="Public Sans" w:hAnsi="Public Sans" w:cs="Arial"/>
          <w:szCs w:val="18"/>
        </w:rPr>
        <w:t>d</w:t>
      </w:r>
      <w:r w:rsidRPr="00410DAB">
        <w:rPr>
          <w:rFonts w:ascii="Public Sans" w:hAnsi="Public Sans" w:cs="Arial"/>
          <w:szCs w:val="18"/>
        </w:rPr>
        <w:t>).</w:t>
      </w:r>
    </w:p>
  </w:footnote>
  <w:footnote w:id="294">
    <w:p w14:paraId="0F5BB0F0"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1992</w:t>
      </w:r>
      <w:r w:rsidRPr="00410DAB">
        <w:rPr>
          <w:rFonts w:ascii="Public Sans" w:hAnsi="Public Sans" w:cs="Arial"/>
          <w:szCs w:val="18"/>
        </w:rPr>
        <w:t xml:space="preserve"> (NT) s 37(1).</w:t>
      </w:r>
    </w:p>
  </w:footnote>
  <w:footnote w:id="295">
    <w:p w14:paraId="4B9F9D5C"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1998</w:t>
      </w:r>
      <w:r w:rsidRPr="00410DAB">
        <w:rPr>
          <w:rFonts w:ascii="Public Sans" w:hAnsi="Public Sans" w:cs="Arial"/>
          <w:szCs w:val="18"/>
        </w:rPr>
        <w:t xml:space="preserve"> (Tas) s 50.</w:t>
      </w:r>
    </w:p>
  </w:footnote>
  <w:footnote w:id="296">
    <w:p w14:paraId="4564B8C6"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Law Reform Commission of Western Australia, </w:t>
      </w:r>
      <w:r w:rsidRPr="00410DAB">
        <w:rPr>
          <w:rFonts w:ascii="Public Sans" w:hAnsi="Public Sans" w:cs="Arial"/>
          <w:i/>
          <w:iCs/>
          <w:szCs w:val="18"/>
        </w:rPr>
        <w:t>Review of the Equal Opportunity Act 1984 (WA)</w:t>
      </w:r>
      <w:r w:rsidRPr="00410DAB">
        <w:rPr>
          <w:rFonts w:ascii="Public Sans" w:hAnsi="Public Sans" w:cs="Arial"/>
          <w:szCs w:val="18"/>
        </w:rPr>
        <w:t>,</w:t>
      </w:r>
      <w:r w:rsidRPr="00410DAB">
        <w:rPr>
          <w:rFonts w:ascii="Public Sans" w:hAnsi="Public Sans" w:cs="Arial"/>
          <w:i/>
          <w:iCs/>
          <w:szCs w:val="18"/>
        </w:rPr>
        <w:t xml:space="preserve"> </w:t>
      </w:r>
      <w:r w:rsidRPr="00410DAB">
        <w:rPr>
          <w:rFonts w:ascii="Public Sans" w:hAnsi="Public Sans" w:cs="Arial"/>
          <w:szCs w:val="18"/>
        </w:rPr>
        <w:t>Project 111, Final Report (2022) 19, rec 89.</w:t>
      </w:r>
    </w:p>
  </w:footnote>
  <w:footnote w:id="297">
    <w:p w14:paraId="4411626A"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bCs/>
          <w:szCs w:val="18"/>
        </w:rPr>
        <w:t xml:space="preserve">Law Society of NSW, </w:t>
      </w:r>
      <w:r w:rsidRPr="00410DAB">
        <w:rPr>
          <w:rFonts w:ascii="Public Sans" w:hAnsi="Public Sans" w:cs="Arial"/>
          <w:bCs/>
          <w:i/>
          <w:iCs/>
          <w:szCs w:val="18"/>
        </w:rPr>
        <w:t xml:space="preserve">Preliminary Submission PAD31, </w:t>
      </w:r>
      <w:r w:rsidRPr="00410DAB">
        <w:rPr>
          <w:rFonts w:ascii="Public Sans" w:hAnsi="Public Sans" w:cs="Arial"/>
        </w:rPr>
        <w:t xml:space="preserve">9; Legal Aid NSW, </w:t>
      </w:r>
      <w:r w:rsidRPr="00410DAB">
        <w:rPr>
          <w:rFonts w:ascii="Public Sans" w:hAnsi="Public Sans" w:cs="Arial"/>
          <w:i/>
          <w:iCs/>
        </w:rPr>
        <w:t>Preliminary Submission PAD87</w:t>
      </w:r>
      <w:r w:rsidRPr="00410DAB">
        <w:rPr>
          <w:rFonts w:ascii="Public Sans" w:hAnsi="Public Sans" w:cs="Arial"/>
        </w:rPr>
        <w:t>, 15.</w:t>
      </w:r>
    </w:p>
  </w:footnote>
  <w:footnote w:id="298">
    <w:p w14:paraId="69F95838"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Equal Opportunity Act 1984</w:t>
      </w:r>
      <w:r w:rsidRPr="00410DAB">
        <w:rPr>
          <w:rFonts w:ascii="Public Sans" w:hAnsi="Public Sans" w:cs="Arial"/>
          <w:szCs w:val="18"/>
        </w:rPr>
        <w:t xml:space="preserve"> (SA) s 85T(8); </w:t>
      </w:r>
      <w:r w:rsidRPr="00410DAB">
        <w:rPr>
          <w:rFonts w:ascii="Public Sans" w:hAnsi="Public Sans" w:cs="Arial"/>
          <w:i/>
          <w:iCs/>
          <w:szCs w:val="18"/>
        </w:rPr>
        <w:t>Discrimination Act 1991</w:t>
      </w:r>
      <w:r w:rsidRPr="00410DAB">
        <w:rPr>
          <w:rFonts w:ascii="Public Sans" w:hAnsi="Public Sans" w:cs="Arial"/>
          <w:szCs w:val="18"/>
        </w:rPr>
        <w:t xml:space="preserve"> (ACT) s 7(1)(x); </w:t>
      </w:r>
      <w:r w:rsidRPr="00410DAB">
        <w:rPr>
          <w:rFonts w:ascii="Public Sans" w:hAnsi="Public Sans" w:cs="Arial"/>
          <w:i/>
          <w:iCs/>
          <w:szCs w:val="18"/>
        </w:rPr>
        <w:t>Anti-Discrimination Act 1992</w:t>
      </w:r>
      <w:r w:rsidRPr="00410DAB">
        <w:rPr>
          <w:rFonts w:ascii="Public Sans" w:hAnsi="Public Sans" w:cs="Arial"/>
          <w:szCs w:val="18"/>
        </w:rPr>
        <w:t xml:space="preserve"> (NT) s 19(1)(jb). See also Law Reform Commission of Western Australia, </w:t>
      </w:r>
      <w:r w:rsidRPr="00410DAB">
        <w:rPr>
          <w:rFonts w:ascii="Public Sans" w:hAnsi="Public Sans" w:cs="Arial"/>
          <w:i/>
          <w:iCs/>
          <w:szCs w:val="18"/>
        </w:rPr>
        <w:t>Review of the Equal Opportunity Act 1984 (WA)</w:t>
      </w:r>
      <w:r w:rsidRPr="00410DAB">
        <w:rPr>
          <w:rFonts w:ascii="Public Sans" w:hAnsi="Public Sans" w:cs="Arial"/>
          <w:szCs w:val="18"/>
        </w:rPr>
        <w:t>,</w:t>
      </w:r>
      <w:r w:rsidRPr="00410DAB">
        <w:rPr>
          <w:rFonts w:ascii="Public Sans" w:hAnsi="Public Sans" w:cs="Arial"/>
          <w:i/>
          <w:iCs/>
          <w:szCs w:val="18"/>
        </w:rPr>
        <w:t xml:space="preserve"> </w:t>
      </w:r>
      <w:r w:rsidRPr="00410DAB">
        <w:rPr>
          <w:rFonts w:ascii="Public Sans" w:hAnsi="Public Sans" w:cs="Arial"/>
          <w:szCs w:val="18"/>
        </w:rPr>
        <w:t xml:space="preserve">Project 111, Final Report (2022) rec 55, 124. </w:t>
      </w:r>
    </w:p>
  </w:footnote>
  <w:footnote w:id="299">
    <w:p w14:paraId="1DBA42C6"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Fair Work Act 2009</w:t>
      </w:r>
      <w:r w:rsidRPr="00410DAB">
        <w:rPr>
          <w:rFonts w:ascii="Public Sans" w:hAnsi="Public Sans" w:cs="Arial"/>
          <w:szCs w:val="18"/>
        </w:rPr>
        <w:t xml:space="preserve"> (Cth) s 351(1). </w:t>
      </w:r>
    </w:p>
  </w:footnote>
  <w:footnote w:id="300">
    <w:p w14:paraId="0DA06506" w14:textId="1DEAB384"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szCs w:val="18"/>
        </w:rPr>
        <w:t>Respect at Work and Other Matters Amendment Act 2024</w:t>
      </w:r>
      <w:r w:rsidRPr="00410DAB">
        <w:rPr>
          <w:rFonts w:ascii="Public Sans" w:hAnsi="Public Sans" w:cs="Arial"/>
          <w:szCs w:val="18"/>
        </w:rPr>
        <w:t xml:space="preserve"> (Qld) s 7(3), inserting</w:t>
      </w:r>
      <w:r w:rsidRPr="00410DAB">
        <w:rPr>
          <w:rFonts w:ascii="Public Sans" w:hAnsi="Public Sans" w:cs="Arial"/>
          <w:i/>
          <w:iCs/>
          <w:szCs w:val="18"/>
        </w:rPr>
        <w:t xml:space="preserve"> Anti-Discrimination Act 1991</w:t>
      </w:r>
      <w:r w:rsidRPr="00410DAB">
        <w:rPr>
          <w:rFonts w:ascii="Public Sans" w:hAnsi="Public Sans" w:cs="Arial"/>
          <w:szCs w:val="18"/>
        </w:rPr>
        <w:t xml:space="preserve"> (Qld) s 7(pa) (</w:t>
      </w:r>
      <w:r w:rsidR="00D33B67">
        <w:rPr>
          <w:rFonts w:ascii="Public Sans" w:hAnsi="Public Sans" w:cs="Arial"/>
          <w:szCs w:val="18"/>
        </w:rPr>
        <w:t>un</w:t>
      </w:r>
      <w:r w:rsidRPr="00410DAB">
        <w:rPr>
          <w:rFonts w:ascii="Public Sans" w:hAnsi="Public Sans" w:cs="Arial"/>
          <w:szCs w:val="18"/>
        </w:rPr>
        <w:t>commence</w:t>
      </w:r>
      <w:r w:rsidR="00D33B67">
        <w:rPr>
          <w:rFonts w:ascii="Public Sans" w:hAnsi="Public Sans" w:cs="Arial"/>
          <w:szCs w:val="18"/>
        </w:rPr>
        <w:t>d</w:t>
      </w:r>
      <w:r w:rsidRPr="00410DAB">
        <w:rPr>
          <w:rFonts w:ascii="Public Sans" w:hAnsi="Public Sans" w:cs="Arial"/>
          <w:szCs w:val="18"/>
        </w:rPr>
        <w:t>).</w:t>
      </w:r>
    </w:p>
  </w:footnote>
  <w:footnote w:id="301">
    <w:p w14:paraId="5D504868"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Australian Human Rights Commission</w:t>
      </w:r>
      <w:r w:rsidRPr="00410DAB">
        <w:rPr>
          <w:rFonts w:ascii="Public Sans" w:hAnsi="Public Sans" w:cs="Arial"/>
          <w:i/>
          <w:iCs/>
          <w:szCs w:val="18"/>
        </w:rPr>
        <w:t xml:space="preserve">, Free and Equal: A Reform Agenda for Federal Discrimination Laws </w:t>
      </w:r>
      <w:r w:rsidRPr="00410DAB">
        <w:rPr>
          <w:rFonts w:ascii="Public Sans" w:hAnsi="Public Sans" w:cs="Arial"/>
          <w:szCs w:val="18"/>
        </w:rPr>
        <w:t>(2021) 271.</w:t>
      </w:r>
    </w:p>
  </w:footnote>
  <w:footnote w:id="302">
    <w:p w14:paraId="6BF6A495"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Full Stop Australia, </w:t>
      </w:r>
      <w:r w:rsidRPr="00410DAB">
        <w:rPr>
          <w:rFonts w:ascii="Public Sans" w:hAnsi="Public Sans" w:cs="Arial"/>
          <w:i/>
          <w:iCs/>
          <w:color w:val="000000" w:themeColor="text1"/>
          <w:szCs w:val="18"/>
        </w:rPr>
        <w:t>Preliminary Submission PAD70</w:t>
      </w:r>
      <w:r w:rsidRPr="00410DAB">
        <w:rPr>
          <w:rFonts w:ascii="Public Sans" w:hAnsi="Public Sans" w:cs="Arial"/>
          <w:color w:val="000000" w:themeColor="text1"/>
          <w:szCs w:val="18"/>
        </w:rPr>
        <w:t xml:space="preserve">, 3. </w:t>
      </w:r>
    </w:p>
  </w:footnote>
  <w:footnote w:id="303">
    <w:p w14:paraId="7014CA0F"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w:t>
      </w:r>
      <w:r w:rsidRPr="00410DAB">
        <w:rPr>
          <w:rFonts w:ascii="Public Sans" w:hAnsi="Public Sans" w:cs="Arial"/>
        </w:rPr>
        <w:t xml:space="preserve">HIV/AIDS Legal Centre, </w:t>
      </w:r>
      <w:r w:rsidRPr="00410DAB">
        <w:rPr>
          <w:rFonts w:ascii="Public Sans" w:hAnsi="Public Sans" w:cs="Arial"/>
          <w:szCs w:val="18"/>
        </w:rPr>
        <w:t>Positive Life NSW</w:t>
      </w:r>
      <w:r w:rsidRPr="00410DAB">
        <w:rPr>
          <w:rFonts w:ascii="Public Sans" w:hAnsi="Public Sans" w:cs="Arial"/>
        </w:rPr>
        <w:t xml:space="preserve">, </w:t>
      </w:r>
      <w:r w:rsidRPr="00410DAB">
        <w:rPr>
          <w:rFonts w:ascii="Public Sans" w:hAnsi="Public Sans" w:cs="Arial"/>
          <w:i/>
          <w:iCs/>
        </w:rPr>
        <w:t>Preliminary Submission PAD60</w:t>
      </w:r>
      <w:r w:rsidRPr="00410DAB">
        <w:rPr>
          <w:rFonts w:ascii="Public Sans" w:hAnsi="Public Sans" w:cs="Arial"/>
        </w:rPr>
        <w:t>, 8.</w:t>
      </w:r>
    </w:p>
  </w:footnote>
  <w:footnote w:id="304">
    <w:p w14:paraId="68988ADF"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NSW Users and AIDS Association, </w:t>
      </w:r>
      <w:r w:rsidRPr="00410DAB">
        <w:rPr>
          <w:rFonts w:ascii="Public Sans" w:hAnsi="Public Sans" w:cs="Arial"/>
          <w:i/>
          <w:iCs/>
          <w:szCs w:val="18"/>
        </w:rPr>
        <w:t>Preliminary Submission PAD52</w:t>
      </w:r>
      <w:r w:rsidRPr="00410DAB">
        <w:rPr>
          <w:rFonts w:ascii="Public Sans" w:hAnsi="Public Sans" w:cs="Arial"/>
          <w:szCs w:val="18"/>
        </w:rPr>
        <w:t>, 6.</w:t>
      </w:r>
    </w:p>
  </w:footnote>
  <w:footnote w:id="305">
    <w:p w14:paraId="41EE089C" w14:textId="722DF42C" w:rsidR="00D9392B" w:rsidRPr="00D9392B" w:rsidRDefault="00D9392B">
      <w:pPr>
        <w:pStyle w:val="FootnoteText"/>
        <w:rPr>
          <w:rFonts w:ascii="Arial" w:hAnsi="Arial" w:cs="Arial"/>
        </w:rPr>
      </w:pPr>
      <w:r w:rsidRPr="00D9392B">
        <w:rPr>
          <w:rStyle w:val="FootnoteReference"/>
          <w:rFonts w:ascii="Arial" w:hAnsi="Arial" w:cs="Arial"/>
          <w:vertAlign w:val="baseline"/>
        </w:rPr>
        <w:footnoteRef/>
      </w:r>
      <w:r>
        <w:rPr>
          <w:rFonts w:ascii="Arial" w:hAnsi="Arial" w:cs="Arial"/>
        </w:rPr>
        <w:t>.</w:t>
      </w:r>
      <w:r>
        <w:rPr>
          <w:rFonts w:ascii="Arial" w:hAnsi="Arial" w:cs="Arial"/>
        </w:rPr>
        <w:tab/>
      </w:r>
      <w:r w:rsidRPr="00D9392B">
        <w:rPr>
          <w:rFonts w:ascii="Public Sans" w:hAnsi="Public Sans" w:cs="Arial"/>
          <w:i/>
          <w:iCs/>
          <w:color w:val="000000" w:themeColor="text1"/>
          <w:szCs w:val="18"/>
        </w:rPr>
        <w:t>Anti-Discrimination Act 1977</w:t>
      </w:r>
      <w:r w:rsidRPr="00D9392B">
        <w:rPr>
          <w:rFonts w:ascii="Public Sans" w:hAnsi="Public Sans" w:cs="Arial"/>
          <w:color w:val="000000" w:themeColor="text1"/>
          <w:szCs w:val="18"/>
        </w:rPr>
        <w:t xml:space="preserve"> (NSW) s 4(1) definition of “disability”; </w:t>
      </w:r>
      <w:r w:rsidRPr="00D9392B">
        <w:rPr>
          <w:rFonts w:ascii="Public Sans" w:hAnsi="Public Sans" w:cs="Arial"/>
          <w:i/>
          <w:iCs/>
          <w:color w:val="000000" w:themeColor="text1"/>
          <w:szCs w:val="18"/>
        </w:rPr>
        <w:t xml:space="preserve">Marsden v HREOC </w:t>
      </w:r>
      <w:r w:rsidRPr="00D9392B">
        <w:rPr>
          <w:rFonts w:ascii="Public Sans" w:hAnsi="Public Sans" w:cs="Arial"/>
          <w:color w:val="000000" w:themeColor="text1"/>
          <w:szCs w:val="18"/>
        </w:rPr>
        <w:t xml:space="preserve">[2000] FCA 1619 [54]; NSW Law Reform Commission, </w:t>
      </w:r>
      <w:r w:rsidRPr="00D9392B">
        <w:rPr>
          <w:rFonts w:ascii="Public Sans" w:hAnsi="Public Sans" w:cs="Arial"/>
          <w:i/>
          <w:iCs/>
          <w:color w:val="000000" w:themeColor="text1"/>
          <w:szCs w:val="18"/>
        </w:rPr>
        <w:t>Review of the Anti-Discrimination Act 1977 (NSW)</w:t>
      </w:r>
      <w:r w:rsidRPr="00D9392B">
        <w:rPr>
          <w:rFonts w:ascii="Public Sans" w:hAnsi="Public Sans" w:cs="Arial"/>
          <w:color w:val="000000" w:themeColor="text1"/>
          <w:szCs w:val="18"/>
        </w:rPr>
        <w:t xml:space="preserve">, Report 92 (1999) [5.92]. But see </w:t>
      </w:r>
      <w:r w:rsidRPr="00D9392B">
        <w:rPr>
          <w:rFonts w:ascii="Public Sans" w:hAnsi="Public Sans" w:cs="Arial"/>
          <w:i/>
          <w:iCs/>
          <w:color w:val="000000" w:themeColor="text1"/>
          <w:szCs w:val="18"/>
        </w:rPr>
        <w:t>Anti-Discrimination Act 1977</w:t>
      </w:r>
      <w:r w:rsidRPr="00D9392B">
        <w:rPr>
          <w:rFonts w:ascii="Public Sans" w:hAnsi="Public Sans" w:cs="Arial"/>
          <w:color w:val="000000" w:themeColor="text1"/>
          <w:szCs w:val="18"/>
        </w:rPr>
        <w:t xml:space="preserve"> (NSW) s 49PA.</w:t>
      </w:r>
    </w:p>
  </w:footnote>
  <w:footnote w:id="306">
    <w:p w14:paraId="33BF081D"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Queensland Human Rights Commission, </w:t>
      </w:r>
      <w:r w:rsidRPr="00410DAB">
        <w:rPr>
          <w:rFonts w:ascii="Public Sans" w:hAnsi="Public Sans" w:cs="Arial"/>
          <w:i/>
          <w:iCs/>
          <w:color w:val="000000" w:themeColor="text1"/>
          <w:szCs w:val="18"/>
        </w:rPr>
        <w:t>Building Belonging: Review of Queensland’s Anti-Discrimination Act 1991</w:t>
      </w:r>
      <w:r w:rsidRPr="00410DAB">
        <w:rPr>
          <w:rFonts w:ascii="Public Sans" w:hAnsi="Public Sans" w:cs="Arial"/>
          <w:color w:val="000000" w:themeColor="text1"/>
          <w:szCs w:val="18"/>
        </w:rPr>
        <w:t xml:space="preserve"> (2022) 271.</w:t>
      </w:r>
    </w:p>
  </w:footnote>
  <w:footnote w:id="307">
    <w:p w14:paraId="42A70911"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1977</w:t>
      </w:r>
      <w:r w:rsidRPr="00410DAB">
        <w:rPr>
          <w:rFonts w:ascii="Public Sans" w:hAnsi="Public Sans" w:cs="Arial"/>
          <w:color w:val="000000" w:themeColor="text1"/>
          <w:szCs w:val="18"/>
        </w:rPr>
        <w:t xml:space="preserve"> (NSW) s 4(1) definition of disability, s 49A.</w:t>
      </w:r>
    </w:p>
  </w:footnote>
  <w:footnote w:id="308">
    <w:p w14:paraId="1D13A46C" w14:textId="77777777" w:rsidR="000B3E50" w:rsidRPr="00410DAB" w:rsidRDefault="000B3E50" w:rsidP="000B3E50">
      <w:pPr>
        <w:pStyle w:val="FootnoteText"/>
        <w:rPr>
          <w:rFonts w:ascii="Public Sans" w:hAnsi="Public Sans" w:cs="Arial"/>
          <w:b/>
          <w:bCs/>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Style w:val="normaltextrun"/>
          <w:rFonts w:ascii="Public Sans" w:hAnsi="Public Sans"/>
          <w:i/>
          <w:iCs/>
          <w:color w:val="000000" w:themeColor="text1"/>
          <w:szCs w:val="18"/>
          <w:shd w:val="clear" w:color="auto" w:fill="FFFFFF"/>
        </w:rPr>
        <w:t xml:space="preserve">Anti-Discrimination Act 1998 </w:t>
      </w:r>
      <w:r w:rsidRPr="00410DAB">
        <w:rPr>
          <w:rStyle w:val="normaltextrun"/>
          <w:rFonts w:ascii="Public Sans" w:hAnsi="Public Sans"/>
          <w:color w:val="000000" w:themeColor="text1"/>
          <w:szCs w:val="18"/>
          <w:shd w:val="clear" w:color="auto" w:fill="FFFFFF"/>
        </w:rPr>
        <w:t>(Tas)</w:t>
      </w:r>
      <w:r w:rsidRPr="00410DAB">
        <w:rPr>
          <w:rStyle w:val="eop"/>
          <w:rFonts w:ascii="Public Sans" w:hAnsi="Public Sans"/>
          <w:color w:val="000000" w:themeColor="text1"/>
          <w:szCs w:val="18"/>
          <w:shd w:val="clear" w:color="auto" w:fill="FFFFFF"/>
        </w:rPr>
        <w:t> s 16(r);</w:t>
      </w:r>
      <w:r w:rsidRPr="00410DAB">
        <w:rPr>
          <w:rFonts w:ascii="Public Sans" w:hAnsi="Public Sans"/>
          <w:i/>
          <w:iCs/>
          <w:color w:val="000000" w:themeColor="text1"/>
          <w:szCs w:val="18"/>
          <w:shd w:val="clear" w:color="auto" w:fill="FFFFFF"/>
        </w:rPr>
        <w:t xml:space="preserve"> </w:t>
      </w:r>
      <w:r w:rsidRPr="00410DAB">
        <w:rPr>
          <w:rStyle w:val="normaltextrun"/>
          <w:rFonts w:ascii="Public Sans" w:hAnsi="Public Sans"/>
          <w:i/>
          <w:iCs/>
          <w:color w:val="000000" w:themeColor="text1"/>
          <w:szCs w:val="18"/>
          <w:shd w:val="clear" w:color="auto" w:fill="FFFFFF"/>
        </w:rPr>
        <w:t>Anti-Discrimination Act 1992</w:t>
      </w:r>
      <w:r w:rsidRPr="00410DAB">
        <w:rPr>
          <w:rStyle w:val="normaltextrun"/>
          <w:rFonts w:ascii="Public Sans" w:hAnsi="Public Sans"/>
          <w:color w:val="000000" w:themeColor="text1"/>
          <w:szCs w:val="18"/>
          <w:shd w:val="clear" w:color="auto" w:fill="FFFFFF"/>
        </w:rPr>
        <w:t xml:space="preserve"> (NT)</w:t>
      </w:r>
      <w:r w:rsidRPr="00410DAB">
        <w:rPr>
          <w:rStyle w:val="eop"/>
          <w:rFonts w:ascii="Public Sans" w:hAnsi="Public Sans"/>
          <w:color w:val="000000" w:themeColor="text1"/>
          <w:szCs w:val="18"/>
          <w:shd w:val="clear" w:color="auto" w:fill="FFFFFF"/>
        </w:rPr>
        <w:t> s 19(1)(p).</w:t>
      </w:r>
    </w:p>
  </w:footnote>
  <w:footnote w:id="309">
    <w:p w14:paraId="15979582"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Australian Human Rights Commission Regulations 2019</w:t>
      </w:r>
      <w:r w:rsidRPr="00410DAB">
        <w:rPr>
          <w:rFonts w:ascii="Public Sans" w:hAnsi="Public Sans" w:cs="Arial"/>
        </w:rPr>
        <w:t xml:space="preserve"> (Cth) reg 6(a)(ii); </w:t>
      </w:r>
      <w:r w:rsidRPr="00410DAB">
        <w:rPr>
          <w:rFonts w:ascii="Public Sans" w:hAnsi="Public Sans" w:cs="Arial"/>
          <w:i/>
          <w:iCs/>
        </w:rPr>
        <w:t>Australian Human Rights Commission Act 1986</w:t>
      </w:r>
      <w:r w:rsidRPr="00410DAB">
        <w:rPr>
          <w:rFonts w:ascii="Public Sans" w:hAnsi="Public Sans" w:cs="Arial"/>
        </w:rPr>
        <w:t xml:space="preserve"> (Cth) s 31(b).</w:t>
      </w:r>
    </w:p>
  </w:footnote>
  <w:footnote w:id="310">
    <w:p w14:paraId="734F60A2" w14:textId="428E87BF"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Respect at Work and Other Matters Amendment Act 2024</w:t>
      </w:r>
      <w:r w:rsidRPr="00410DAB">
        <w:rPr>
          <w:rFonts w:ascii="Public Sans" w:hAnsi="Public Sans" w:cs="Arial"/>
          <w:szCs w:val="18"/>
        </w:rPr>
        <w:t xml:space="preserve"> (Qld) s 7(3), s 52(2)</w:t>
      </w:r>
      <w:r w:rsidR="007118CA" w:rsidRPr="00410DAB">
        <w:rPr>
          <w:rFonts w:ascii="Public Sans" w:hAnsi="Public Sans" w:cs="Arial"/>
          <w:szCs w:val="18"/>
        </w:rPr>
        <w:t xml:space="preserve">, inserting </w:t>
      </w:r>
      <w:r w:rsidR="007118CA" w:rsidRPr="00410DAB">
        <w:rPr>
          <w:rFonts w:ascii="Public Sans" w:hAnsi="Public Sans" w:cs="Arial"/>
          <w:i/>
          <w:iCs/>
          <w:szCs w:val="18"/>
        </w:rPr>
        <w:t>Anti-Discrimination Act 1991</w:t>
      </w:r>
      <w:r w:rsidR="007118CA" w:rsidRPr="00410DAB">
        <w:rPr>
          <w:rFonts w:ascii="Public Sans" w:hAnsi="Public Sans" w:cs="Arial"/>
          <w:szCs w:val="18"/>
        </w:rPr>
        <w:t xml:space="preserve"> (Qld) s 7(pf), sch 1 definition of “irrelevant medical record” (</w:t>
      </w:r>
      <w:r w:rsidR="007118CA">
        <w:rPr>
          <w:rFonts w:ascii="Public Sans" w:hAnsi="Public Sans" w:cs="Arial"/>
          <w:szCs w:val="18"/>
        </w:rPr>
        <w:t>un</w:t>
      </w:r>
      <w:r w:rsidR="007118CA" w:rsidRPr="00410DAB">
        <w:rPr>
          <w:rFonts w:ascii="Public Sans" w:hAnsi="Public Sans" w:cs="Arial"/>
          <w:szCs w:val="18"/>
        </w:rPr>
        <w:t>commence</w:t>
      </w:r>
      <w:r w:rsidR="007118CA">
        <w:rPr>
          <w:rFonts w:ascii="Public Sans" w:hAnsi="Public Sans" w:cs="Arial"/>
          <w:szCs w:val="18"/>
        </w:rPr>
        <w:t>d</w:t>
      </w:r>
      <w:r w:rsidR="007118CA" w:rsidRPr="00410DAB">
        <w:rPr>
          <w:rFonts w:ascii="Public Sans" w:hAnsi="Public Sans" w:cs="Arial"/>
          <w:szCs w:val="18"/>
        </w:rPr>
        <w:t xml:space="preserve">). </w:t>
      </w:r>
    </w:p>
  </w:footnote>
  <w:footnote w:id="311">
    <w:p w14:paraId="473B20D6"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Law Reform Commission of Western Australia, </w:t>
      </w:r>
      <w:r w:rsidRPr="00410DAB">
        <w:rPr>
          <w:rFonts w:ascii="Public Sans" w:hAnsi="Public Sans" w:cs="Arial"/>
          <w:i/>
          <w:iCs/>
          <w:color w:val="000000" w:themeColor="text1"/>
          <w:szCs w:val="18"/>
        </w:rPr>
        <w:t>Review of the Equal Opportunity Act 1984 (WA)</w:t>
      </w:r>
      <w:r w:rsidRPr="00410DAB">
        <w:rPr>
          <w:rFonts w:ascii="Public Sans" w:hAnsi="Public Sans" w:cs="Arial"/>
          <w:color w:val="000000" w:themeColor="text1"/>
          <w:szCs w:val="18"/>
        </w:rPr>
        <w:t>,</w:t>
      </w:r>
      <w:r w:rsidRPr="00410DAB">
        <w:rPr>
          <w:rFonts w:ascii="Public Sans" w:hAnsi="Public Sans" w:cs="Arial"/>
          <w:i/>
          <w:iCs/>
          <w:color w:val="000000" w:themeColor="text1"/>
          <w:szCs w:val="18"/>
        </w:rPr>
        <w:t xml:space="preserve"> </w:t>
      </w:r>
      <w:r w:rsidRPr="00410DAB">
        <w:rPr>
          <w:rFonts w:ascii="Public Sans" w:hAnsi="Public Sans" w:cs="Arial"/>
          <w:color w:val="000000" w:themeColor="text1"/>
          <w:szCs w:val="18"/>
        </w:rPr>
        <w:t>Project 111, Final Report (2022) 93, rec 37–38.</w:t>
      </w:r>
    </w:p>
  </w:footnote>
  <w:footnote w:id="312">
    <w:p w14:paraId="4267807E"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Unions NSW, </w:t>
      </w:r>
      <w:r w:rsidRPr="00410DAB">
        <w:rPr>
          <w:rFonts w:ascii="Public Sans" w:hAnsi="Public Sans" w:cs="Arial"/>
          <w:i/>
          <w:iCs/>
        </w:rPr>
        <w:t>Preliminary Submission PAD90</w:t>
      </w:r>
      <w:r w:rsidRPr="00410DAB">
        <w:rPr>
          <w:rFonts w:ascii="Public Sans" w:hAnsi="Public Sans" w:cs="Arial"/>
        </w:rPr>
        <w:t>, 4–5.</w:t>
      </w:r>
    </w:p>
  </w:footnote>
  <w:footnote w:id="313">
    <w:p w14:paraId="17B937F2"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NSW Law Reform Commission, </w:t>
      </w:r>
      <w:r w:rsidRPr="00410DAB">
        <w:rPr>
          <w:rFonts w:ascii="Public Sans" w:hAnsi="Public Sans" w:cs="Arial"/>
          <w:i/>
          <w:iCs/>
          <w:color w:val="000000" w:themeColor="text1"/>
          <w:szCs w:val="18"/>
        </w:rPr>
        <w:t>Review of the Anti-Discrimination Act 1977 (NSW)</w:t>
      </w:r>
      <w:r w:rsidRPr="00410DAB">
        <w:rPr>
          <w:rFonts w:ascii="Public Sans" w:hAnsi="Public Sans" w:cs="Arial"/>
          <w:color w:val="000000" w:themeColor="text1"/>
          <w:szCs w:val="18"/>
        </w:rPr>
        <w:t>, Report 92 (1999) [5.221]–[5.222].</w:t>
      </w:r>
    </w:p>
  </w:footnote>
  <w:footnote w:id="314">
    <w:p w14:paraId="37A3EE0B"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Equal Opportunity Act 2010</w:t>
      </w:r>
      <w:r w:rsidRPr="00410DAB">
        <w:rPr>
          <w:rFonts w:ascii="Public Sans" w:hAnsi="Public Sans" w:cs="Arial"/>
          <w:color w:val="000000" w:themeColor="text1"/>
          <w:szCs w:val="18"/>
        </w:rPr>
        <w:t xml:space="preserve"> (Vic) s 6(f); </w:t>
      </w:r>
      <w:r w:rsidRPr="00410DAB">
        <w:rPr>
          <w:rFonts w:ascii="Public Sans" w:hAnsi="Public Sans" w:cs="Arial"/>
          <w:i/>
          <w:iCs/>
          <w:color w:val="000000" w:themeColor="text1"/>
          <w:szCs w:val="18"/>
        </w:rPr>
        <w:t>Anti-Discrimination Act 1998</w:t>
      </w:r>
      <w:r w:rsidRPr="00410DAB">
        <w:rPr>
          <w:rFonts w:ascii="Public Sans" w:hAnsi="Public Sans" w:cs="Arial"/>
          <w:color w:val="000000" w:themeColor="text1"/>
          <w:szCs w:val="18"/>
        </w:rPr>
        <w:t xml:space="preserve"> (Tas) s 16(l); </w:t>
      </w:r>
      <w:r w:rsidRPr="00410DAB">
        <w:rPr>
          <w:rFonts w:ascii="Public Sans" w:hAnsi="Public Sans" w:cs="Arial"/>
          <w:i/>
          <w:iCs/>
          <w:color w:val="000000" w:themeColor="text1"/>
          <w:szCs w:val="18"/>
        </w:rPr>
        <w:t>Discrimination Act 1991</w:t>
      </w:r>
      <w:r w:rsidRPr="00410DAB">
        <w:rPr>
          <w:rFonts w:ascii="Public Sans" w:hAnsi="Public Sans" w:cs="Arial"/>
          <w:color w:val="000000" w:themeColor="text1"/>
          <w:szCs w:val="18"/>
        </w:rPr>
        <w:t xml:space="preserve"> (ACT) s 7(1)(j). </w:t>
      </w:r>
    </w:p>
  </w:footnote>
  <w:footnote w:id="315">
    <w:p w14:paraId="26EFFF81"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 xml:space="preserve">Anti-Discrimination Act 1991 </w:t>
      </w:r>
      <w:r w:rsidRPr="00410DAB">
        <w:rPr>
          <w:rFonts w:ascii="Public Sans" w:hAnsi="Public Sans" w:cs="Arial"/>
          <w:color w:val="000000" w:themeColor="text1"/>
          <w:szCs w:val="18"/>
        </w:rPr>
        <w:t>(Qld) s 7(k).</w:t>
      </w:r>
    </w:p>
  </w:footnote>
  <w:footnote w:id="316">
    <w:p w14:paraId="6029B3BB"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1992</w:t>
      </w:r>
      <w:r w:rsidRPr="00410DAB">
        <w:rPr>
          <w:rFonts w:ascii="Public Sans" w:hAnsi="Public Sans" w:cs="Arial"/>
          <w:color w:val="000000" w:themeColor="text1"/>
          <w:szCs w:val="18"/>
        </w:rPr>
        <w:t xml:space="preserve"> (NT) s 19(1)(k). </w:t>
      </w:r>
    </w:p>
  </w:footnote>
  <w:footnote w:id="317">
    <w:p w14:paraId="3AE0EBCB"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Australian Human Rights Commission Act 1986</w:t>
      </w:r>
      <w:r w:rsidRPr="00410DAB">
        <w:rPr>
          <w:rFonts w:ascii="Public Sans" w:hAnsi="Public Sans" w:cs="Arial"/>
        </w:rPr>
        <w:t xml:space="preserve"> (Cth) s 31(b); </w:t>
      </w:r>
      <w:r w:rsidRPr="00410DAB">
        <w:rPr>
          <w:rFonts w:ascii="Public Sans" w:hAnsi="Public Sans" w:cs="Arial"/>
          <w:i/>
          <w:iCs/>
        </w:rPr>
        <w:t>Australian Human Rights Commission Regulations 2019</w:t>
      </w:r>
      <w:r w:rsidRPr="00410DAB">
        <w:rPr>
          <w:rFonts w:ascii="Public Sans" w:hAnsi="Public Sans" w:cs="Arial"/>
        </w:rPr>
        <w:t xml:space="preserve"> (Cth) reg 6(a)(viii).</w:t>
      </w:r>
    </w:p>
  </w:footnote>
  <w:footnote w:id="318">
    <w:p w14:paraId="61C2A2EF"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Fair Work Act 2009</w:t>
      </w:r>
      <w:r w:rsidRPr="00410DAB">
        <w:rPr>
          <w:rFonts w:ascii="Public Sans" w:hAnsi="Public Sans" w:cs="Arial"/>
        </w:rPr>
        <w:t xml:space="preserve"> (Cth) s 346.</w:t>
      </w:r>
    </w:p>
  </w:footnote>
  <w:footnote w:id="319">
    <w:p w14:paraId="02F1A303"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Equal Opportunity Act 2010</w:t>
      </w:r>
      <w:r w:rsidRPr="00410DAB">
        <w:rPr>
          <w:rFonts w:ascii="Public Sans" w:hAnsi="Public Sans" w:cs="Arial"/>
          <w:szCs w:val="18"/>
        </w:rPr>
        <w:t xml:space="preserve"> (Vic) s 4(1) definition of “industrial activity”; </w:t>
      </w:r>
      <w:r w:rsidRPr="00410DAB">
        <w:rPr>
          <w:rFonts w:ascii="Public Sans" w:hAnsi="Public Sans" w:cs="Arial"/>
          <w:i/>
          <w:iCs/>
          <w:szCs w:val="18"/>
        </w:rPr>
        <w:t>Anti-Discrimination Act 1998</w:t>
      </w:r>
      <w:r w:rsidRPr="00410DAB">
        <w:rPr>
          <w:rFonts w:ascii="Public Sans" w:hAnsi="Public Sans" w:cs="Arial"/>
          <w:szCs w:val="18"/>
        </w:rPr>
        <w:t xml:space="preserve"> (Tas) s 3 definition of “industrial activity”; </w:t>
      </w:r>
      <w:r w:rsidRPr="00410DAB">
        <w:rPr>
          <w:rFonts w:ascii="Public Sans" w:hAnsi="Public Sans" w:cs="Arial"/>
          <w:i/>
          <w:iCs/>
          <w:szCs w:val="18"/>
        </w:rPr>
        <w:t>Discrimination Act 1991</w:t>
      </w:r>
      <w:r w:rsidRPr="00410DAB">
        <w:rPr>
          <w:rFonts w:ascii="Public Sans" w:hAnsi="Public Sans" w:cs="Arial"/>
          <w:szCs w:val="18"/>
        </w:rPr>
        <w:t xml:space="preserve"> (ACT) dictionary, definition of “industrial activity”. See also Law Reform Commission of Western Australia, </w:t>
      </w:r>
      <w:r w:rsidRPr="00410DAB">
        <w:rPr>
          <w:rFonts w:ascii="Public Sans" w:hAnsi="Public Sans" w:cs="Arial"/>
          <w:i/>
          <w:iCs/>
          <w:szCs w:val="18"/>
        </w:rPr>
        <w:t>Review of the Equal Opportunity Act 1984 (WA)</w:t>
      </w:r>
      <w:r w:rsidRPr="00410DAB">
        <w:rPr>
          <w:rFonts w:ascii="Public Sans" w:hAnsi="Public Sans" w:cs="Arial"/>
          <w:szCs w:val="18"/>
        </w:rPr>
        <w:t>,</w:t>
      </w:r>
      <w:r w:rsidRPr="00410DAB">
        <w:rPr>
          <w:rFonts w:ascii="Public Sans" w:hAnsi="Public Sans" w:cs="Arial"/>
          <w:i/>
          <w:iCs/>
          <w:szCs w:val="18"/>
        </w:rPr>
        <w:t xml:space="preserve"> </w:t>
      </w:r>
      <w:r w:rsidRPr="00410DAB">
        <w:rPr>
          <w:rFonts w:ascii="Public Sans" w:hAnsi="Public Sans" w:cs="Arial"/>
          <w:szCs w:val="18"/>
        </w:rPr>
        <w:t>Project 111, Final Report (2022) 85–86, rec 33.</w:t>
      </w:r>
    </w:p>
  </w:footnote>
  <w:footnote w:id="320">
    <w:p w14:paraId="0B076B0E"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1998</w:t>
      </w:r>
      <w:r w:rsidRPr="00410DAB">
        <w:rPr>
          <w:rFonts w:ascii="Public Sans" w:hAnsi="Public Sans" w:cs="Arial"/>
          <w:szCs w:val="18"/>
        </w:rPr>
        <w:t xml:space="preserve"> (Tas) s 49.</w:t>
      </w:r>
    </w:p>
  </w:footnote>
  <w:footnote w:id="321">
    <w:p w14:paraId="36A2BE12"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International Covenant on Civil and Political Rights</w:t>
      </w:r>
      <w:r w:rsidRPr="00410DAB">
        <w:rPr>
          <w:rFonts w:ascii="Public Sans" w:hAnsi="Public Sans" w:cs="Arial"/>
        </w:rPr>
        <w:t xml:space="preserve">, 999 UNTS 171 (entered into force 23 March 1976) art 2(1); </w:t>
      </w:r>
      <w:r w:rsidRPr="00410DAB">
        <w:rPr>
          <w:rFonts w:ascii="Public Sans" w:hAnsi="Public Sans" w:cs="Arial"/>
          <w:i/>
          <w:iCs/>
        </w:rPr>
        <w:t>International Covenant on Economic, Social and Cultural Rights</w:t>
      </w:r>
      <w:r w:rsidRPr="00410DAB">
        <w:rPr>
          <w:rFonts w:ascii="Public Sans" w:hAnsi="Public Sans" w:cs="Arial"/>
        </w:rPr>
        <w:t>, 993 UNTS 3 (entered into force 3 January 1976) art 2(2).</w:t>
      </w:r>
    </w:p>
  </w:footnote>
  <w:footnote w:id="322">
    <w:p w14:paraId="1C629C09"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1991</w:t>
      </w:r>
      <w:r w:rsidRPr="00410DAB">
        <w:rPr>
          <w:rFonts w:ascii="Public Sans" w:hAnsi="Public Sans" w:cs="Arial"/>
          <w:szCs w:val="18"/>
        </w:rPr>
        <w:t xml:space="preserve"> (Qld) s 7(j); </w:t>
      </w:r>
      <w:r w:rsidRPr="00410DAB">
        <w:rPr>
          <w:rFonts w:ascii="Public Sans" w:hAnsi="Public Sans" w:cs="Arial"/>
          <w:i/>
          <w:iCs/>
          <w:szCs w:val="18"/>
        </w:rPr>
        <w:t>Anti-Discrimination Act 1998</w:t>
      </w:r>
      <w:r w:rsidRPr="00410DAB">
        <w:rPr>
          <w:rFonts w:ascii="Public Sans" w:hAnsi="Public Sans" w:cs="Arial"/>
          <w:szCs w:val="18"/>
        </w:rPr>
        <w:t xml:space="preserve"> (Tas) s 16(m)–(n</w:t>
      </w:r>
      <w:r w:rsidRPr="00410DAB">
        <w:rPr>
          <w:rFonts w:ascii="Public Sans" w:hAnsi="Public Sans" w:cs="Arial"/>
          <w:i/>
          <w:iCs/>
          <w:szCs w:val="18"/>
        </w:rPr>
        <w:t>)</w:t>
      </w:r>
      <w:r w:rsidRPr="00410DAB">
        <w:rPr>
          <w:rFonts w:ascii="Public Sans" w:hAnsi="Public Sans" w:cs="Arial"/>
          <w:szCs w:val="18"/>
        </w:rPr>
        <w:t>;</w:t>
      </w:r>
      <w:r w:rsidRPr="00410DAB">
        <w:rPr>
          <w:rFonts w:ascii="Public Sans" w:hAnsi="Public Sans" w:cs="Arial"/>
          <w:i/>
          <w:iCs/>
          <w:szCs w:val="18"/>
        </w:rPr>
        <w:t xml:space="preserve"> Equal Opportunity Act 2010</w:t>
      </w:r>
      <w:r w:rsidRPr="00410DAB">
        <w:rPr>
          <w:rFonts w:ascii="Public Sans" w:hAnsi="Public Sans" w:cs="Arial"/>
          <w:szCs w:val="18"/>
        </w:rPr>
        <w:t xml:space="preserve"> (Vic) s 6(k); </w:t>
      </w:r>
      <w:r w:rsidRPr="00410DAB">
        <w:rPr>
          <w:rFonts w:ascii="Public Sans" w:hAnsi="Public Sans" w:cs="Arial"/>
          <w:i/>
          <w:iCs/>
          <w:szCs w:val="18"/>
        </w:rPr>
        <w:t>Anti-Discrimination Act 1992</w:t>
      </w:r>
      <w:r w:rsidRPr="00410DAB">
        <w:rPr>
          <w:rFonts w:ascii="Public Sans" w:hAnsi="Public Sans" w:cs="Arial"/>
          <w:szCs w:val="18"/>
        </w:rPr>
        <w:t xml:space="preserve"> (NT) s 19(1)(n); </w:t>
      </w:r>
      <w:r w:rsidRPr="00410DAB">
        <w:rPr>
          <w:rFonts w:ascii="Public Sans" w:hAnsi="Public Sans" w:cs="Arial"/>
          <w:i/>
          <w:iCs/>
          <w:szCs w:val="18"/>
        </w:rPr>
        <w:t>Discrimination Act 1991</w:t>
      </w:r>
      <w:r w:rsidRPr="00410DAB">
        <w:rPr>
          <w:rFonts w:ascii="Public Sans" w:hAnsi="Public Sans" w:cs="Arial"/>
          <w:szCs w:val="18"/>
        </w:rPr>
        <w:t xml:space="preserve"> (ACT) s 7(1)(n); </w:t>
      </w:r>
      <w:r w:rsidRPr="00410DAB">
        <w:rPr>
          <w:rFonts w:ascii="Public Sans" w:hAnsi="Public Sans" w:cs="Arial"/>
          <w:i/>
          <w:iCs/>
          <w:szCs w:val="18"/>
        </w:rPr>
        <w:t>Equal Opportunity Act 1984</w:t>
      </w:r>
      <w:r w:rsidRPr="00410DAB">
        <w:rPr>
          <w:rFonts w:ascii="Public Sans" w:hAnsi="Public Sans" w:cs="Arial"/>
          <w:szCs w:val="18"/>
        </w:rPr>
        <w:t xml:space="preserve"> (WA) s 53.</w:t>
      </w:r>
    </w:p>
  </w:footnote>
  <w:footnote w:id="323">
    <w:p w14:paraId="0E08D838" w14:textId="77777777" w:rsidR="000B3E50" w:rsidRPr="00410DAB" w:rsidRDefault="000B3E50" w:rsidP="000B3E50">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Australian Human Rights Commission Act 1986</w:t>
      </w:r>
      <w:r w:rsidRPr="00410DAB">
        <w:rPr>
          <w:rFonts w:ascii="Public Sans" w:hAnsi="Public Sans" w:cs="Arial"/>
          <w:color w:val="000000" w:themeColor="text1"/>
        </w:rPr>
        <w:t xml:space="preserve"> (Cth) s 3 definition of “discrimination”, s 31(b).</w:t>
      </w:r>
    </w:p>
  </w:footnote>
  <w:footnote w:id="324">
    <w:p w14:paraId="045B92BF"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Fair Work Act 2009</w:t>
      </w:r>
      <w:r w:rsidRPr="00410DAB">
        <w:rPr>
          <w:rFonts w:ascii="Public Sans" w:hAnsi="Public Sans" w:cs="Arial"/>
          <w:szCs w:val="18"/>
        </w:rPr>
        <w:t xml:space="preserve"> (Cth) s 351(1). </w:t>
      </w:r>
    </w:p>
  </w:footnote>
  <w:footnote w:id="325">
    <w:p w14:paraId="481957EB"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Discrimination Act 1991</w:t>
      </w:r>
      <w:r w:rsidRPr="00410DAB">
        <w:rPr>
          <w:rFonts w:ascii="Public Sans" w:hAnsi="Public Sans" w:cs="Arial"/>
          <w:color w:val="000000" w:themeColor="text1"/>
          <w:szCs w:val="18"/>
        </w:rPr>
        <w:t xml:space="preserve"> (ACT) s 7(1)(n), dictionary definition of “political conviction”. See also </w:t>
      </w:r>
      <w:r w:rsidRPr="00410DAB">
        <w:rPr>
          <w:rFonts w:ascii="Public Sans" w:hAnsi="Public Sans" w:cs="Arial"/>
          <w:i/>
          <w:iCs/>
          <w:color w:val="000000" w:themeColor="text1"/>
          <w:szCs w:val="18"/>
        </w:rPr>
        <w:t>Equal Opportunity Act 2010</w:t>
      </w:r>
      <w:r w:rsidRPr="00410DAB">
        <w:rPr>
          <w:rFonts w:ascii="Public Sans" w:hAnsi="Public Sans" w:cs="Arial"/>
          <w:color w:val="000000" w:themeColor="text1"/>
          <w:szCs w:val="18"/>
        </w:rPr>
        <w:t xml:space="preserve"> (Vic) s 4(1) definition of “political belief or activity”; </w:t>
      </w:r>
      <w:r w:rsidRPr="00410DAB">
        <w:rPr>
          <w:rFonts w:ascii="Public Sans" w:hAnsi="Public Sans" w:cs="Arial"/>
          <w:i/>
          <w:iCs/>
          <w:color w:val="000000" w:themeColor="text1"/>
          <w:szCs w:val="18"/>
        </w:rPr>
        <w:t>Anti-Discrimination Act 1998</w:t>
      </w:r>
      <w:r w:rsidRPr="00410DAB">
        <w:rPr>
          <w:rFonts w:ascii="Public Sans" w:hAnsi="Public Sans" w:cs="Arial"/>
          <w:color w:val="000000" w:themeColor="text1"/>
          <w:szCs w:val="18"/>
        </w:rPr>
        <w:t xml:space="preserve"> (Tas) s 3 definition of “political belief or affiliation”; </w:t>
      </w:r>
      <w:r w:rsidRPr="00410DAB">
        <w:rPr>
          <w:rFonts w:ascii="Public Sans" w:hAnsi="Public Sans" w:cs="Arial"/>
          <w:i/>
          <w:iCs/>
          <w:color w:val="000000" w:themeColor="text1"/>
          <w:szCs w:val="18"/>
        </w:rPr>
        <w:t>Anti-Discrimination Act 1992</w:t>
      </w:r>
      <w:r w:rsidRPr="00410DAB">
        <w:rPr>
          <w:rFonts w:ascii="Public Sans" w:hAnsi="Public Sans" w:cs="Arial"/>
          <w:color w:val="000000" w:themeColor="text1"/>
          <w:szCs w:val="18"/>
        </w:rPr>
        <w:t xml:space="preserve"> (NT) s 4(5), s 19(1)(n). </w:t>
      </w:r>
    </w:p>
  </w:footnote>
  <w:footnote w:id="326">
    <w:p w14:paraId="0F4EA47F"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NSW Law Reform Commission, </w:t>
      </w:r>
      <w:r w:rsidRPr="00410DAB">
        <w:rPr>
          <w:rFonts w:ascii="Public Sans" w:hAnsi="Public Sans" w:cs="Arial"/>
          <w:i/>
          <w:iCs/>
          <w:szCs w:val="18"/>
        </w:rPr>
        <w:t>Review of the Anti-Discrimination Act 1977 (NSW)</w:t>
      </w:r>
      <w:r w:rsidRPr="00410DAB">
        <w:rPr>
          <w:rFonts w:ascii="Public Sans" w:hAnsi="Public Sans" w:cs="Arial"/>
          <w:szCs w:val="18"/>
        </w:rPr>
        <w:t xml:space="preserve">, Report 92 </w:t>
      </w:r>
      <w:r w:rsidRPr="00410DAB">
        <w:rPr>
          <w:rFonts w:ascii="Public Sans" w:hAnsi="Public Sans" w:cs="Arial"/>
          <w:color w:val="000000" w:themeColor="text1"/>
          <w:szCs w:val="18"/>
        </w:rPr>
        <w:t>(1999) rec 39.</w:t>
      </w:r>
    </w:p>
  </w:footnote>
  <w:footnote w:id="327">
    <w:p w14:paraId="5709529C"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bookmarkStart w:id="200" w:name="_Hlk194933815"/>
      <w:r w:rsidRPr="00410DAB">
        <w:rPr>
          <w:rFonts w:ascii="Public Sans" w:hAnsi="Public Sans" w:cs="Arial"/>
          <w:i/>
          <w:iCs/>
          <w:szCs w:val="18"/>
        </w:rPr>
        <w:t>Kovac v Australian Croatian Club Ltd</w:t>
      </w:r>
      <w:r w:rsidRPr="00410DAB">
        <w:rPr>
          <w:rFonts w:ascii="Public Sans" w:hAnsi="Public Sans" w:cs="Arial"/>
          <w:szCs w:val="18"/>
        </w:rPr>
        <w:t xml:space="preserve"> [2014] ACAT 41 </w:t>
      </w:r>
      <w:bookmarkEnd w:id="200"/>
      <w:r w:rsidRPr="00410DAB">
        <w:rPr>
          <w:rFonts w:ascii="Public Sans" w:hAnsi="Public Sans" w:cs="Arial"/>
          <w:szCs w:val="18"/>
        </w:rPr>
        <w:t>[70].</w:t>
      </w:r>
    </w:p>
  </w:footnote>
  <w:footnote w:id="328">
    <w:p w14:paraId="1BB30689"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NSW Law Reform Commission, </w:t>
      </w:r>
      <w:r w:rsidRPr="00410DAB">
        <w:rPr>
          <w:rFonts w:ascii="Public Sans" w:hAnsi="Public Sans" w:cs="Arial"/>
          <w:i/>
          <w:iCs/>
          <w:szCs w:val="18"/>
        </w:rPr>
        <w:t>Review of the Anti-Discrimination Act 1977 (NSW)</w:t>
      </w:r>
      <w:r w:rsidRPr="00410DAB">
        <w:rPr>
          <w:rFonts w:ascii="Public Sans" w:hAnsi="Public Sans" w:cs="Arial"/>
          <w:szCs w:val="18"/>
        </w:rPr>
        <w:t>, Report 92 (1999) rec 39.</w:t>
      </w:r>
    </w:p>
  </w:footnote>
  <w:footnote w:id="329">
    <w:p w14:paraId="3E0E83C5"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4(1) definition of “political belief or activity”.</w:t>
      </w:r>
    </w:p>
  </w:footnote>
  <w:footnote w:id="330">
    <w:p w14:paraId="4DE1F9C7"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Discrimination Act 1991</w:t>
      </w:r>
      <w:r w:rsidRPr="00410DAB">
        <w:rPr>
          <w:rFonts w:ascii="Public Sans" w:hAnsi="Public Sans" w:cs="Arial"/>
          <w:szCs w:val="18"/>
        </w:rPr>
        <w:t xml:space="preserve"> (ACT) s 45; </w:t>
      </w:r>
      <w:r w:rsidRPr="00410DAB">
        <w:rPr>
          <w:rFonts w:ascii="Public Sans" w:hAnsi="Public Sans" w:cs="Arial"/>
          <w:i/>
          <w:iCs/>
          <w:szCs w:val="18"/>
        </w:rPr>
        <w:t>Equal Opportunity Act 1984</w:t>
      </w:r>
      <w:r w:rsidRPr="00410DAB">
        <w:rPr>
          <w:rFonts w:ascii="Public Sans" w:hAnsi="Public Sans" w:cs="Arial"/>
          <w:szCs w:val="18"/>
        </w:rPr>
        <w:t xml:space="preserve"> (WA) s 66(2); </w:t>
      </w:r>
      <w:r w:rsidRPr="00410DAB">
        <w:rPr>
          <w:rFonts w:ascii="Public Sans" w:hAnsi="Public Sans" w:cs="Arial"/>
          <w:i/>
          <w:iCs/>
          <w:szCs w:val="18"/>
        </w:rPr>
        <w:t>Anti-Discrimination Act 1998 (Tas)</w:t>
      </w:r>
      <w:r w:rsidRPr="00410DAB">
        <w:rPr>
          <w:rFonts w:ascii="Public Sans" w:hAnsi="Public Sans" w:cs="Arial"/>
          <w:szCs w:val="18"/>
        </w:rPr>
        <w:t xml:space="preserve"> s 53; </w:t>
      </w:r>
      <w:r w:rsidRPr="00410DAB">
        <w:rPr>
          <w:rFonts w:ascii="Public Sans" w:hAnsi="Public Sans" w:cs="Arial"/>
          <w:i/>
          <w:iCs/>
          <w:szCs w:val="18"/>
        </w:rPr>
        <w:t>Equal Opportunity Act 2010</w:t>
      </w:r>
      <w:r w:rsidRPr="00410DAB">
        <w:rPr>
          <w:rFonts w:ascii="Public Sans" w:hAnsi="Public Sans" w:cs="Arial"/>
          <w:szCs w:val="18"/>
        </w:rPr>
        <w:t xml:space="preserve"> (Vic) s 27.</w:t>
      </w:r>
    </w:p>
  </w:footnote>
  <w:footnote w:id="331">
    <w:p w14:paraId="71381FA1"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Law Reform Commission of Western Australia, </w:t>
      </w:r>
      <w:r w:rsidRPr="00410DAB">
        <w:rPr>
          <w:rFonts w:ascii="Public Sans" w:hAnsi="Public Sans" w:cs="Arial"/>
          <w:i/>
          <w:iCs/>
          <w:szCs w:val="18"/>
        </w:rPr>
        <w:t>Review of the Equal Opportunity Act 1984 (WA)</w:t>
      </w:r>
      <w:r w:rsidRPr="00410DAB">
        <w:rPr>
          <w:rFonts w:ascii="Public Sans" w:hAnsi="Public Sans" w:cs="Arial"/>
          <w:szCs w:val="18"/>
        </w:rPr>
        <w:t>,</w:t>
      </w:r>
      <w:r w:rsidRPr="00410DAB">
        <w:rPr>
          <w:rFonts w:ascii="Public Sans" w:hAnsi="Public Sans" w:cs="Arial"/>
          <w:i/>
          <w:iCs/>
          <w:szCs w:val="18"/>
        </w:rPr>
        <w:t xml:space="preserve"> </w:t>
      </w:r>
      <w:r w:rsidRPr="00410DAB">
        <w:rPr>
          <w:rFonts w:ascii="Public Sans" w:hAnsi="Public Sans" w:cs="Arial"/>
          <w:szCs w:val="18"/>
        </w:rPr>
        <w:t>Project 111, Final Report (2022) 201–202, rec 92.</w:t>
      </w:r>
    </w:p>
  </w:footnote>
  <w:footnote w:id="332">
    <w:p w14:paraId="1122699D"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Equal Opportunity Act 2010</w:t>
      </w:r>
      <w:r w:rsidRPr="00410DAB">
        <w:rPr>
          <w:rFonts w:ascii="Public Sans" w:hAnsi="Public Sans" w:cs="Arial"/>
          <w:szCs w:val="18"/>
        </w:rPr>
        <w:t xml:space="preserve"> (Vic) s 66A, s 73–74.</w:t>
      </w:r>
    </w:p>
  </w:footnote>
  <w:footnote w:id="333">
    <w:p w14:paraId="703A64E7"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NSW Law Reform Commission, </w:t>
      </w:r>
      <w:r w:rsidRPr="00410DAB">
        <w:rPr>
          <w:rFonts w:ascii="Public Sans" w:hAnsi="Public Sans" w:cs="Arial"/>
          <w:i/>
          <w:iCs/>
          <w:szCs w:val="18"/>
        </w:rPr>
        <w:t>Review of the Anti-Discrimination Act 1977 (NSW)</w:t>
      </w:r>
      <w:r w:rsidRPr="00410DAB">
        <w:rPr>
          <w:rFonts w:ascii="Public Sans" w:hAnsi="Public Sans" w:cs="Arial"/>
          <w:szCs w:val="18"/>
        </w:rPr>
        <w:t>, Report 92 (1999) rec 82, rec 83.</w:t>
      </w:r>
    </w:p>
  </w:footnote>
  <w:footnote w:id="334">
    <w:p w14:paraId="0B3DECF4"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Discrimination Act 1991</w:t>
      </w:r>
      <w:r w:rsidRPr="00410DAB">
        <w:rPr>
          <w:rFonts w:ascii="Public Sans" w:hAnsi="Public Sans" w:cs="Arial"/>
          <w:szCs w:val="18"/>
        </w:rPr>
        <w:t xml:space="preserve"> (ACT) dictionary definition of “physical features”; </w:t>
      </w:r>
      <w:r w:rsidRPr="00410DAB">
        <w:rPr>
          <w:rFonts w:ascii="Public Sans" w:hAnsi="Public Sans" w:cs="Arial"/>
          <w:i/>
          <w:iCs/>
          <w:szCs w:val="18"/>
        </w:rPr>
        <w:t xml:space="preserve">Equal Opportunity Act </w:t>
      </w:r>
      <w:r w:rsidRPr="00410DAB">
        <w:rPr>
          <w:rFonts w:ascii="Public Sans" w:hAnsi="Public Sans" w:cs="Arial"/>
          <w:i/>
          <w:iCs/>
          <w:color w:val="000000" w:themeColor="text1"/>
          <w:szCs w:val="18"/>
        </w:rPr>
        <w:t>2010</w:t>
      </w:r>
      <w:r w:rsidRPr="00410DAB">
        <w:rPr>
          <w:rFonts w:ascii="Public Sans" w:hAnsi="Public Sans" w:cs="Arial"/>
          <w:color w:val="000000" w:themeColor="text1"/>
          <w:szCs w:val="18"/>
        </w:rPr>
        <w:t xml:space="preserve"> (Vic) s 4(1) definition of “physical features”.</w:t>
      </w:r>
    </w:p>
  </w:footnote>
  <w:footnote w:id="335">
    <w:p w14:paraId="61B80A01"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Queensland Human Rights Commission, </w:t>
      </w:r>
      <w:r w:rsidRPr="00410DAB">
        <w:rPr>
          <w:rFonts w:ascii="Public Sans" w:hAnsi="Public Sans" w:cs="Arial"/>
          <w:i/>
          <w:iCs/>
          <w:color w:val="000000" w:themeColor="text1"/>
          <w:szCs w:val="18"/>
        </w:rPr>
        <w:t>Building Belonging: Review of Queensland’s Anti-Discrimination Act 1991</w:t>
      </w:r>
      <w:r w:rsidRPr="00410DAB">
        <w:rPr>
          <w:rFonts w:ascii="Public Sans" w:hAnsi="Public Sans" w:cs="Arial"/>
          <w:color w:val="000000" w:themeColor="text1"/>
          <w:szCs w:val="18"/>
        </w:rPr>
        <w:t xml:space="preserve"> (2022) 327.</w:t>
      </w:r>
    </w:p>
  </w:footnote>
  <w:footnote w:id="336">
    <w:p w14:paraId="6C64BF7F"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szCs w:val="18"/>
        </w:rPr>
        <w:t xml:space="preserve">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rec 30, 328. See also Law Reform Commission of Western Australia, </w:t>
      </w:r>
      <w:r w:rsidRPr="00410DAB">
        <w:rPr>
          <w:rFonts w:ascii="Public Sans" w:hAnsi="Public Sans" w:cs="Arial"/>
          <w:i/>
          <w:iCs/>
          <w:szCs w:val="18"/>
        </w:rPr>
        <w:t>Review of the Equal Opportunity Act 1984 (WA)</w:t>
      </w:r>
      <w:r w:rsidRPr="00410DAB">
        <w:rPr>
          <w:rFonts w:ascii="Public Sans" w:hAnsi="Public Sans" w:cs="Arial"/>
          <w:szCs w:val="18"/>
        </w:rPr>
        <w:t>,</w:t>
      </w:r>
      <w:r w:rsidRPr="00410DAB">
        <w:rPr>
          <w:rFonts w:ascii="Public Sans" w:hAnsi="Public Sans" w:cs="Arial"/>
          <w:i/>
          <w:iCs/>
          <w:szCs w:val="18"/>
        </w:rPr>
        <w:t xml:space="preserve"> </w:t>
      </w:r>
      <w:r w:rsidRPr="00410DAB">
        <w:rPr>
          <w:rFonts w:ascii="Public Sans" w:hAnsi="Public Sans" w:cs="Arial"/>
          <w:szCs w:val="18"/>
        </w:rPr>
        <w:t>Project 111, Final Report (2022) 99, rec 41–42.</w:t>
      </w:r>
    </w:p>
  </w:footnote>
  <w:footnote w:id="337">
    <w:p w14:paraId="701363FE" w14:textId="3CFAC362"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color w:val="000000" w:themeColor="text1"/>
          <w:szCs w:val="18"/>
        </w:rPr>
        <w:t xml:space="preserve">Respect at Work and Other Matters Amendment Act 2024 </w:t>
      </w:r>
      <w:r w:rsidRPr="00410DAB">
        <w:rPr>
          <w:rFonts w:ascii="Public Sans" w:hAnsi="Public Sans" w:cs="Arial"/>
          <w:color w:val="000000" w:themeColor="text1"/>
          <w:szCs w:val="18"/>
        </w:rPr>
        <w:t xml:space="preserve">(Qld) s 52(2), inserting </w:t>
      </w:r>
      <w:r w:rsidRPr="00410DAB">
        <w:rPr>
          <w:rFonts w:ascii="Public Sans" w:hAnsi="Public Sans" w:cs="Arial"/>
          <w:i/>
          <w:iCs/>
          <w:color w:val="000000" w:themeColor="text1"/>
          <w:szCs w:val="18"/>
        </w:rPr>
        <w:t>Anti-Discrimination Act 1991</w:t>
      </w:r>
      <w:r w:rsidRPr="00410DAB">
        <w:rPr>
          <w:rFonts w:ascii="Public Sans" w:hAnsi="Public Sans" w:cs="Arial"/>
          <w:color w:val="000000" w:themeColor="text1"/>
          <w:szCs w:val="18"/>
        </w:rPr>
        <w:t xml:space="preserve"> (Qld) dictionary, definition of “physical appearance” (</w:t>
      </w:r>
      <w:r w:rsidR="007118CA">
        <w:rPr>
          <w:rFonts w:ascii="Public Sans" w:hAnsi="Public Sans" w:cs="Arial"/>
          <w:color w:val="000000" w:themeColor="text1"/>
          <w:szCs w:val="18"/>
        </w:rPr>
        <w:t>un</w:t>
      </w:r>
      <w:r w:rsidRPr="00410DAB">
        <w:rPr>
          <w:rFonts w:ascii="Public Sans" w:hAnsi="Public Sans" w:cs="Arial"/>
          <w:color w:val="000000" w:themeColor="text1"/>
          <w:szCs w:val="18"/>
        </w:rPr>
        <w:t>commence</w:t>
      </w:r>
      <w:r w:rsidR="007118CA">
        <w:rPr>
          <w:rFonts w:ascii="Public Sans" w:hAnsi="Public Sans" w:cs="Arial"/>
          <w:color w:val="000000" w:themeColor="text1"/>
          <w:szCs w:val="18"/>
        </w:rPr>
        <w:t>d</w:t>
      </w:r>
      <w:r w:rsidRPr="00410DAB">
        <w:rPr>
          <w:rFonts w:ascii="Public Sans" w:hAnsi="Public Sans" w:cs="Arial"/>
          <w:color w:val="000000" w:themeColor="text1"/>
          <w:szCs w:val="18"/>
        </w:rPr>
        <w:t xml:space="preserve">). </w:t>
      </w:r>
    </w:p>
  </w:footnote>
  <w:footnote w:id="338">
    <w:p w14:paraId="32F00707"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Discrimination Act 1991</w:t>
      </w:r>
      <w:r w:rsidRPr="00410DAB">
        <w:rPr>
          <w:rFonts w:ascii="Public Sans" w:hAnsi="Public Sans" w:cs="Arial"/>
          <w:szCs w:val="18"/>
        </w:rPr>
        <w:t xml:space="preserve"> (ACT) s 57R; </w:t>
      </w:r>
      <w:r w:rsidRPr="00410DAB">
        <w:rPr>
          <w:rFonts w:ascii="Public Sans" w:hAnsi="Public Sans" w:cs="Arial"/>
          <w:i/>
          <w:iCs/>
          <w:szCs w:val="18"/>
        </w:rPr>
        <w:t>Equal Opportunity Act 2010 (</w:t>
      </w:r>
      <w:r w:rsidRPr="00410DAB">
        <w:rPr>
          <w:rFonts w:ascii="Public Sans" w:hAnsi="Public Sans" w:cs="Arial"/>
          <w:szCs w:val="18"/>
        </w:rPr>
        <w:t>Vic) s 86(1).</w:t>
      </w:r>
    </w:p>
  </w:footnote>
  <w:footnote w:id="339">
    <w:p w14:paraId="3D4A65D8"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 xml:space="preserve">Equal Opportunity Act 2010 </w:t>
      </w:r>
      <w:r w:rsidRPr="00410DAB">
        <w:rPr>
          <w:rFonts w:ascii="Public Sans" w:hAnsi="Public Sans" w:cs="Arial"/>
          <w:szCs w:val="18"/>
        </w:rPr>
        <w:t>(Vic) s 26(4).</w:t>
      </w:r>
    </w:p>
  </w:footnote>
  <w:footnote w:id="340">
    <w:p w14:paraId="6A31E230"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Law Reform Commission of Western Australia, </w:t>
      </w:r>
      <w:r w:rsidRPr="00410DAB">
        <w:rPr>
          <w:rFonts w:ascii="Public Sans" w:hAnsi="Public Sans" w:cs="Arial"/>
          <w:i/>
          <w:iCs/>
          <w:szCs w:val="18"/>
        </w:rPr>
        <w:t>Review of the Equal Opportunity Act 1984 (WA)</w:t>
      </w:r>
      <w:r w:rsidRPr="00410DAB">
        <w:rPr>
          <w:rFonts w:ascii="Public Sans" w:hAnsi="Public Sans" w:cs="Arial"/>
          <w:szCs w:val="18"/>
        </w:rPr>
        <w:t>,</w:t>
      </w:r>
      <w:r w:rsidRPr="00410DAB">
        <w:rPr>
          <w:rFonts w:ascii="Public Sans" w:hAnsi="Public Sans" w:cs="Arial"/>
          <w:i/>
          <w:iCs/>
          <w:szCs w:val="18"/>
        </w:rPr>
        <w:t xml:space="preserve"> </w:t>
      </w:r>
      <w:r w:rsidRPr="00410DAB">
        <w:rPr>
          <w:rFonts w:ascii="Public Sans" w:hAnsi="Public Sans" w:cs="Arial"/>
          <w:szCs w:val="18"/>
        </w:rPr>
        <w:t>Project 111, Final Report (2022) 203, rec 93.</w:t>
      </w:r>
    </w:p>
  </w:footnote>
  <w:footnote w:id="341">
    <w:p w14:paraId="16BF39A9"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NSW Law Reform Commission, </w:t>
      </w:r>
      <w:r w:rsidRPr="00410DAB">
        <w:rPr>
          <w:rFonts w:ascii="Public Sans" w:hAnsi="Public Sans" w:cs="Arial"/>
          <w:i/>
          <w:iCs/>
          <w:color w:val="000000" w:themeColor="text1"/>
          <w:szCs w:val="18"/>
        </w:rPr>
        <w:t>Review of the Anti-Discrimination Act 1977 (NSW)</w:t>
      </w:r>
      <w:r w:rsidRPr="00410DAB">
        <w:rPr>
          <w:rFonts w:ascii="Public Sans" w:hAnsi="Public Sans" w:cs="Arial"/>
          <w:color w:val="000000" w:themeColor="text1"/>
          <w:szCs w:val="18"/>
        </w:rPr>
        <w:t>, Report 92 (1999) [5.230].</w:t>
      </w:r>
    </w:p>
  </w:footnote>
  <w:footnote w:id="342">
    <w:p w14:paraId="4113C34A"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International Covenant on Civil and Political Rights</w:t>
      </w:r>
      <w:r w:rsidRPr="00410DAB">
        <w:rPr>
          <w:rFonts w:ascii="Public Sans" w:hAnsi="Public Sans" w:cs="Arial"/>
        </w:rPr>
        <w:t xml:space="preserve">, 999 UNTS 171 (entered into force 23 March 1976) art 2(1); </w:t>
      </w:r>
      <w:r w:rsidRPr="00410DAB">
        <w:rPr>
          <w:rFonts w:ascii="Public Sans" w:hAnsi="Public Sans" w:cs="Arial"/>
          <w:i/>
          <w:iCs/>
        </w:rPr>
        <w:t>International Covenant on Economic, Social and Cultural Rights,</w:t>
      </w:r>
      <w:r w:rsidRPr="00410DAB">
        <w:rPr>
          <w:rFonts w:ascii="Public Sans" w:hAnsi="Public Sans" w:cs="Arial"/>
        </w:rPr>
        <w:t xml:space="preserve"> 993 UNTS 3 (entered into force 3 January 1976) art 2(2).</w:t>
      </w:r>
    </w:p>
  </w:footnote>
  <w:footnote w:id="343">
    <w:p w14:paraId="2E37BEE2"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Equal Opportunity Act 2010</w:t>
      </w:r>
      <w:r w:rsidRPr="00410DAB">
        <w:rPr>
          <w:rFonts w:ascii="Public Sans" w:hAnsi="Public Sans" w:cs="Arial"/>
          <w:szCs w:val="18"/>
        </w:rPr>
        <w:t xml:space="preserve"> (Vic) s 6(n); </w:t>
      </w:r>
      <w:r w:rsidRPr="00410DAB">
        <w:rPr>
          <w:rFonts w:ascii="Public Sans" w:hAnsi="Public Sans" w:cs="Arial"/>
          <w:i/>
          <w:iCs/>
          <w:szCs w:val="18"/>
        </w:rPr>
        <w:t>Anti-Discrimination Act 1991</w:t>
      </w:r>
      <w:r w:rsidRPr="00410DAB">
        <w:rPr>
          <w:rFonts w:ascii="Public Sans" w:hAnsi="Public Sans" w:cs="Arial"/>
          <w:szCs w:val="18"/>
        </w:rPr>
        <w:t xml:space="preserve"> (Qld) s 7(i); </w:t>
      </w:r>
      <w:r w:rsidRPr="00410DAB">
        <w:rPr>
          <w:rFonts w:ascii="Public Sans" w:hAnsi="Public Sans" w:cs="Arial"/>
          <w:i/>
          <w:iCs/>
          <w:szCs w:val="18"/>
        </w:rPr>
        <w:t>Anti-Discrimination Act 1998</w:t>
      </w:r>
      <w:r w:rsidRPr="00410DAB">
        <w:rPr>
          <w:rFonts w:ascii="Public Sans" w:hAnsi="Public Sans" w:cs="Arial"/>
          <w:szCs w:val="18"/>
        </w:rPr>
        <w:t xml:space="preserve"> (Tas) s 16(o); </w:t>
      </w:r>
      <w:r w:rsidRPr="00410DAB">
        <w:rPr>
          <w:rFonts w:ascii="Public Sans" w:hAnsi="Public Sans" w:cs="Arial"/>
          <w:i/>
          <w:iCs/>
          <w:szCs w:val="18"/>
        </w:rPr>
        <w:t>Anti-Discrimination Act 1992</w:t>
      </w:r>
      <w:r w:rsidRPr="00410DAB">
        <w:rPr>
          <w:rFonts w:ascii="Public Sans" w:hAnsi="Public Sans" w:cs="Arial"/>
          <w:szCs w:val="18"/>
        </w:rPr>
        <w:t xml:space="preserve"> (NT) s 19(1)(m); </w:t>
      </w:r>
      <w:r w:rsidRPr="00410DAB">
        <w:rPr>
          <w:rFonts w:ascii="Public Sans" w:hAnsi="Public Sans" w:cs="Arial"/>
          <w:i/>
          <w:iCs/>
          <w:szCs w:val="18"/>
        </w:rPr>
        <w:t>Discrimination Act 1991</w:t>
      </w:r>
      <w:r w:rsidRPr="00410DAB">
        <w:rPr>
          <w:rFonts w:ascii="Public Sans" w:hAnsi="Public Sans" w:cs="Arial"/>
          <w:szCs w:val="18"/>
        </w:rPr>
        <w:t xml:space="preserve"> (ACT) s 7(1)(t); </w:t>
      </w:r>
      <w:r w:rsidRPr="00410DAB">
        <w:rPr>
          <w:rFonts w:ascii="Public Sans" w:hAnsi="Public Sans" w:cs="Arial"/>
          <w:i/>
          <w:iCs/>
          <w:szCs w:val="18"/>
        </w:rPr>
        <w:t>Equal Opportunity Act 1984</w:t>
      </w:r>
      <w:r w:rsidRPr="00410DAB">
        <w:rPr>
          <w:rFonts w:ascii="Public Sans" w:hAnsi="Public Sans" w:cs="Arial"/>
          <w:szCs w:val="18"/>
        </w:rPr>
        <w:t xml:space="preserve"> (WA) s 53. </w:t>
      </w:r>
    </w:p>
  </w:footnote>
  <w:footnote w:id="344">
    <w:p w14:paraId="2BA2A524" w14:textId="77777777" w:rsidR="000B3E50" w:rsidRPr="00410DAB" w:rsidRDefault="000B3E50" w:rsidP="000B3E50">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szCs w:val="18"/>
        </w:rPr>
        <w:t>Australian Human Rights Commission Act 1986</w:t>
      </w:r>
      <w:r w:rsidRPr="00410DAB">
        <w:rPr>
          <w:rFonts w:ascii="Public Sans" w:hAnsi="Public Sans" w:cs="Arial"/>
          <w:color w:val="000000" w:themeColor="text1"/>
          <w:szCs w:val="18"/>
        </w:rPr>
        <w:t xml:space="preserve"> (Cth) s 3(1) definition of “discrimination”, s 31(b).</w:t>
      </w:r>
    </w:p>
  </w:footnote>
  <w:footnote w:id="345">
    <w:p w14:paraId="19A62308"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szCs w:val="18"/>
        </w:rPr>
        <w:t>Fair Work Act 2009</w:t>
      </w:r>
      <w:r w:rsidRPr="00410DAB">
        <w:rPr>
          <w:rFonts w:ascii="Public Sans" w:hAnsi="Public Sans" w:cs="Arial"/>
          <w:szCs w:val="18"/>
        </w:rPr>
        <w:t xml:space="preserve"> (Cth) s 351(1). </w:t>
      </w:r>
    </w:p>
  </w:footnote>
  <w:footnote w:id="346">
    <w:p w14:paraId="159AB24A"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NSW, </w:t>
      </w:r>
      <w:r w:rsidRPr="00410DAB">
        <w:rPr>
          <w:rFonts w:ascii="Public Sans" w:hAnsi="Public Sans" w:cs="Arial"/>
          <w:i/>
          <w:iCs/>
          <w:szCs w:val="18"/>
        </w:rPr>
        <w:t>Parliamentary Debates,</w:t>
      </w:r>
      <w:r w:rsidRPr="00410DAB">
        <w:rPr>
          <w:rFonts w:ascii="Public Sans" w:hAnsi="Public Sans" w:cs="Arial"/>
          <w:szCs w:val="18"/>
        </w:rPr>
        <w:t xml:space="preserve"> Legislative Council, Second Reading Speech, 4 May 1994, 1827.</w:t>
      </w:r>
    </w:p>
  </w:footnote>
  <w:footnote w:id="347">
    <w:p w14:paraId="6AB68630"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w:t>
      </w:r>
      <w:r w:rsidRPr="00410DAB">
        <w:rPr>
          <w:rFonts w:ascii="Public Sans" w:hAnsi="Public Sans" w:cs="Arial"/>
          <w:i/>
          <w:iCs/>
          <w:szCs w:val="18"/>
        </w:rPr>
        <w:t>Khan v Commissioner of Corrective Services</w:t>
      </w:r>
      <w:r w:rsidRPr="00410DAB">
        <w:rPr>
          <w:rFonts w:ascii="Public Sans" w:hAnsi="Public Sans" w:cs="Arial"/>
          <w:szCs w:val="18"/>
        </w:rPr>
        <w:t xml:space="preserve"> [2002] NSWADT 131 [20]; </w:t>
      </w:r>
      <w:r w:rsidRPr="00410DAB">
        <w:rPr>
          <w:rFonts w:ascii="Public Sans" w:hAnsi="Public Sans" w:cs="Arial"/>
          <w:i/>
          <w:iCs/>
          <w:szCs w:val="18"/>
        </w:rPr>
        <w:t>Ekermawi v Nine Network Australia Pty Ltd</w:t>
      </w:r>
      <w:r w:rsidRPr="00410DAB">
        <w:rPr>
          <w:rFonts w:ascii="Public Sans" w:hAnsi="Public Sans" w:cs="Arial"/>
          <w:szCs w:val="18"/>
        </w:rPr>
        <w:t xml:space="preserve"> [2019] NSWCATAD 29 [32], [102].</w:t>
      </w:r>
    </w:p>
  </w:footnote>
  <w:footnote w:id="348">
    <w:p w14:paraId="7746E050"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Anti-Discrimination NSW, </w:t>
      </w:r>
      <w:r w:rsidRPr="00410DAB">
        <w:rPr>
          <w:rFonts w:ascii="Public Sans" w:hAnsi="Public Sans" w:cs="Arial"/>
          <w:i/>
          <w:iCs/>
        </w:rPr>
        <w:t>Preliminary Submission PAD83</w:t>
      </w:r>
      <w:r w:rsidRPr="00410DAB">
        <w:rPr>
          <w:rFonts w:ascii="Public Sans" w:hAnsi="Public Sans" w:cs="Arial"/>
        </w:rPr>
        <w:t>, 9.</w:t>
      </w:r>
    </w:p>
  </w:footnote>
  <w:footnote w:id="349">
    <w:p w14:paraId="75184715"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P Ruddock, </w:t>
      </w:r>
      <w:r w:rsidRPr="00410DAB">
        <w:rPr>
          <w:rFonts w:ascii="Public Sans" w:hAnsi="Public Sans" w:cs="Arial"/>
          <w:i/>
          <w:iCs/>
          <w:color w:val="000000" w:themeColor="text1"/>
          <w:szCs w:val="18"/>
        </w:rPr>
        <w:t>Religious Freedom Review: Report of the Expert Panel</w:t>
      </w:r>
      <w:r w:rsidRPr="00410DAB">
        <w:rPr>
          <w:rFonts w:ascii="Public Sans" w:hAnsi="Public Sans" w:cs="Arial"/>
          <w:color w:val="000000" w:themeColor="text1"/>
          <w:szCs w:val="18"/>
        </w:rPr>
        <w:t xml:space="preserve"> (2018) 95, rec 16; NSW Law Reform Commission, </w:t>
      </w:r>
      <w:r w:rsidRPr="00410DAB">
        <w:rPr>
          <w:rFonts w:ascii="Public Sans" w:hAnsi="Public Sans" w:cs="Arial"/>
          <w:i/>
          <w:iCs/>
          <w:color w:val="000000" w:themeColor="text1"/>
          <w:szCs w:val="18"/>
        </w:rPr>
        <w:t>Review of the Anti-Discrimination Act 1977 (NSW)</w:t>
      </w:r>
      <w:r w:rsidRPr="00410DAB">
        <w:rPr>
          <w:rFonts w:ascii="Public Sans" w:hAnsi="Public Sans" w:cs="Arial"/>
          <w:color w:val="000000" w:themeColor="text1"/>
          <w:szCs w:val="18"/>
        </w:rPr>
        <w:t xml:space="preserve">, Report 92 (1999) rec 38; Parliament of NSW, Joint Select Committee, </w:t>
      </w:r>
      <w:r w:rsidRPr="00410DAB">
        <w:rPr>
          <w:rFonts w:ascii="Public Sans" w:hAnsi="Public Sans" w:cs="Arial"/>
          <w:i/>
          <w:iCs/>
          <w:color w:val="000000" w:themeColor="text1"/>
          <w:szCs w:val="18"/>
        </w:rPr>
        <w:t>Inquiry into the Anti-Discrimination Amendment (Religious Freedoms and Equality) Bill 2020</w:t>
      </w:r>
      <w:r w:rsidRPr="00410DAB">
        <w:rPr>
          <w:rFonts w:ascii="Public Sans" w:hAnsi="Public Sans" w:cs="Arial"/>
          <w:color w:val="000000" w:themeColor="text1"/>
          <w:szCs w:val="18"/>
        </w:rPr>
        <w:t>, Report (2021) 2–3, rec 1.</w:t>
      </w:r>
    </w:p>
  </w:footnote>
  <w:footnote w:id="350">
    <w:p w14:paraId="3F6BF1BB"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49ZE(1).</w:t>
      </w:r>
    </w:p>
  </w:footnote>
  <w:footnote w:id="351">
    <w:p w14:paraId="2B256B93" w14:textId="77777777" w:rsidR="000B3E50" w:rsidRPr="00410DAB" w:rsidRDefault="000B3E50" w:rsidP="000B3E50">
      <w:pPr>
        <w:pStyle w:val="FootnoteText"/>
        <w:rPr>
          <w:rFonts w:ascii="Public Sans" w:hAnsi="Public Sans" w:cs="Arial"/>
        </w:rPr>
      </w:pPr>
      <w:r w:rsidRPr="00410DAB">
        <w:rPr>
          <w:rStyle w:val="FootnoteReference"/>
          <w:rFonts w:cs="Arial"/>
          <w:szCs w:val="18"/>
          <w:vertAlign w:val="baseline"/>
        </w:rPr>
        <w:footnoteRef/>
      </w:r>
      <w:r w:rsidRPr="00410DAB">
        <w:rPr>
          <w:rStyle w:val="FootnoteReference"/>
          <w:szCs w:val="18"/>
          <w:vertAlign w:val="baseline"/>
        </w:rPr>
        <w:t>.</w:t>
      </w:r>
      <w:r w:rsidRPr="00410DAB">
        <w:rPr>
          <w:rFonts w:ascii="Public Sans" w:hAnsi="Public Sans" w:cs="Arial"/>
        </w:rPr>
        <w:tab/>
        <w:t xml:space="preserve">See, eg, Public Interest Advocacy Centre, </w:t>
      </w:r>
      <w:r w:rsidRPr="00410DAB">
        <w:rPr>
          <w:rFonts w:ascii="Public Sans" w:hAnsi="Public Sans" w:cs="Arial"/>
          <w:i/>
          <w:iCs/>
        </w:rPr>
        <w:t>Preliminary Submission PAD82</w:t>
      </w:r>
      <w:r w:rsidRPr="00410DAB">
        <w:rPr>
          <w:rFonts w:ascii="Public Sans" w:hAnsi="Public Sans" w:cs="Arial"/>
        </w:rPr>
        <w:t xml:space="preserve">, 11. See also Public Interest Advocacy Centre, </w:t>
      </w:r>
      <w:r w:rsidRPr="00410DAB">
        <w:rPr>
          <w:rFonts w:ascii="Public Sans" w:hAnsi="Public Sans" w:cs="Arial"/>
          <w:i/>
          <w:iCs/>
        </w:rPr>
        <w:t>Submission SV10,</w:t>
      </w:r>
      <w:r w:rsidRPr="00410DAB">
        <w:rPr>
          <w:rFonts w:ascii="Public Sans" w:hAnsi="Public Sans" w:cs="Arial"/>
        </w:rPr>
        <w:t xml:space="preserve"> 4, rec 1.</w:t>
      </w:r>
    </w:p>
  </w:footnote>
  <w:footnote w:id="352">
    <w:p w14:paraId="559CBBAB"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4(1) definition of “religious belief or activity”;</w:t>
      </w:r>
      <w:r w:rsidRPr="00410DAB">
        <w:rPr>
          <w:rFonts w:ascii="Public Sans" w:hAnsi="Public Sans" w:cs="Arial"/>
          <w:color w:val="70AD47" w:themeColor="accent6"/>
        </w:rPr>
        <w:t xml:space="preserve"> </w:t>
      </w:r>
      <w:r w:rsidRPr="00410DAB">
        <w:rPr>
          <w:rFonts w:ascii="Public Sans" w:hAnsi="Public Sans" w:cs="Arial"/>
          <w:i/>
          <w:iCs/>
        </w:rPr>
        <w:t>Anti-Discrimination Act 1991</w:t>
      </w:r>
      <w:r w:rsidRPr="00410DAB">
        <w:rPr>
          <w:rFonts w:ascii="Public Sans" w:hAnsi="Public Sans" w:cs="Arial"/>
        </w:rPr>
        <w:t xml:space="preserve"> (Qld) sch 1 definition of “religious activity”, definition of “religious belief”; </w:t>
      </w:r>
      <w:r w:rsidRPr="00410DAB">
        <w:rPr>
          <w:rFonts w:ascii="Public Sans" w:hAnsi="Public Sans" w:cs="Arial"/>
          <w:i/>
          <w:iCs/>
        </w:rPr>
        <w:t>Anti-Discrimination Act 1998</w:t>
      </w:r>
      <w:r w:rsidRPr="00410DAB">
        <w:rPr>
          <w:rFonts w:ascii="Public Sans" w:hAnsi="Public Sans" w:cs="Arial"/>
        </w:rPr>
        <w:t xml:space="preserve"> (Tas) s 3 definition of “religious activity”, definition of “religious belief or affiliation”; </w:t>
      </w:r>
      <w:r w:rsidRPr="00410DAB">
        <w:rPr>
          <w:rFonts w:ascii="Public Sans" w:hAnsi="Public Sans" w:cs="Arial"/>
          <w:i/>
          <w:iCs/>
        </w:rPr>
        <w:t>Discrimination Act 1991</w:t>
      </w:r>
      <w:r w:rsidRPr="00410DAB">
        <w:rPr>
          <w:rFonts w:ascii="Public Sans" w:hAnsi="Public Sans" w:cs="Arial"/>
        </w:rPr>
        <w:t xml:space="preserve"> (ACT) dictionary definition of “religious conviction”.</w:t>
      </w:r>
    </w:p>
  </w:footnote>
  <w:footnote w:id="353">
    <w:p w14:paraId="78D88415"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6(n), s 4(1) definition of “religious belief or activity”; </w:t>
      </w:r>
      <w:r w:rsidRPr="00410DAB">
        <w:rPr>
          <w:rFonts w:ascii="Public Sans" w:hAnsi="Public Sans" w:cs="Arial"/>
          <w:i/>
          <w:iCs/>
        </w:rPr>
        <w:t>Anti-Discrimination Act 1991</w:t>
      </w:r>
      <w:r w:rsidRPr="00410DAB">
        <w:rPr>
          <w:rFonts w:ascii="Public Sans" w:hAnsi="Public Sans" w:cs="Arial"/>
        </w:rPr>
        <w:t xml:space="preserve"> (Qld) s 7(i), sch 1 definition of “religious activity”.</w:t>
      </w:r>
    </w:p>
  </w:footnote>
  <w:footnote w:id="354">
    <w:p w14:paraId="2550083A"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Church of the New Faith v Commissioner of Pay-Roll Tax (Vic)</w:t>
      </w:r>
      <w:r w:rsidRPr="00410DAB">
        <w:rPr>
          <w:rFonts w:ascii="Public Sans" w:hAnsi="Public Sans" w:cs="Arial"/>
        </w:rPr>
        <w:t xml:space="preserve"> (1983)154 CLR 120, 136. </w:t>
      </w:r>
    </w:p>
  </w:footnote>
  <w:footnote w:id="355">
    <w:p w14:paraId="0A585072"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rPr>
        <w:t>Discrimination Act 1991</w:t>
      </w:r>
      <w:r w:rsidRPr="00410DAB">
        <w:rPr>
          <w:rFonts w:ascii="Public Sans" w:hAnsi="Public Sans" w:cs="Arial"/>
        </w:rPr>
        <w:t xml:space="preserve"> (ACT) dictionary definition of “religious conviction”; </w:t>
      </w:r>
      <w:r w:rsidRPr="00410DAB">
        <w:rPr>
          <w:rFonts w:ascii="Public Sans" w:hAnsi="Public Sans" w:cs="Arial"/>
          <w:i/>
          <w:iCs/>
          <w:szCs w:val="18"/>
        </w:rPr>
        <w:t>Anti-Discrimination Act 1992</w:t>
      </w:r>
      <w:r w:rsidRPr="00410DAB">
        <w:rPr>
          <w:rFonts w:ascii="Public Sans" w:hAnsi="Public Sans" w:cs="Arial"/>
          <w:szCs w:val="18"/>
        </w:rPr>
        <w:t xml:space="preserve"> (NT) s 4(4).</w:t>
      </w:r>
    </w:p>
  </w:footnote>
  <w:footnote w:id="356">
    <w:p w14:paraId="7912E1CE"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NSW Law Reform Commission, </w:t>
      </w:r>
      <w:r w:rsidRPr="00410DAB">
        <w:rPr>
          <w:rFonts w:ascii="Public Sans" w:hAnsi="Public Sans" w:cs="Arial"/>
          <w:i/>
          <w:iCs/>
          <w:szCs w:val="18"/>
        </w:rPr>
        <w:t>Review of the Anti-Discrimination Act 1977</w:t>
      </w:r>
      <w:r w:rsidRPr="00410DAB">
        <w:rPr>
          <w:rFonts w:ascii="Public Sans" w:hAnsi="Public Sans" w:cs="Arial"/>
          <w:szCs w:val="18"/>
        </w:rPr>
        <w:t xml:space="preserve"> </w:t>
      </w:r>
      <w:r w:rsidRPr="00410DAB">
        <w:rPr>
          <w:rFonts w:ascii="Public Sans" w:hAnsi="Public Sans" w:cs="Arial"/>
          <w:i/>
          <w:iCs/>
          <w:szCs w:val="18"/>
        </w:rPr>
        <w:t>(NSW)</w:t>
      </w:r>
      <w:r w:rsidRPr="00410DAB">
        <w:rPr>
          <w:rFonts w:ascii="Public Sans" w:hAnsi="Public Sans" w:cs="Arial"/>
          <w:szCs w:val="18"/>
        </w:rPr>
        <w:t xml:space="preserve">, Report 92 (1999) rec 38. </w:t>
      </w:r>
    </w:p>
  </w:footnote>
  <w:footnote w:id="357">
    <w:p w14:paraId="646D851C"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Law Reform Commission of Western Australia, </w:t>
      </w:r>
      <w:r w:rsidRPr="00410DAB">
        <w:rPr>
          <w:rFonts w:ascii="Public Sans" w:hAnsi="Public Sans" w:cs="Arial"/>
          <w:i/>
          <w:iCs/>
          <w:szCs w:val="18"/>
        </w:rPr>
        <w:t>Review of the Equal Opportunity Act 1984 (WA)</w:t>
      </w:r>
      <w:r w:rsidRPr="00410DAB">
        <w:rPr>
          <w:rFonts w:ascii="Public Sans" w:hAnsi="Public Sans" w:cs="Arial"/>
          <w:szCs w:val="18"/>
        </w:rPr>
        <w:t>,</w:t>
      </w:r>
      <w:r w:rsidRPr="00410DAB">
        <w:rPr>
          <w:rFonts w:ascii="Public Sans" w:hAnsi="Public Sans" w:cs="Arial"/>
          <w:i/>
          <w:iCs/>
          <w:szCs w:val="18"/>
        </w:rPr>
        <w:t xml:space="preserve"> </w:t>
      </w:r>
      <w:r w:rsidRPr="00410DAB">
        <w:rPr>
          <w:rFonts w:ascii="Public Sans" w:hAnsi="Public Sans" w:cs="Arial"/>
          <w:szCs w:val="18"/>
        </w:rPr>
        <w:t xml:space="preserve">Project 111, Final Report (2022) 112, rec 51. See also </w:t>
      </w:r>
      <w:r w:rsidRPr="00410DAB">
        <w:rPr>
          <w:rFonts w:ascii="Public Sans" w:hAnsi="Public Sans" w:cs="Arial"/>
          <w:i/>
          <w:iCs/>
          <w:szCs w:val="18"/>
        </w:rPr>
        <w:t>Equal Opportunity Act 1984</w:t>
      </w:r>
      <w:r w:rsidRPr="00410DAB">
        <w:rPr>
          <w:rFonts w:ascii="Public Sans" w:hAnsi="Public Sans" w:cs="Arial"/>
          <w:szCs w:val="18"/>
        </w:rPr>
        <w:t xml:space="preserve"> (SA) s 85ZN.</w:t>
      </w:r>
    </w:p>
  </w:footnote>
  <w:footnote w:id="358">
    <w:p w14:paraId="589864F4"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Australian Human Rights Commission</w:t>
      </w:r>
      <w:r w:rsidRPr="00410DAB">
        <w:rPr>
          <w:rFonts w:ascii="Public Sans" w:hAnsi="Public Sans" w:cs="Arial"/>
          <w:i/>
          <w:iCs/>
          <w:szCs w:val="18"/>
        </w:rPr>
        <w:t>, Free and Equal: A Reform Agenda for Federal Discrimination Laws</w:t>
      </w:r>
      <w:r w:rsidRPr="00410DAB">
        <w:rPr>
          <w:rFonts w:ascii="Public Sans" w:hAnsi="Public Sans" w:cs="Arial"/>
          <w:szCs w:val="18"/>
        </w:rPr>
        <w:t xml:space="preserve"> (2021) 261–262.</w:t>
      </w:r>
      <w:r w:rsidRPr="00410DAB">
        <w:rPr>
          <w:rFonts w:ascii="Public Sans" w:hAnsi="Public Sans"/>
          <w:szCs w:val="18"/>
        </w:rPr>
        <w:t xml:space="preserve"> </w:t>
      </w:r>
    </w:p>
  </w:footnote>
  <w:footnote w:id="359">
    <w:p w14:paraId="6965C00D"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Explanatory Notes, </w:t>
      </w:r>
      <w:r w:rsidRPr="00410DAB">
        <w:rPr>
          <w:rFonts w:ascii="Public Sans" w:hAnsi="Public Sans" w:cs="Arial"/>
          <w:i/>
          <w:iCs/>
          <w:szCs w:val="18"/>
        </w:rPr>
        <w:t>Equality Act 2010</w:t>
      </w:r>
      <w:r w:rsidRPr="00410DAB">
        <w:rPr>
          <w:rFonts w:ascii="Public Sans" w:hAnsi="Public Sans" w:cs="Arial"/>
          <w:szCs w:val="18"/>
        </w:rPr>
        <w:t xml:space="preserve"> (UK) s 10(2), [51]–[52].</w:t>
      </w:r>
    </w:p>
  </w:footnote>
  <w:footnote w:id="360">
    <w:p w14:paraId="7F85A3A3"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NSW Law Reform Commission, </w:t>
      </w:r>
      <w:r w:rsidRPr="00410DAB">
        <w:rPr>
          <w:rFonts w:ascii="Public Sans" w:hAnsi="Public Sans" w:cs="Arial"/>
          <w:i/>
          <w:iCs/>
          <w:color w:val="000000" w:themeColor="text1"/>
          <w:szCs w:val="18"/>
        </w:rPr>
        <w:t>Review of the Anti-Discrimination Act 1977 (NSW)</w:t>
      </w:r>
      <w:r w:rsidRPr="00410DAB">
        <w:rPr>
          <w:rFonts w:ascii="Public Sans" w:hAnsi="Public Sans" w:cs="Arial"/>
          <w:color w:val="000000" w:themeColor="text1"/>
          <w:szCs w:val="18"/>
        </w:rPr>
        <w:t>, Report 92 (1999) [</w:t>
      </w:r>
      <w:r w:rsidRPr="00410DAB">
        <w:rPr>
          <w:rFonts w:ascii="Public Sans" w:hAnsi="Public Sans" w:cs="Arial"/>
          <w:color w:val="000000" w:themeColor="text1"/>
          <w:szCs w:val="18"/>
          <w:lang w:eastAsia="en-AU"/>
        </w:rPr>
        <w:t>5.14], rec 30.</w:t>
      </w:r>
    </w:p>
  </w:footnote>
  <w:footnote w:id="361">
    <w:p w14:paraId="44E39A27"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Law Reform Commission of Western Australia, </w:t>
      </w:r>
      <w:r w:rsidRPr="00410DAB">
        <w:rPr>
          <w:rFonts w:ascii="Public Sans" w:hAnsi="Public Sans" w:cs="Arial"/>
          <w:i/>
          <w:iCs/>
          <w:color w:val="000000" w:themeColor="text1"/>
          <w:szCs w:val="18"/>
        </w:rPr>
        <w:t>Review of the Equal Opportunity Act 1984 (WA)</w:t>
      </w:r>
      <w:r w:rsidRPr="00410DAB">
        <w:rPr>
          <w:rFonts w:ascii="Public Sans" w:hAnsi="Public Sans" w:cs="Arial"/>
          <w:color w:val="000000" w:themeColor="text1"/>
          <w:szCs w:val="18"/>
        </w:rPr>
        <w:t xml:space="preserve">, </w:t>
      </w:r>
      <w:r w:rsidRPr="00410DAB">
        <w:rPr>
          <w:rFonts w:ascii="Public Sans" w:hAnsi="Public Sans" w:cs="Arial"/>
          <w:i/>
          <w:iCs/>
          <w:color w:val="000000" w:themeColor="text1"/>
          <w:szCs w:val="18"/>
        </w:rPr>
        <w:t>P</w:t>
      </w:r>
      <w:r w:rsidRPr="00410DAB">
        <w:rPr>
          <w:rFonts w:ascii="Public Sans" w:hAnsi="Public Sans" w:cs="Arial"/>
          <w:color w:val="000000" w:themeColor="text1"/>
          <w:szCs w:val="18"/>
        </w:rPr>
        <w:t>roject 111, Final Report (2022) 106–107.</w:t>
      </w:r>
    </w:p>
  </w:footnote>
  <w:footnote w:id="362">
    <w:p w14:paraId="6A9DA068"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szCs w:val="18"/>
        </w:rPr>
        <w:t xml:space="preserve">See </w:t>
      </w:r>
      <w:r w:rsidRPr="00410DAB">
        <w:rPr>
          <w:rFonts w:ascii="Public Sans" w:hAnsi="Public Sans" w:cs="Arial"/>
          <w:i/>
          <w:iCs/>
          <w:szCs w:val="18"/>
        </w:rPr>
        <w:t>Equal Opportunity Act</w:t>
      </w:r>
      <w:r w:rsidRPr="00410DAB">
        <w:rPr>
          <w:rFonts w:ascii="Public Sans" w:hAnsi="Public Sans" w:cs="Arial"/>
          <w:szCs w:val="18"/>
        </w:rPr>
        <w:t xml:space="preserve"> (2010) (Vic) s 6(oa); </w:t>
      </w:r>
      <w:r w:rsidRPr="00410DAB">
        <w:rPr>
          <w:rFonts w:ascii="Public Sans" w:hAnsi="Public Sans" w:cs="Arial"/>
          <w:i/>
          <w:iCs/>
          <w:szCs w:val="18"/>
        </w:rPr>
        <w:t>Discrimination Act 1991</w:t>
      </w:r>
      <w:r w:rsidRPr="00410DAB">
        <w:rPr>
          <w:rFonts w:ascii="Public Sans" w:hAnsi="Public Sans" w:cs="Arial"/>
          <w:szCs w:val="18"/>
        </w:rPr>
        <w:t xml:space="preserve"> (ACT) s 7(v); </w:t>
      </w:r>
      <w:r w:rsidRPr="00410DAB">
        <w:rPr>
          <w:rFonts w:ascii="Public Sans" w:hAnsi="Public Sans" w:cs="Arial"/>
          <w:i/>
          <w:iCs/>
          <w:szCs w:val="18"/>
        </w:rPr>
        <w:t>Sex Discrimination Act 1984</w:t>
      </w:r>
      <w:r w:rsidRPr="00410DAB">
        <w:rPr>
          <w:rFonts w:ascii="Public Sans" w:hAnsi="Public Sans" w:cs="Arial"/>
          <w:szCs w:val="18"/>
        </w:rPr>
        <w:t xml:space="preserve"> (Cth) s 5C; </w:t>
      </w:r>
      <w:r w:rsidRPr="00410DAB">
        <w:rPr>
          <w:rFonts w:ascii="Public Sans" w:hAnsi="Public Sans" w:cs="Arial"/>
          <w:i/>
          <w:iCs/>
          <w:szCs w:val="18"/>
        </w:rPr>
        <w:t>Equal Opportunity Act 1984</w:t>
      </w:r>
      <w:r w:rsidRPr="00410DAB">
        <w:rPr>
          <w:rFonts w:ascii="Public Sans" w:hAnsi="Public Sans" w:cs="Arial"/>
          <w:szCs w:val="18"/>
        </w:rPr>
        <w:t xml:space="preserve"> (SA) s 29; </w:t>
      </w:r>
      <w:r w:rsidRPr="00410DAB">
        <w:rPr>
          <w:rFonts w:ascii="Public Sans" w:hAnsi="Public Sans" w:cs="Arial"/>
          <w:i/>
          <w:iCs/>
          <w:szCs w:val="18"/>
        </w:rPr>
        <w:t xml:space="preserve">Anti-Discrimination Act 1998 </w:t>
      </w:r>
      <w:r w:rsidRPr="00410DAB">
        <w:rPr>
          <w:rFonts w:ascii="Public Sans" w:hAnsi="Public Sans" w:cs="Arial"/>
          <w:szCs w:val="18"/>
        </w:rPr>
        <w:t xml:space="preserve">(Tas) s 16(eb); </w:t>
      </w:r>
      <w:r w:rsidRPr="00410DAB">
        <w:rPr>
          <w:rFonts w:ascii="Public Sans" w:hAnsi="Public Sans" w:cs="Arial"/>
          <w:i/>
          <w:iCs/>
          <w:szCs w:val="18"/>
        </w:rPr>
        <w:t>Anti-Discrimination Act 1992</w:t>
      </w:r>
      <w:r w:rsidRPr="00410DAB">
        <w:rPr>
          <w:rFonts w:ascii="Public Sans" w:hAnsi="Public Sans" w:cs="Arial"/>
          <w:szCs w:val="18"/>
        </w:rPr>
        <w:t xml:space="preserve"> (NT) s 19(ca); </w:t>
      </w:r>
      <w:r w:rsidRPr="00410DAB">
        <w:rPr>
          <w:rFonts w:ascii="Public Sans" w:hAnsi="Public Sans" w:cs="Arial"/>
          <w:i/>
          <w:iCs/>
          <w:szCs w:val="18"/>
        </w:rPr>
        <w:t>Anti-Discrimination Act 1991</w:t>
      </w:r>
      <w:r w:rsidRPr="00410DAB">
        <w:rPr>
          <w:rFonts w:ascii="Public Sans" w:hAnsi="Public Sans" w:cs="Arial"/>
          <w:szCs w:val="18"/>
        </w:rPr>
        <w:t xml:space="preserve"> (Qld) s 7(o).</w:t>
      </w:r>
      <w:r w:rsidRPr="00410DAB">
        <w:rPr>
          <w:rFonts w:ascii="Public Sans" w:hAnsi="Public Sans" w:cs="Arial"/>
          <w:color w:val="FF0000"/>
          <w:szCs w:val="18"/>
        </w:rPr>
        <w:t xml:space="preserve"> </w:t>
      </w:r>
      <w:r w:rsidRPr="00410DAB">
        <w:rPr>
          <w:rFonts w:ascii="Public Sans" w:hAnsi="Public Sans" w:cs="Arial"/>
          <w:szCs w:val="18"/>
        </w:rPr>
        <w:t xml:space="preserve">See also </w:t>
      </w:r>
      <w:r w:rsidRPr="00410DAB">
        <w:rPr>
          <w:rFonts w:ascii="Public Sans" w:hAnsi="Public Sans" w:cs="Arial"/>
          <w:i/>
          <w:iCs/>
          <w:szCs w:val="18"/>
        </w:rPr>
        <w:t>Fair Work Act 2009</w:t>
      </w:r>
      <w:r w:rsidRPr="00410DAB">
        <w:rPr>
          <w:rFonts w:ascii="Public Sans" w:hAnsi="Public Sans" w:cs="Arial"/>
          <w:szCs w:val="18"/>
        </w:rPr>
        <w:t xml:space="preserve"> (Cth) s 351(1).</w:t>
      </w:r>
    </w:p>
  </w:footnote>
  <w:footnote w:id="363">
    <w:p w14:paraId="3C1FB89B" w14:textId="77777777" w:rsidR="000B3E50" w:rsidRPr="00410DAB" w:rsidRDefault="000B3E50" w:rsidP="000B3E50">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Intersex Human Rights Australia, </w:t>
      </w:r>
      <w:r w:rsidRPr="00410DAB">
        <w:rPr>
          <w:rFonts w:ascii="Public Sans" w:hAnsi="Public Sans" w:cs="Arial"/>
          <w:i/>
          <w:iCs/>
          <w:color w:val="000000" w:themeColor="text1"/>
        </w:rPr>
        <w:t>Preliminary Submission PAD02</w:t>
      </w:r>
      <w:r w:rsidRPr="00410DAB">
        <w:rPr>
          <w:rFonts w:ascii="Public Sans" w:hAnsi="Public Sans" w:cs="Arial"/>
          <w:color w:val="000000" w:themeColor="text1"/>
        </w:rPr>
        <w:t>, 18.</w:t>
      </w:r>
    </w:p>
  </w:footnote>
  <w:footnote w:id="364">
    <w:p w14:paraId="27F9F1B2"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Crimes Act 1900</w:t>
      </w:r>
      <w:r w:rsidRPr="00410DAB">
        <w:rPr>
          <w:rFonts w:ascii="Public Sans" w:hAnsi="Public Sans" w:cs="Arial"/>
          <w:szCs w:val="18"/>
        </w:rPr>
        <w:t xml:space="preserve"> (NSW) s 93Z(5) definition of “intersex status”.</w:t>
      </w:r>
    </w:p>
  </w:footnote>
  <w:footnote w:id="365">
    <w:p w14:paraId="3AB9F5E8"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4 definition of “intersex status”, s 5C; </w:t>
      </w:r>
      <w:r w:rsidRPr="00410DAB">
        <w:rPr>
          <w:rFonts w:ascii="Public Sans" w:hAnsi="Public Sans" w:cs="Arial"/>
          <w:i/>
          <w:iCs/>
          <w:szCs w:val="18"/>
        </w:rPr>
        <w:t>Fair Work Act 2009</w:t>
      </w:r>
      <w:r w:rsidRPr="00410DAB">
        <w:rPr>
          <w:rFonts w:ascii="Public Sans" w:hAnsi="Public Sans" w:cs="Arial"/>
          <w:szCs w:val="18"/>
        </w:rPr>
        <w:t xml:space="preserve"> (Cth) s 12 definition of “intersex status”, s 351(1), s 772(1)(f).</w:t>
      </w:r>
    </w:p>
  </w:footnote>
  <w:footnote w:id="366">
    <w:p w14:paraId="0B1BA09F"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315, citing </w:t>
      </w:r>
      <w:bookmarkStart w:id="208" w:name="_Hlk191458206"/>
      <w:r w:rsidRPr="00410DAB">
        <w:rPr>
          <w:rFonts w:ascii="Public Sans" w:hAnsi="Public Sans" w:cs="Arial"/>
          <w:i/>
          <w:iCs/>
          <w:szCs w:val="18"/>
        </w:rPr>
        <w:t xml:space="preserve">The Yogyakarta Principles Plus 10 </w:t>
      </w:r>
      <w:r w:rsidRPr="00410DAB">
        <w:rPr>
          <w:rFonts w:ascii="Public Sans" w:hAnsi="Public Sans" w:cs="Arial"/>
          <w:szCs w:val="18"/>
        </w:rPr>
        <w:t xml:space="preserve">(adopted 10 November 2017, Geneva) 7. See also Intersex Human Rights Australia, </w:t>
      </w:r>
      <w:r w:rsidRPr="00410DAB">
        <w:rPr>
          <w:rFonts w:ascii="Public Sans" w:hAnsi="Public Sans" w:cs="Arial"/>
          <w:i/>
          <w:iCs/>
          <w:szCs w:val="18"/>
        </w:rPr>
        <w:t>Preliminary Submission PAD02</w:t>
      </w:r>
      <w:r w:rsidRPr="00410DAB">
        <w:rPr>
          <w:rFonts w:ascii="Public Sans" w:hAnsi="Public Sans" w:cs="Arial"/>
          <w:szCs w:val="18"/>
        </w:rPr>
        <w:t>, 8.</w:t>
      </w:r>
    </w:p>
    <w:bookmarkEnd w:id="208"/>
  </w:footnote>
  <w:footnote w:id="367">
    <w:p w14:paraId="3DEDB759"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Discrimination Act 1991</w:t>
      </w:r>
      <w:r w:rsidRPr="00410DAB">
        <w:rPr>
          <w:rFonts w:ascii="Public Sans" w:hAnsi="Public Sans" w:cs="Arial"/>
          <w:color w:val="000000" w:themeColor="text1"/>
          <w:szCs w:val="18"/>
        </w:rPr>
        <w:t xml:space="preserve"> (ACT) s 7(v) dictionary definition of “sex characteristics”; </w:t>
      </w:r>
      <w:r w:rsidRPr="00410DAB">
        <w:rPr>
          <w:rFonts w:ascii="Public Sans" w:hAnsi="Public Sans" w:cs="Arial"/>
          <w:i/>
          <w:iCs/>
          <w:color w:val="000000" w:themeColor="text1"/>
          <w:szCs w:val="18"/>
        </w:rPr>
        <w:t>Equal Opportunity Act</w:t>
      </w:r>
      <w:r w:rsidRPr="00410DAB">
        <w:rPr>
          <w:rFonts w:ascii="Public Sans" w:hAnsi="Public Sans" w:cs="Arial"/>
          <w:color w:val="000000" w:themeColor="text1"/>
          <w:szCs w:val="18"/>
        </w:rPr>
        <w:t xml:space="preserve"> (2010) (Vic) s 4(1) definition of “sex characteristics”; </w:t>
      </w:r>
      <w:r w:rsidRPr="00410DAB">
        <w:rPr>
          <w:rFonts w:ascii="Public Sans" w:hAnsi="Public Sans" w:cs="Arial"/>
          <w:i/>
          <w:iCs/>
          <w:color w:val="000000" w:themeColor="text1"/>
          <w:szCs w:val="18"/>
        </w:rPr>
        <w:t xml:space="preserve">Anti-Discrimination Act 1998 </w:t>
      </w:r>
      <w:r w:rsidRPr="00410DAB">
        <w:rPr>
          <w:rFonts w:ascii="Public Sans" w:hAnsi="Public Sans" w:cs="Arial"/>
          <w:color w:val="000000" w:themeColor="text1"/>
          <w:szCs w:val="18"/>
        </w:rPr>
        <w:t xml:space="preserve">(Tas) s 3 definition of “sex characteristics”; </w:t>
      </w:r>
      <w:r w:rsidRPr="00410DAB">
        <w:rPr>
          <w:rFonts w:ascii="Public Sans" w:hAnsi="Public Sans" w:cs="Arial"/>
          <w:i/>
          <w:iCs/>
          <w:color w:val="000000" w:themeColor="text1"/>
          <w:szCs w:val="18"/>
        </w:rPr>
        <w:t>Anti-Discrimination Act 1992</w:t>
      </w:r>
      <w:r w:rsidRPr="00410DAB">
        <w:rPr>
          <w:rFonts w:ascii="Public Sans" w:hAnsi="Public Sans" w:cs="Arial"/>
          <w:color w:val="000000" w:themeColor="text1"/>
          <w:szCs w:val="18"/>
        </w:rPr>
        <w:t xml:space="preserve"> (NT) s 4(1) definition of “sex characteristics”; </w:t>
      </w:r>
      <w:r w:rsidRPr="00410DAB">
        <w:rPr>
          <w:rFonts w:ascii="Public Sans" w:hAnsi="Public Sans" w:cs="Arial"/>
          <w:i/>
          <w:iCs/>
          <w:color w:val="000000" w:themeColor="text1"/>
          <w:szCs w:val="18"/>
        </w:rPr>
        <w:t xml:space="preserve">Anti-Discrimination Act 1991 </w:t>
      </w:r>
      <w:r w:rsidRPr="00410DAB">
        <w:rPr>
          <w:rFonts w:ascii="Public Sans" w:hAnsi="Public Sans" w:cs="Arial"/>
          <w:color w:val="000000" w:themeColor="text1"/>
          <w:szCs w:val="18"/>
        </w:rPr>
        <w:t xml:space="preserve">(Qld) sch 1 definition of “sex characteristics”. See also Law Reform Commission of Western Australia, </w:t>
      </w:r>
      <w:r w:rsidRPr="00410DAB">
        <w:rPr>
          <w:rFonts w:ascii="Public Sans" w:hAnsi="Public Sans" w:cs="Arial"/>
          <w:i/>
          <w:iCs/>
          <w:color w:val="000000" w:themeColor="text1"/>
          <w:szCs w:val="18"/>
        </w:rPr>
        <w:t>Review of the Equal Opportunity Act 1984 (WA)</w:t>
      </w:r>
      <w:r w:rsidRPr="00410DAB">
        <w:rPr>
          <w:rFonts w:ascii="Public Sans" w:hAnsi="Public Sans" w:cs="Arial"/>
          <w:color w:val="000000" w:themeColor="text1"/>
          <w:szCs w:val="18"/>
        </w:rPr>
        <w:t>,</w:t>
      </w:r>
      <w:r w:rsidRPr="00410DAB">
        <w:rPr>
          <w:rFonts w:ascii="Public Sans" w:hAnsi="Public Sans" w:cs="Arial"/>
          <w:i/>
          <w:iCs/>
          <w:color w:val="000000" w:themeColor="text1"/>
          <w:szCs w:val="18"/>
        </w:rPr>
        <w:t xml:space="preserve"> P</w:t>
      </w:r>
      <w:r w:rsidRPr="00410DAB">
        <w:rPr>
          <w:rFonts w:ascii="Public Sans" w:hAnsi="Public Sans" w:cs="Arial"/>
          <w:color w:val="000000" w:themeColor="text1"/>
          <w:szCs w:val="18"/>
        </w:rPr>
        <w:t>roject 111, Final Report (2022) 116, rec 52, rec 53.</w:t>
      </w:r>
    </w:p>
  </w:footnote>
  <w:footnote w:id="368">
    <w:p w14:paraId="639FA506"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Equality Australia, </w:t>
      </w:r>
      <w:r w:rsidRPr="00410DAB">
        <w:rPr>
          <w:rFonts w:ascii="Public Sans" w:hAnsi="Public Sans" w:cs="Arial"/>
          <w:i/>
          <w:iCs/>
          <w:szCs w:val="18"/>
        </w:rPr>
        <w:t>Preliminary Submission PAD07</w:t>
      </w:r>
      <w:r w:rsidRPr="00410DAB">
        <w:rPr>
          <w:rFonts w:ascii="Public Sans" w:hAnsi="Public Sans" w:cs="Arial"/>
          <w:szCs w:val="18"/>
        </w:rPr>
        <w:t>, 8.</w:t>
      </w:r>
    </w:p>
  </w:footnote>
  <w:footnote w:id="369">
    <w:p w14:paraId="7E8AD342"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Equality Legislation Amendment (LGBTIQA+) Bill 2023 (NSW), First Print, sch 1 [13].</w:t>
      </w:r>
    </w:p>
  </w:footnote>
  <w:footnote w:id="370">
    <w:p w14:paraId="2ED78363" w14:textId="77777777" w:rsidR="000B3E50" w:rsidRPr="00410DAB" w:rsidRDefault="000B3E50" w:rsidP="000B3E50">
      <w:pPr>
        <w:pStyle w:val="FootnoteText"/>
        <w:rPr>
          <w:rFonts w:ascii="Public Sans" w:hAnsi="Public Sans" w:cs="Arial"/>
          <w:b/>
          <w:bCs/>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i/>
          <w:iCs/>
        </w:rPr>
        <w:t>Equality Legislation Amendment (LGBTIQA+) Act 2024</w:t>
      </w:r>
      <w:r w:rsidRPr="00410DAB">
        <w:rPr>
          <w:rFonts w:ascii="Public Sans" w:hAnsi="Public Sans" w:cs="Arial"/>
        </w:rPr>
        <w:t xml:space="preserve"> (NSW) sch 2 [1], amending </w:t>
      </w:r>
      <w:r w:rsidRPr="00410DAB">
        <w:rPr>
          <w:rFonts w:ascii="Public Sans" w:hAnsi="Public Sans" w:cs="Arial"/>
          <w:i/>
          <w:iCs/>
        </w:rPr>
        <w:t>Children and Young Persons (Care and Protection) Act 1998</w:t>
      </w:r>
      <w:r w:rsidRPr="00410DAB">
        <w:rPr>
          <w:rFonts w:ascii="Public Sans" w:hAnsi="Public Sans" w:cs="Arial"/>
        </w:rPr>
        <w:t xml:space="preserve"> (NSW) s 9(2)(b) (to commence 1 July 2025).</w:t>
      </w:r>
    </w:p>
  </w:footnote>
  <w:footnote w:id="371">
    <w:p w14:paraId="1CD842E9"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Respect Inc, </w:t>
      </w:r>
      <w:r w:rsidRPr="00410DAB">
        <w:rPr>
          <w:rFonts w:ascii="Public Sans" w:hAnsi="Public Sans" w:cs="Arial"/>
          <w:i/>
          <w:iCs/>
        </w:rPr>
        <w:t>Preliminary Submission PAD57</w:t>
      </w:r>
      <w:r w:rsidRPr="00410DAB">
        <w:rPr>
          <w:rFonts w:ascii="Public Sans" w:hAnsi="Public Sans" w:cs="Arial"/>
        </w:rPr>
        <w:t>, 2, 4.</w:t>
      </w:r>
    </w:p>
  </w:footnote>
  <w:footnote w:id="372">
    <w:p w14:paraId="2F8BA53C"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1991</w:t>
      </w:r>
      <w:r w:rsidRPr="00410DAB">
        <w:rPr>
          <w:rFonts w:ascii="Public Sans" w:hAnsi="Public Sans" w:cs="Arial"/>
          <w:szCs w:val="18"/>
        </w:rPr>
        <w:t xml:space="preserve"> (Qld) s 7(l), sch 1 definition of “sex work activity”. See also </w:t>
      </w:r>
      <w:r w:rsidRPr="00410DAB">
        <w:rPr>
          <w:rFonts w:ascii="Public Sans" w:hAnsi="Public Sans" w:cs="Arial"/>
          <w:i/>
          <w:iCs/>
          <w:szCs w:val="18"/>
        </w:rPr>
        <w:t>Anti-Discrimination Act 1992</w:t>
      </w:r>
      <w:r w:rsidRPr="00410DAB">
        <w:rPr>
          <w:rFonts w:ascii="Public Sans" w:hAnsi="Public Sans" w:cs="Arial"/>
          <w:szCs w:val="18"/>
        </w:rPr>
        <w:t xml:space="preserve"> (NT) s 4(1) definition of “sex work”, s 19(1)(ec).</w:t>
      </w:r>
    </w:p>
  </w:footnote>
  <w:footnote w:id="373">
    <w:p w14:paraId="1B4EB84E"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290.</w:t>
      </w:r>
    </w:p>
  </w:footnote>
  <w:footnote w:id="374">
    <w:p w14:paraId="36014315"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Equality Legislation Amendment (LGBTIQA+) Bill 2023 (NSW), First Print, sch 1 [39].</w:t>
      </w:r>
    </w:p>
  </w:footnote>
  <w:footnote w:id="375">
    <w:p w14:paraId="69773FB0"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Anti-Discrimination Act 1998</w:t>
      </w:r>
      <w:r w:rsidRPr="00410DAB">
        <w:rPr>
          <w:rFonts w:ascii="Public Sans" w:hAnsi="Public Sans" w:cs="Arial"/>
          <w:color w:val="000000" w:themeColor="text1"/>
          <w:szCs w:val="18"/>
        </w:rPr>
        <w:t xml:space="preserve"> (Tas) s 3 definition of “sexual activity”; </w:t>
      </w:r>
      <w:r w:rsidRPr="00410DAB">
        <w:rPr>
          <w:rFonts w:ascii="Public Sans" w:hAnsi="Public Sans" w:cs="Arial"/>
          <w:i/>
          <w:iCs/>
          <w:color w:val="000000" w:themeColor="text1"/>
          <w:szCs w:val="18"/>
        </w:rPr>
        <w:t>Equal Opportunity Act 2010</w:t>
      </w:r>
      <w:r w:rsidRPr="00410DAB">
        <w:rPr>
          <w:rFonts w:ascii="Public Sans" w:hAnsi="Public Sans" w:cs="Arial"/>
          <w:color w:val="000000" w:themeColor="text1"/>
          <w:szCs w:val="18"/>
        </w:rPr>
        <w:t xml:space="preserve"> (Vic) s 4(1) definition of “lawful sexual activity”.</w:t>
      </w:r>
    </w:p>
  </w:footnote>
  <w:footnote w:id="376">
    <w:p w14:paraId="1ED33295" w14:textId="77777777" w:rsidR="000B3E50" w:rsidRPr="00410DAB" w:rsidRDefault="000B3E50" w:rsidP="000B3E50">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szCs w:val="18"/>
        </w:rPr>
        <w:t xml:space="preserve">Equal Opportunity Act 2010 </w:t>
      </w:r>
      <w:r w:rsidRPr="00410DAB">
        <w:rPr>
          <w:rFonts w:ascii="Public Sans" w:hAnsi="Public Sans" w:cs="Arial"/>
          <w:color w:val="000000" w:themeColor="text1"/>
          <w:szCs w:val="18"/>
        </w:rPr>
        <w:t xml:space="preserve">(Vic) s 62, repealed by </w:t>
      </w:r>
      <w:r w:rsidRPr="00410DAB">
        <w:rPr>
          <w:rFonts w:ascii="Public Sans" w:hAnsi="Public Sans" w:cs="Arial"/>
          <w:i/>
          <w:iCs/>
          <w:color w:val="000000" w:themeColor="text1"/>
          <w:szCs w:val="18"/>
        </w:rPr>
        <w:t>Sex Work Decriminalisation Act 2022</w:t>
      </w:r>
      <w:r w:rsidRPr="00410DAB">
        <w:rPr>
          <w:rFonts w:ascii="Public Sans" w:hAnsi="Public Sans" w:cs="Arial"/>
          <w:color w:val="000000" w:themeColor="text1"/>
          <w:szCs w:val="18"/>
        </w:rPr>
        <w:t xml:space="preserve"> (Vic) s 36; </w:t>
      </w:r>
      <w:r w:rsidRPr="00410DAB">
        <w:rPr>
          <w:rFonts w:ascii="Public Sans" w:hAnsi="Public Sans" w:cs="Arial"/>
          <w:i/>
          <w:iCs/>
          <w:color w:val="000000" w:themeColor="text1"/>
          <w:szCs w:val="18"/>
        </w:rPr>
        <w:t>Anti-Discrimination Act 1991</w:t>
      </w:r>
      <w:r w:rsidRPr="00410DAB">
        <w:rPr>
          <w:rFonts w:ascii="Public Sans" w:hAnsi="Public Sans" w:cs="Arial"/>
          <w:color w:val="000000" w:themeColor="text1"/>
          <w:szCs w:val="18"/>
        </w:rPr>
        <w:t xml:space="preserve"> (Qld) s 106C, repealed by </w:t>
      </w:r>
      <w:r w:rsidRPr="00410DAB">
        <w:rPr>
          <w:rFonts w:ascii="Public Sans" w:hAnsi="Public Sans" w:cs="Arial"/>
          <w:i/>
          <w:iCs/>
          <w:color w:val="000000" w:themeColor="text1"/>
          <w:szCs w:val="18"/>
        </w:rPr>
        <w:t xml:space="preserve">Criminal Code (Decriminalising Sex Work) and Other Legislation Amendment Act 2024 </w:t>
      </w:r>
      <w:r w:rsidRPr="00410DAB">
        <w:rPr>
          <w:rFonts w:ascii="Public Sans" w:hAnsi="Public Sans" w:cs="Arial"/>
          <w:color w:val="000000" w:themeColor="text1"/>
          <w:szCs w:val="18"/>
        </w:rPr>
        <w:t>(Qld) s 5.</w:t>
      </w:r>
    </w:p>
  </w:footnote>
  <w:footnote w:id="377">
    <w:p w14:paraId="27484A55" w14:textId="77777777" w:rsidR="000B3E50" w:rsidRPr="00410DAB" w:rsidRDefault="000B3E50" w:rsidP="000B3E50">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Explanatory Memorandum, Sex Work Decriminalisation Bill 2021 (Vic) cl 36.</w:t>
      </w:r>
    </w:p>
  </w:footnote>
  <w:footnote w:id="378">
    <w:p w14:paraId="1B586E4E" w14:textId="77777777" w:rsidR="000B3E50" w:rsidRPr="00410DAB" w:rsidRDefault="000B3E50" w:rsidP="000B3E50">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Queensland Law Reform Commission, </w:t>
      </w:r>
      <w:r w:rsidRPr="00410DAB">
        <w:rPr>
          <w:rFonts w:ascii="Public Sans" w:hAnsi="Public Sans" w:cs="Arial"/>
          <w:i/>
          <w:iCs/>
          <w:color w:val="000000" w:themeColor="text1"/>
        </w:rPr>
        <w:t>A Decriminalised Sex-Work Industry for Queensland</w:t>
      </w:r>
      <w:r w:rsidRPr="00410DAB">
        <w:rPr>
          <w:rFonts w:ascii="Public Sans" w:hAnsi="Public Sans" w:cs="Arial"/>
          <w:color w:val="000000" w:themeColor="text1"/>
        </w:rPr>
        <w:t>, Report (2023) vol 1 [4.95], [4.97].</w:t>
      </w:r>
    </w:p>
  </w:footnote>
  <w:footnote w:id="379">
    <w:p w14:paraId="2A8C6E7E" w14:textId="77777777" w:rsidR="000B3E50" w:rsidRPr="00410DAB" w:rsidRDefault="000B3E50" w:rsidP="000B3E50">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color w:val="000000" w:themeColor="text1"/>
          <w:szCs w:val="18"/>
        </w:rPr>
        <w:t xml:space="preserve">Law Reform Commission of Western Australia, </w:t>
      </w:r>
      <w:r w:rsidRPr="00410DAB">
        <w:rPr>
          <w:rFonts w:ascii="Public Sans" w:hAnsi="Public Sans" w:cs="Arial"/>
          <w:i/>
          <w:iCs/>
          <w:color w:val="000000" w:themeColor="text1"/>
          <w:szCs w:val="18"/>
        </w:rPr>
        <w:t>Review of the Equal Opportunity Act 1984 (WA)</w:t>
      </w:r>
      <w:r w:rsidRPr="00410DAB">
        <w:rPr>
          <w:rFonts w:ascii="Public Sans" w:hAnsi="Public Sans" w:cs="Arial"/>
          <w:color w:val="000000" w:themeColor="text1"/>
          <w:szCs w:val="18"/>
        </w:rPr>
        <w:t>,</w:t>
      </w:r>
      <w:r w:rsidRPr="00410DAB">
        <w:rPr>
          <w:rFonts w:ascii="Public Sans" w:hAnsi="Public Sans" w:cs="Arial"/>
          <w:i/>
          <w:iCs/>
          <w:color w:val="000000" w:themeColor="text1"/>
          <w:szCs w:val="18"/>
        </w:rPr>
        <w:t xml:space="preserve"> </w:t>
      </w:r>
      <w:r w:rsidRPr="00410DAB">
        <w:rPr>
          <w:rFonts w:ascii="Public Sans" w:hAnsi="Public Sans" w:cs="Arial"/>
          <w:color w:val="000000" w:themeColor="text1"/>
          <w:szCs w:val="18"/>
        </w:rPr>
        <w:t xml:space="preserve">Project 111, Final Report (2022) 94. But see Law Reform Commission of Western Australia, </w:t>
      </w:r>
      <w:r w:rsidRPr="00410DAB">
        <w:rPr>
          <w:rFonts w:ascii="Public Sans" w:hAnsi="Public Sans" w:cs="Arial"/>
          <w:i/>
          <w:iCs/>
          <w:color w:val="000000" w:themeColor="text1"/>
          <w:szCs w:val="18"/>
        </w:rPr>
        <w:t>Review of the Equal Opportunity Act 1984 (WA)</w:t>
      </w:r>
      <w:r w:rsidRPr="00410DAB">
        <w:rPr>
          <w:rFonts w:ascii="Public Sans" w:hAnsi="Public Sans" w:cs="Arial"/>
          <w:color w:val="000000" w:themeColor="text1"/>
          <w:szCs w:val="18"/>
        </w:rPr>
        <w:t>,</w:t>
      </w:r>
      <w:r w:rsidRPr="00410DAB">
        <w:rPr>
          <w:rFonts w:ascii="Public Sans" w:hAnsi="Public Sans" w:cs="Arial"/>
          <w:i/>
          <w:iCs/>
          <w:color w:val="000000" w:themeColor="text1"/>
          <w:szCs w:val="18"/>
        </w:rPr>
        <w:t xml:space="preserve"> </w:t>
      </w:r>
      <w:r w:rsidRPr="00410DAB">
        <w:rPr>
          <w:rFonts w:ascii="Public Sans" w:hAnsi="Public Sans" w:cs="Arial"/>
          <w:color w:val="000000" w:themeColor="text1"/>
          <w:szCs w:val="18"/>
        </w:rPr>
        <w:t>Project 111, Final Report (2022) rec 39, rec 90.</w:t>
      </w:r>
    </w:p>
  </w:footnote>
  <w:footnote w:id="380">
    <w:p w14:paraId="6877AE8A"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 xml:space="preserve">Equal Opportunity Act 2010 </w:t>
      </w:r>
      <w:r w:rsidRPr="00410DAB">
        <w:rPr>
          <w:rFonts w:ascii="Public Sans" w:hAnsi="Public Sans" w:cs="Arial"/>
          <w:color w:val="000000" w:themeColor="text1"/>
          <w:szCs w:val="18"/>
        </w:rPr>
        <w:t xml:space="preserve">(Vic) s 6(la); </w:t>
      </w:r>
      <w:r w:rsidRPr="00410DAB">
        <w:rPr>
          <w:rFonts w:ascii="Public Sans" w:hAnsi="Public Sans" w:cs="Arial"/>
          <w:i/>
          <w:iCs/>
          <w:color w:val="000000" w:themeColor="text1"/>
          <w:szCs w:val="18"/>
        </w:rPr>
        <w:t>Discrimination Act 1991</w:t>
      </w:r>
      <w:r w:rsidRPr="00410DAB">
        <w:rPr>
          <w:rFonts w:ascii="Public Sans" w:hAnsi="Public Sans" w:cs="Arial"/>
          <w:color w:val="000000" w:themeColor="text1"/>
          <w:szCs w:val="18"/>
        </w:rPr>
        <w:t xml:space="preserve"> (ACT) s 7(1)(p). </w:t>
      </w:r>
    </w:p>
  </w:footnote>
  <w:footnote w:id="381">
    <w:p w14:paraId="526FCB02"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Equal Opportunity Act 2010</w:t>
      </w:r>
      <w:r w:rsidRPr="00410DAB">
        <w:rPr>
          <w:rFonts w:ascii="Public Sans" w:hAnsi="Public Sans" w:cs="Arial"/>
          <w:color w:val="000000" w:themeColor="text1"/>
          <w:szCs w:val="18"/>
        </w:rPr>
        <w:t xml:space="preserve"> (Vic) s 6(la); Explanatory Memorandum, Sex Work Decriminalisation Bill 2021 (Vic) cl 34.]</w:t>
      </w:r>
    </w:p>
  </w:footnote>
  <w:footnote w:id="382">
    <w:p w14:paraId="25CBF4A1"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Equal Opportunity Act 2010</w:t>
      </w:r>
      <w:r w:rsidRPr="00410DAB">
        <w:rPr>
          <w:rFonts w:ascii="Public Sans" w:hAnsi="Public Sans" w:cs="Arial"/>
          <w:color w:val="000000" w:themeColor="text1"/>
          <w:szCs w:val="18"/>
        </w:rPr>
        <w:t xml:space="preserve"> (Vic) s 26(5).</w:t>
      </w:r>
    </w:p>
  </w:footnote>
  <w:footnote w:id="383">
    <w:p w14:paraId="1C74835B"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 xml:space="preserve">Discrimination Act 1991 </w:t>
      </w:r>
      <w:r w:rsidRPr="00410DAB">
        <w:rPr>
          <w:rFonts w:ascii="Public Sans" w:hAnsi="Public Sans" w:cs="Arial"/>
          <w:szCs w:val="18"/>
        </w:rPr>
        <w:t>(ACT) s 57N.</w:t>
      </w:r>
    </w:p>
  </w:footnote>
  <w:footnote w:id="384">
    <w:p w14:paraId="3CDFFCBF"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1992</w:t>
      </w:r>
      <w:r w:rsidRPr="00410DAB">
        <w:rPr>
          <w:rFonts w:ascii="Public Sans" w:hAnsi="Public Sans" w:cs="Arial"/>
          <w:szCs w:val="18"/>
        </w:rPr>
        <w:t xml:space="preserve"> (NT) s 4(1) definition of “accommodation status”, s 19(1)(ea); </w:t>
      </w:r>
      <w:r w:rsidRPr="00410DAB">
        <w:rPr>
          <w:rFonts w:ascii="Public Sans" w:hAnsi="Public Sans" w:cs="Arial"/>
          <w:i/>
          <w:iCs/>
          <w:color w:val="000000" w:themeColor="text1"/>
          <w:szCs w:val="18"/>
        </w:rPr>
        <w:t>Discrimination Act 1991</w:t>
      </w:r>
      <w:r w:rsidRPr="00410DAB">
        <w:rPr>
          <w:rFonts w:ascii="Public Sans" w:hAnsi="Public Sans" w:cs="Arial"/>
          <w:color w:val="000000" w:themeColor="text1"/>
          <w:szCs w:val="18"/>
        </w:rPr>
        <w:t xml:space="preserve"> (ACT) s 7(1)(a) dictionary definition of “accommodation status”. See also Law Reform Commission of Western Australia, </w:t>
      </w:r>
      <w:r w:rsidRPr="00410DAB">
        <w:rPr>
          <w:rFonts w:ascii="Public Sans" w:hAnsi="Public Sans" w:cs="Arial"/>
          <w:i/>
          <w:iCs/>
          <w:color w:val="000000" w:themeColor="text1"/>
          <w:szCs w:val="18"/>
        </w:rPr>
        <w:t>Review of the Equal Opportunity Act 1984 (WA)</w:t>
      </w:r>
      <w:r w:rsidRPr="00410DAB">
        <w:rPr>
          <w:rFonts w:ascii="Public Sans" w:hAnsi="Public Sans" w:cs="Arial"/>
          <w:color w:val="000000" w:themeColor="text1"/>
          <w:szCs w:val="18"/>
        </w:rPr>
        <w:t>, Project 111, Final Report (2022) 67–68, rec 15, rec 16, rec 17.</w:t>
      </w:r>
    </w:p>
  </w:footnote>
  <w:footnote w:id="385">
    <w:p w14:paraId="77EFF82F" w14:textId="77777777" w:rsidR="000B3E50" w:rsidRPr="00410DAB" w:rsidRDefault="000B3E50" w:rsidP="000B3E50">
      <w:pPr>
        <w:pStyle w:val="FootnoteText"/>
        <w:rPr>
          <w:rFonts w:ascii="Public Sans" w:hAnsi="Public Sans" w:cs="Arial"/>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ACT Law Reform Advisory Council, </w:t>
      </w:r>
      <w:r w:rsidRPr="00410DAB">
        <w:rPr>
          <w:rFonts w:ascii="Public Sans" w:hAnsi="Public Sans" w:cs="Arial"/>
          <w:i/>
          <w:iCs/>
          <w:color w:val="000000" w:themeColor="text1"/>
        </w:rPr>
        <w:t>Review of the Discrimination Act 1991 (ACT)</w:t>
      </w:r>
      <w:r w:rsidRPr="00410DAB">
        <w:rPr>
          <w:rFonts w:ascii="Public Sans" w:hAnsi="Public Sans" w:cs="Arial"/>
          <w:color w:val="000000" w:themeColor="text1"/>
        </w:rPr>
        <w:t xml:space="preserve">, Final Report </w:t>
      </w:r>
      <w:r w:rsidRPr="00410DAB">
        <w:rPr>
          <w:rFonts w:ascii="Public Sans" w:hAnsi="Public Sans" w:cs="Arial"/>
        </w:rPr>
        <w:t>(2015) 79.</w:t>
      </w:r>
    </w:p>
  </w:footnote>
  <w:footnote w:id="386">
    <w:p w14:paraId="4C112A3F"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Discrimination Act 1991</w:t>
      </w:r>
      <w:r w:rsidRPr="00410DAB">
        <w:rPr>
          <w:rFonts w:ascii="Public Sans" w:hAnsi="Public Sans" w:cs="Arial"/>
          <w:szCs w:val="18"/>
        </w:rPr>
        <w:t xml:space="preserve"> (ACT) s 26(2). See also Law Reform Commission of Western Australia, </w:t>
      </w:r>
      <w:r w:rsidRPr="00410DAB">
        <w:rPr>
          <w:rFonts w:ascii="Public Sans" w:hAnsi="Public Sans" w:cs="Arial"/>
          <w:i/>
          <w:iCs/>
          <w:szCs w:val="18"/>
        </w:rPr>
        <w:t>Review of the Equal Opportunity Act 1984 (WA)</w:t>
      </w:r>
      <w:r w:rsidRPr="00410DAB">
        <w:rPr>
          <w:rFonts w:ascii="Public Sans" w:hAnsi="Public Sans" w:cs="Arial"/>
          <w:szCs w:val="18"/>
        </w:rPr>
        <w:t>, Project 111, Final Report (2022) 195, rec 86.</w:t>
      </w:r>
    </w:p>
  </w:footnote>
  <w:footnote w:id="387">
    <w:p w14:paraId="498E8070"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Explanatory Statement, Discrimination Amendment Bill 2016 (ACT) cl 22.</w:t>
      </w:r>
    </w:p>
  </w:footnote>
  <w:footnote w:id="388">
    <w:p w14:paraId="7AE22273" w14:textId="4CEED12E"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szCs w:val="18"/>
        </w:rPr>
        <w:t xml:space="preserve">Respect at Work and Other Matters Amendment Act 2024 </w:t>
      </w:r>
      <w:r w:rsidRPr="00007417">
        <w:rPr>
          <w:rFonts w:ascii="Public Sans" w:hAnsi="Public Sans" w:cs="Arial"/>
          <w:szCs w:val="18"/>
        </w:rPr>
        <w:t>(</w:t>
      </w:r>
      <w:r w:rsidRPr="00410DAB">
        <w:rPr>
          <w:rFonts w:ascii="Public Sans" w:hAnsi="Public Sans" w:cs="Arial"/>
          <w:szCs w:val="18"/>
        </w:rPr>
        <w:t>Qld) s 7(3)</w:t>
      </w:r>
      <w:r w:rsidR="005B3CE8">
        <w:rPr>
          <w:rFonts w:ascii="Public Sans" w:hAnsi="Public Sans" w:cs="Arial"/>
          <w:szCs w:val="18"/>
        </w:rPr>
        <w:t xml:space="preserve">, </w:t>
      </w:r>
      <w:r w:rsidR="00A20AAF" w:rsidRPr="00410DAB">
        <w:rPr>
          <w:rFonts w:ascii="Public Sans" w:hAnsi="Public Sans" w:cs="Arial"/>
          <w:szCs w:val="18"/>
        </w:rPr>
        <w:t xml:space="preserve">inserting </w:t>
      </w:r>
      <w:r w:rsidR="00A20AAF" w:rsidRPr="00410DAB">
        <w:rPr>
          <w:rFonts w:ascii="Public Sans" w:hAnsi="Public Sans" w:cs="Arial"/>
          <w:i/>
          <w:iCs/>
          <w:szCs w:val="18"/>
        </w:rPr>
        <w:t>Anti-Discrimination Act 1991</w:t>
      </w:r>
      <w:r w:rsidR="00A20AAF" w:rsidRPr="00410DAB">
        <w:rPr>
          <w:rFonts w:ascii="Public Sans" w:hAnsi="Public Sans" w:cs="Arial"/>
          <w:szCs w:val="18"/>
        </w:rPr>
        <w:t xml:space="preserve"> (Qld) s 7(p</w:t>
      </w:r>
      <w:r w:rsidR="00F55FB3">
        <w:rPr>
          <w:rFonts w:ascii="Public Sans" w:hAnsi="Public Sans" w:cs="Arial"/>
          <w:szCs w:val="18"/>
        </w:rPr>
        <w:t>b</w:t>
      </w:r>
      <w:r w:rsidR="00A20AAF" w:rsidRPr="00410DAB">
        <w:rPr>
          <w:rFonts w:ascii="Public Sans" w:hAnsi="Public Sans" w:cs="Arial"/>
          <w:szCs w:val="18"/>
        </w:rPr>
        <w:t>)</w:t>
      </w:r>
      <w:r w:rsidR="00F55FB3">
        <w:rPr>
          <w:rFonts w:ascii="Public Sans" w:hAnsi="Public Sans" w:cs="Arial"/>
          <w:szCs w:val="18"/>
        </w:rPr>
        <w:t xml:space="preserve"> </w:t>
      </w:r>
      <w:r w:rsidR="00A20AAF" w:rsidRPr="00410DAB">
        <w:rPr>
          <w:rFonts w:ascii="Public Sans" w:hAnsi="Public Sans" w:cs="Arial"/>
          <w:szCs w:val="18"/>
        </w:rPr>
        <w:t>(</w:t>
      </w:r>
      <w:r w:rsidR="00A20AAF">
        <w:rPr>
          <w:rFonts w:ascii="Public Sans" w:hAnsi="Public Sans" w:cs="Arial"/>
          <w:szCs w:val="18"/>
        </w:rPr>
        <w:t>un</w:t>
      </w:r>
      <w:r w:rsidR="00A20AAF" w:rsidRPr="00410DAB">
        <w:rPr>
          <w:rFonts w:ascii="Public Sans" w:hAnsi="Public Sans" w:cs="Arial"/>
          <w:szCs w:val="18"/>
        </w:rPr>
        <w:t>commence</w:t>
      </w:r>
      <w:r w:rsidR="00A20AAF">
        <w:rPr>
          <w:rFonts w:ascii="Public Sans" w:hAnsi="Public Sans" w:cs="Arial"/>
          <w:szCs w:val="18"/>
        </w:rPr>
        <w:t>d</w:t>
      </w:r>
      <w:r w:rsidR="00A20AAF" w:rsidRPr="00410DAB">
        <w:rPr>
          <w:rFonts w:ascii="Public Sans" w:hAnsi="Public Sans" w:cs="Arial"/>
          <w:szCs w:val="18"/>
        </w:rPr>
        <w:t>)</w:t>
      </w:r>
      <w:r w:rsidR="00F55FB3">
        <w:rPr>
          <w:rFonts w:ascii="Public Sans" w:hAnsi="Public Sans" w:cs="Arial"/>
          <w:szCs w:val="18"/>
        </w:rPr>
        <w:t>.</w:t>
      </w:r>
    </w:p>
  </w:footnote>
  <w:footnote w:id="389">
    <w:p w14:paraId="505086D8" w14:textId="77777777" w:rsidR="000B3E50" w:rsidRPr="00410DAB" w:rsidRDefault="000B3E50" w:rsidP="000B3E50">
      <w:pPr>
        <w:pStyle w:val="FootnoteText"/>
        <w:rPr>
          <w:rFonts w:ascii="Public Sans" w:hAnsi="Public Sans" w:cs="Arial"/>
          <w:strike/>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Queensland Human Rights Commission, </w:t>
      </w:r>
      <w:r w:rsidRPr="00410DAB">
        <w:rPr>
          <w:rFonts w:ascii="Public Sans" w:hAnsi="Public Sans" w:cs="Arial"/>
          <w:i/>
          <w:iCs/>
          <w:color w:val="000000" w:themeColor="text1"/>
          <w:szCs w:val="18"/>
        </w:rPr>
        <w:t>Building Belonging: Review of Queensland’s Anti-Discrimination Act 1991</w:t>
      </w:r>
      <w:r w:rsidRPr="00410DAB">
        <w:rPr>
          <w:rFonts w:ascii="Public Sans" w:hAnsi="Public Sans" w:cs="Arial"/>
          <w:color w:val="000000" w:themeColor="text1"/>
          <w:szCs w:val="18"/>
        </w:rPr>
        <w:t xml:space="preserve"> (2022) 337–338, rec 32.</w:t>
      </w:r>
    </w:p>
  </w:footnote>
  <w:footnote w:id="390">
    <w:p w14:paraId="3C51EA0E"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Discrimination Act 1991</w:t>
      </w:r>
      <w:r w:rsidRPr="00410DAB">
        <w:rPr>
          <w:rFonts w:ascii="Public Sans" w:hAnsi="Public Sans" w:cs="Arial"/>
          <w:color w:val="000000" w:themeColor="text1"/>
          <w:szCs w:val="18"/>
        </w:rPr>
        <w:t xml:space="preserve"> (ACT) dictionary definition of “employment status”; </w:t>
      </w:r>
      <w:r w:rsidRPr="00410DAB">
        <w:rPr>
          <w:rFonts w:ascii="Public Sans" w:hAnsi="Public Sans" w:cs="Arial"/>
          <w:i/>
          <w:iCs/>
          <w:color w:val="000000" w:themeColor="text1"/>
          <w:szCs w:val="18"/>
        </w:rPr>
        <w:t>Anti-Discrimination Act 1992</w:t>
      </w:r>
      <w:r w:rsidRPr="00410DAB">
        <w:rPr>
          <w:rFonts w:ascii="Public Sans" w:hAnsi="Public Sans" w:cs="Arial"/>
          <w:color w:val="000000" w:themeColor="text1"/>
          <w:szCs w:val="18"/>
        </w:rPr>
        <w:t xml:space="preserve"> (NT) s 4(1) definition of “employment status”.</w:t>
      </w:r>
    </w:p>
  </w:footnote>
  <w:footnote w:id="391">
    <w:p w14:paraId="2D8CEFE8" w14:textId="77777777" w:rsidR="000B3E50" w:rsidRPr="00410DAB" w:rsidRDefault="000B3E50" w:rsidP="000B3E50">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Law Reform Commission of Western Australia, </w:t>
      </w:r>
      <w:r w:rsidRPr="00410DAB">
        <w:rPr>
          <w:rFonts w:ascii="Public Sans" w:hAnsi="Public Sans" w:cs="Arial"/>
          <w:i/>
          <w:iCs/>
          <w:color w:val="000000" w:themeColor="text1"/>
          <w:szCs w:val="18"/>
        </w:rPr>
        <w:t>Review of the Equal Opportunity Act 1984 (WA)</w:t>
      </w:r>
      <w:r w:rsidRPr="00410DAB">
        <w:rPr>
          <w:rFonts w:ascii="Public Sans" w:hAnsi="Public Sans" w:cs="Arial"/>
          <w:color w:val="000000" w:themeColor="text1"/>
          <w:szCs w:val="18"/>
        </w:rPr>
        <w:t>,</w:t>
      </w:r>
      <w:r w:rsidRPr="00410DAB">
        <w:rPr>
          <w:rFonts w:ascii="Public Sans" w:hAnsi="Public Sans" w:cs="Arial"/>
          <w:i/>
          <w:iCs/>
          <w:color w:val="000000" w:themeColor="text1"/>
          <w:szCs w:val="18"/>
        </w:rPr>
        <w:t xml:space="preserve"> P</w:t>
      </w:r>
      <w:r w:rsidRPr="00410DAB">
        <w:rPr>
          <w:rFonts w:ascii="Public Sans" w:hAnsi="Public Sans" w:cs="Arial"/>
          <w:color w:val="000000" w:themeColor="text1"/>
          <w:szCs w:val="18"/>
        </w:rPr>
        <w:t>roject 111, Final Report (2022) 75–76, rec 23, rec 24.</w:t>
      </w:r>
    </w:p>
  </w:footnote>
  <w:footnote w:id="392">
    <w:p w14:paraId="12DC6270"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Discrimination Act 1991</w:t>
      </w:r>
      <w:r w:rsidRPr="00410DAB">
        <w:rPr>
          <w:rFonts w:ascii="Public Sans" w:hAnsi="Public Sans" w:cs="Arial"/>
          <w:szCs w:val="18"/>
        </w:rPr>
        <w:t xml:space="preserve"> (ACT) s 57O. See also </w:t>
      </w:r>
      <w:r w:rsidRPr="00410DAB">
        <w:rPr>
          <w:rFonts w:ascii="Public Sans" w:hAnsi="Public Sans" w:cs="Arial"/>
          <w:i/>
          <w:iCs/>
          <w:szCs w:val="18"/>
        </w:rPr>
        <w:t>Anti-Discrimination Act 1992</w:t>
      </w:r>
      <w:r w:rsidRPr="00410DAB">
        <w:rPr>
          <w:rFonts w:ascii="Public Sans" w:hAnsi="Public Sans" w:cs="Arial"/>
          <w:szCs w:val="18"/>
        </w:rPr>
        <w:t xml:space="preserve"> (NT) s 35A.</w:t>
      </w:r>
    </w:p>
  </w:footnote>
  <w:footnote w:id="393">
    <w:p w14:paraId="2BB91D48"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Explanatory Statement, Discrimination Amendment Bill 2016 (ACT) cl 27.</w:t>
      </w:r>
    </w:p>
  </w:footnote>
  <w:footnote w:id="394">
    <w:p w14:paraId="77A52EA4"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International Covenant on Civil and Political Rights,</w:t>
      </w:r>
      <w:r w:rsidRPr="00410DAB">
        <w:rPr>
          <w:rFonts w:ascii="Public Sans" w:hAnsi="Public Sans" w:cs="Arial"/>
        </w:rPr>
        <w:t xml:space="preserve"> 999 UNTS 171 (entered into force 23 March 1976) art 2(1); </w:t>
      </w:r>
      <w:r w:rsidRPr="00410DAB">
        <w:rPr>
          <w:rFonts w:ascii="Public Sans" w:hAnsi="Public Sans" w:cs="Arial"/>
          <w:i/>
          <w:iCs/>
        </w:rPr>
        <w:t>International Covenant on Economic, Social and Cultural Rights</w:t>
      </w:r>
      <w:r w:rsidRPr="00410DAB">
        <w:rPr>
          <w:rFonts w:ascii="Public Sans" w:hAnsi="Public Sans" w:cs="Arial"/>
        </w:rPr>
        <w:t>, 993 UNTS 3 (entered into force 3 January 1976) art 2(2).</w:t>
      </w:r>
    </w:p>
  </w:footnote>
  <w:footnote w:id="395">
    <w:p w14:paraId="16FB4177"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M Thornton, </w:t>
      </w:r>
      <w:r w:rsidRPr="00410DAB">
        <w:rPr>
          <w:rFonts w:ascii="Public Sans" w:hAnsi="Public Sans" w:cs="Arial"/>
          <w:i/>
          <w:iCs/>
          <w:szCs w:val="18"/>
        </w:rPr>
        <w:t>Preliminary Submission PAD59</w:t>
      </w:r>
      <w:r w:rsidRPr="00410DAB">
        <w:rPr>
          <w:rFonts w:ascii="Public Sans" w:hAnsi="Public Sans" w:cs="Arial"/>
          <w:szCs w:val="18"/>
        </w:rPr>
        <w:t xml:space="preserve">, 1–2; Women’s Legal Service NSW, </w:t>
      </w:r>
      <w:r w:rsidRPr="00410DAB">
        <w:rPr>
          <w:rFonts w:ascii="Public Sans" w:hAnsi="Public Sans" w:cs="Arial"/>
          <w:i/>
          <w:iCs/>
          <w:szCs w:val="18"/>
        </w:rPr>
        <w:t>Preliminary Submission PAD55</w:t>
      </w:r>
      <w:r w:rsidRPr="00410DAB">
        <w:rPr>
          <w:rFonts w:ascii="Public Sans" w:hAnsi="Public Sans" w:cs="Arial"/>
          <w:szCs w:val="18"/>
        </w:rPr>
        <w:t xml:space="preserve">, 4; HIV/AIDS Legal Centre, Positive Life NSW, </w:t>
      </w:r>
      <w:r w:rsidRPr="00410DAB">
        <w:rPr>
          <w:rFonts w:ascii="Public Sans" w:hAnsi="Public Sans" w:cs="Arial"/>
          <w:i/>
          <w:iCs/>
          <w:szCs w:val="18"/>
        </w:rPr>
        <w:t>Preliminary Submission PAD60,</w:t>
      </w:r>
      <w:r w:rsidRPr="00410DAB">
        <w:rPr>
          <w:rFonts w:ascii="Public Sans" w:hAnsi="Public Sans" w:cs="Arial"/>
          <w:szCs w:val="18"/>
        </w:rPr>
        <w:t xml:space="preserve"> 12. </w:t>
      </w:r>
    </w:p>
  </w:footnote>
  <w:footnote w:id="396">
    <w:p w14:paraId="400B3DAF"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Legal Aid NSW, </w:t>
      </w:r>
      <w:r w:rsidRPr="00410DAB">
        <w:rPr>
          <w:rFonts w:ascii="Public Sans" w:hAnsi="Public Sans" w:cs="Arial"/>
          <w:i/>
          <w:iCs/>
          <w:szCs w:val="18"/>
        </w:rPr>
        <w:t>Preliminary Submission PAD87</w:t>
      </w:r>
      <w:r w:rsidRPr="00410DAB">
        <w:rPr>
          <w:rFonts w:ascii="Public Sans" w:hAnsi="Public Sans" w:cs="Arial"/>
          <w:szCs w:val="18"/>
        </w:rPr>
        <w:t>, 18–19.</w:t>
      </w:r>
    </w:p>
  </w:footnote>
  <w:footnote w:id="397">
    <w:p w14:paraId="0A4A390C"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Fair Work Act 2009</w:t>
      </w:r>
      <w:r w:rsidRPr="00410DAB">
        <w:rPr>
          <w:rFonts w:ascii="Public Sans" w:hAnsi="Public Sans" w:cs="Arial"/>
          <w:szCs w:val="18"/>
        </w:rPr>
        <w:t xml:space="preserve"> (Cth) s 351(1). But see the protections against termination: s 772(1)(f).</w:t>
      </w:r>
    </w:p>
  </w:footnote>
  <w:footnote w:id="398">
    <w:p w14:paraId="5C7B25FF"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Australian Human Rights Commission Act 1986</w:t>
      </w:r>
      <w:r w:rsidRPr="00410DAB">
        <w:rPr>
          <w:rFonts w:ascii="Public Sans" w:hAnsi="Public Sans" w:cs="Arial"/>
        </w:rPr>
        <w:t xml:space="preserve"> (Cth) s 3(1) definition of “discrimination”, s 31(b).</w:t>
      </w:r>
    </w:p>
  </w:footnote>
  <w:footnote w:id="399">
    <w:p w14:paraId="7B6DA104" w14:textId="77777777" w:rsidR="000B3E50" w:rsidRPr="00410DAB" w:rsidRDefault="000B3E50" w:rsidP="000B3E50">
      <w:pPr>
        <w:pStyle w:val="FootnoteText"/>
        <w:rPr>
          <w:rFonts w:ascii="Public Sans" w:hAnsi="Public Sans" w:cs="Arial"/>
          <w:color w:val="000000" w:themeColor="text1"/>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bookmarkStart w:id="217" w:name="_Hlk191481464"/>
      <w:r w:rsidRPr="00410DAB">
        <w:rPr>
          <w:rFonts w:ascii="Public Sans" w:hAnsi="Public Sans" w:cs="Arial"/>
          <w:szCs w:val="18"/>
        </w:rPr>
        <w:t xml:space="preserve">Victoria, Department of Justice, </w:t>
      </w:r>
      <w:r w:rsidRPr="00410DAB">
        <w:rPr>
          <w:rFonts w:ascii="Public Sans" w:hAnsi="Public Sans" w:cs="Arial"/>
          <w:i/>
          <w:iCs/>
          <w:szCs w:val="18"/>
        </w:rPr>
        <w:t>An Equality Act for a Fairer Victoria: Equal Opportunity Review,</w:t>
      </w:r>
      <w:r w:rsidRPr="00410DAB">
        <w:rPr>
          <w:rFonts w:ascii="Public Sans" w:hAnsi="Public Sans" w:cs="Arial"/>
          <w:szCs w:val="18"/>
        </w:rPr>
        <w:t xml:space="preserve"> Final Report (2008) rec 47, 95–98</w:t>
      </w:r>
      <w:bookmarkEnd w:id="217"/>
      <w:r w:rsidRPr="00410DAB">
        <w:rPr>
          <w:rFonts w:ascii="Public Sans" w:hAnsi="Public Sans" w:cs="Arial"/>
          <w:szCs w:val="18"/>
        </w:rPr>
        <w:t xml:space="preserve">; 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337; Law Reform Commission of </w:t>
      </w:r>
      <w:r w:rsidRPr="00410DAB">
        <w:rPr>
          <w:rFonts w:ascii="Public Sans" w:hAnsi="Public Sans" w:cs="Arial"/>
          <w:color w:val="000000" w:themeColor="text1"/>
          <w:szCs w:val="18"/>
        </w:rPr>
        <w:t>Western Australia, R</w:t>
      </w:r>
      <w:r w:rsidRPr="00410DAB">
        <w:rPr>
          <w:rFonts w:ascii="Public Sans" w:hAnsi="Public Sans" w:cs="Arial"/>
          <w:i/>
          <w:iCs/>
          <w:color w:val="000000" w:themeColor="text1"/>
          <w:szCs w:val="18"/>
        </w:rPr>
        <w:t>eview of the Equal Opportunity Act 1984 (WA)</w:t>
      </w:r>
      <w:r w:rsidRPr="00410DAB">
        <w:rPr>
          <w:rFonts w:ascii="Public Sans" w:hAnsi="Public Sans" w:cs="Arial"/>
          <w:color w:val="000000" w:themeColor="text1"/>
          <w:szCs w:val="18"/>
        </w:rPr>
        <w:t>, Project 111, Final Report (2022) 118–119.</w:t>
      </w:r>
    </w:p>
  </w:footnote>
  <w:footnote w:id="400">
    <w:p w14:paraId="37C7208C"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[5.248].</w:t>
      </w:r>
    </w:p>
  </w:footnote>
  <w:footnote w:id="401">
    <w:p w14:paraId="6D386BB4"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w:t>
      </w:r>
      <w:r w:rsidRPr="00410DAB">
        <w:rPr>
          <w:rFonts w:ascii="Public Sans" w:hAnsi="Public Sans" w:cs="Arial"/>
          <w:i/>
          <w:iCs/>
          <w:szCs w:val="18"/>
        </w:rPr>
        <w:t>Promotion of Equality and Prevention of Unfair Discrimination Act 2000</w:t>
      </w:r>
      <w:r w:rsidRPr="00410DAB">
        <w:rPr>
          <w:rFonts w:ascii="Public Sans" w:hAnsi="Public Sans" w:cs="Arial"/>
          <w:szCs w:val="18"/>
        </w:rPr>
        <w:t xml:space="preserve"> (South Africa) s 1(1)(xxii) definition of “prohibited grounds”. </w:t>
      </w:r>
    </w:p>
  </w:footnote>
  <w:footnote w:id="402">
    <w:p w14:paraId="2888D838" w14:textId="77777777" w:rsidR="000B3E50" w:rsidRPr="00410DAB" w:rsidRDefault="000B3E50" w:rsidP="000B3E50">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International Covenant on Civil and Political Rights, 999</w:t>
      </w:r>
      <w:r w:rsidRPr="00410DAB">
        <w:rPr>
          <w:rFonts w:ascii="Public Sans" w:hAnsi="Public Sans" w:cs="Arial"/>
        </w:rPr>
        <w:t xml:space="preserve"> UNTS 171 (entered into force 23 March 1976) art 2(1); </w:t>
      </w:r>
      <w:r w:rsidRPr="00410DAB">
        <w:rPr>
          <w:rFonts w:ascii="Public Sans" w:hAnsi="Public Sans" w:cs="Arial"/>
          <w:i/>
          <w:iCs/>
        </w:rPr>
        <w:t>International Covenant on Economic, Social and Cultural Rights</w:t>
      </w:r>
      <w:r w:rsidRPr="00410DAB">
        <w:rPr>
          <w:rFonts w:ascii="Public Sans" w:hAnsi="Public Sans" w:cs="Arial"/>
        </w:rPr>
        <w:t>, 993 UNTS 3 (entered into force 3 January 1976) art 2(2).</w:t>
      </w:r>
    </w:p>
  </w:footnote>
  <w:footnote w:id="403">
    <w:p w14:paraId="24DBB1B0" w14:textId="77777777" w:rsidR="000B3E50" w:rsidRPr="00410DAB" w:rsidRDefault="000B3E50" w:rsidP="000B3E50">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311; Australian Human Rights Commission, </w:t>
      </w:r>
      <w:r w:rsidRPr="00410DAB">
        <w:rPr>
          <w:rFonts w:ascii="Public Sans" w:hAnsi="Public Sans" w:cs="Arial"/>
          <w:i/>
          <w:iCs/>
          <w:szCs w:val="18"/>
        </w:rPr>
        <w:t>Free and Equal: A Reform Agenda for Federal Discrimination Laws</w:t>
      </w:r>
      <w:r w:rsidRPr="00410DAB">
        <w:rPr>
          <w:rFonts w:ascii="Public Sans" w:hAnsi="Public Sans" w:cs="Arial"/>
          <w:szCs w:val="18"/>
        </w:rPr>
        <w:t xml:space="preserve"> (2021) 271; ACT Law Reform Advisory Council, </w:t>
      </w:r>
      <w:r w:rsidRPr="00410DAB">
        <w:rPr>
          <w:rFonts w:ascii="Public Sans" w:hAnsi="Public Sans" w:cs="Arial"/>
          <w:i/>
          <w:iCs/>
          <w:szCs w:val="18"/>
        </w:rPr>
        <w:t>Review of the Discrimination Act 1991 (ACT),</w:t>
      </w:r>
      <w:r w:rsidRPr="00410DAB">
        <w:rPr>
          <w:rFonts w:ascii="Public Sans" w:hAnsi="Public Sans" w:cs="Arial"/>
          <w:szCs w:val="18"/>
        </w:rPr>
        <w:t xml:space="preserve"> Final Report (2015) 56.</w:t>
      </w:r>
    </w:p>
  </w:footnote>
  <w:footnote w:id="404">
    <w:p w14:paraId="7CD4AE70"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[4.2].</w:t>
      </w:r>
    </w:p>
  </w:footnote>
  <w:footnote w:id="405">
    <w:p w14:paraId="0634F41B" w14:textId="77777777" w:rsidR="000835D9" w:rsidRPr="00410DAB" w:rsidRDefault="000835D9" w:rsidP="000835D9">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pt 4E.</w:t>
      </w:r>
    </w:p>
  </w:footnote>
  <w:footnote w:id="406">
    <w:p w14:paraId="38855533"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49ZX.</w:t>
      </w:r>
    </w:p>
  </w:footnote>
  <w:footnote w:id="407">
    <w:p w14:paraId="6E225181"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4(1) definition of “employment”, s 22B(6), s 22B(9) definition of “workplace participant”.</w:t>
      </w:r>
    </w:p>
  </w:footnote>
  <w:footnote w:id="408">
    <w:p w14:paraId="359DA2BF" w14:textId="77777777" w:rsidR="000835D9" w:rsidRPr="00410DAB" w:rsidRDefault="000835D9" w:rsidP="000835D9">
      <w:pPr>
        <w:pStyle w:val="FootnoteText"/>
        <w:rPr>
          <w:rFonts w:ascii="Public Sans" w:hAnsi="Public Sans" w:cs="Arial"/>
          <w:color w:val="70AD47" w:themeColor="accent6"/>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w:t>
      </w:r>
      <w:r w:rsidRPr="00410DAB">
        <w:rPr>
          <w:rFonts w:ascii="Public Sans" w:hAnsi="Public Sans" w:cs="Arial"/>
        </w:rPr>
        <w:t xml:space="preserve"> (NSW), Report 92 (1999) rec 9, [4.42].</w:t>
      </w:r>
    </w:p>
  </w:footnote>
  <w:footnote w:id="409">
    <w:p w14:paraId="7B794DFA"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Law Reform Commission of Western Australia, </w:t>
      </w:r>
      <w:r w:rsidRPr="00410DAB">
        <w:rPr>
          <w:rFonts w:ascii="Public Sans" w:hAnsi="Public Sans" w:cs="Arial"/>
          <w:i/>
          <w:iCs/>
        </w:rPr>
        <w:t>Review of the Equal Opportunity Act 1984 (WA)</w:t>
      </w:r>
      <w:r w:rsidRPr="00410DAB">
        <w:rPr>
          <w:rFonts w:ascii="Public Sans" w:hAnsi="Public Sans" w:cs="Arial"/>
        </w:rPr>
        <w:t xml:space="preserve">, Project 111, Final Report (2022) rec 59, 131–133; Australian Human Rights Commission, </w:t>
      </w:r>
      <w:r w:rsidRPr="00410DAB">
        <w:rPr>
          <w:rFonts w:ascii="Public Sans" w:hAnsi="Public Sans" w:cs="Arial"/>
          <w:i/>
          <w:iCs/>
        </w:rPr>
        <w:t>Free and Equal: A Reform Agenda for Federal Discrimination Laws</w:t>
      </w:r>
      <w:r w:rsidRPr="00410DAB">
        <w:rPr>
          <w:rFonts w:ascii="Public Sans" w:hAnsi="Public Sans" w:cs="Arial"/>
        </w:rPr>
        <w:t xml:space="preserve"> (2021) 253, 255.</w:t>
      </w:r>
    </w:p>
  </w:footnote>
  <w:footnote w:id="410">
    <w:p w14:paraId="77B172CB" w14:textId="77777777" w:rsidR="000835D9" w:rsidRPr="00410DAB" w:rsidRDefault="000835D9" w:rsidP="000835D9">
      <w:pPr>
        <w:pStyle w:val="FootnoteText"/>
        <w:rPr>
          <w:rFonts w:ascii="Public Sans" w:hAnsi="Public Sans" w:cs="Arial"/>
          <w:color w:val="70AD47" w:themeColor="accent6"/>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i/>
          <w:iCs/>
        </w:rPr>
        <w:t>Discrimination Act 1991</w:t>
      </w:r>
      <w:r w:rsidRPr="00410DAB">
        <w:rPr>
          <w:rFonts w:ascii="Public Sans" w:hAnsi="Public Sans" w:cs="Arial"/>
        </w:rPr>
        <w:t xml:space="preserve"> (ACT) dictionary definition of “employment”; </w:t>
      </w:r>
      <w:r w:rsidRPr="00410DAB">
        <w:rPr>
          <w:rFonts w:ascii="Public Sans" w:hAnsi="Public Sans" w:cs="Arial"/>
          <w:i/>
          <w:iCs/>
        </w:rPr>
        <w:t>Anti-Discrimination Act 1991</w:t>
      </w:r>
      <w:r w:rsidRPr="00410DAB">
        <w:rPr>
          <w:rFonts w:ascii="Public Sans" w:hAnsi="Public Sans" w:cs="Arial"/>
        </w:rPr>
        <w:t xml:space="preserve"> (Qld) sch 1 definition of “work”; </w:t>
      </w:r>
      <w:r w:rsidRPr="00410DAB">
        <w:rPr>
          <w:rFonts w:ascii="Public Sans" w:hAnsi="Public Sans" w:cs="Arial"/>
          <w:i/>
          <w:iCs/>
        </w:rPr>
        <w:t>Equal Opportunity Act 1984</w:t>
      </w:r>
      <w:r w:rsidRPr="00410DAB">
        <w:rPr>
          <w:rFonts w:ascii="Public Sans" w:hAnsi="Public Sans" w:cs="Arial"/>
        </w:rPr>
        <w:t xml:space="preserve"> (SA) s 5 definition of “employee”; </w:t>
      </w:r>
      <w:r w:rsidRPr="00410DAB">
        <w:rPr>
          <w:rFonts w:ascii="Public Sans" w:hAnsi="Public Sans" w:cs="Arial"/>
          <w:i/>
          <w:iCs/>
        </w:rPr>
        <w:t>Anti-Discrimination Act 1992</w:t>
      </w:r>
      <w:r w:rsidRPr="00410DAB">
        <w:rPr>
          <w:rFonts w:ascii="Public Sans" w:hAnsi="Public Sans" w:cs="Arial"/>
        </w:rPr>
        <w:t xml:space="preserve"> (NT) s 4(1) definition of “work”.</w:t>
      </w:r>
    </w:p>
  </w:footnote>
  <w:footnote w:id="411">
    <w:p w14:paraId="6D8DC310" w14:textId="77777777" w:rsidR="000835D9" w:rsidRPr="00410DAB" w:rsidRDefault="000835D9" w:rsidP="000835D9">
      <w:pPr>
        <w:pStyle w:val="FootnoteText"/>
        <w:rPr>
          <w:rFonts w:ascii="Public Sans" w:hAnsi="Public Sans" w:cs="Arial"/>
          <w:color w:val="70AD47" w:themeColor="accent6"/>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1991</w:t>
      </w:r>
      <w:r w:rsidRPr="00410DAB">
        <w:rPr>
          <w:rFonts w:ascii="Public Sans" w:hAnsi="Public Sans" w:cs="Arial"/>
        </w:rPr>
        <w:t xml:space="preserve"> (Qld) sch 1 definition of “work”.</w:t>
      </w:r>
    </w:p>
  </w:footnote>
  <w:footnote w:id="412">
    <w:p w14:paraId="72813D9D" w14:textId="77777777" w:rsidR="000835D9" w:rsidRPr="00410DAB" w:rsidRDefault="000835D9" w:rsidP="000835D9">
      <w:pPr>
        <w:pStyle w:val="FootnoteText"/>
        <w:rPr>
          <w:rFonts w:ascii="Public Sans" w:hAnsi="Public Sans" w:cs="Arial"/>
          <w:color w:val="70AD47" w:themeColor="accent6"/>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Australia, Fair Work Ombudsman, “Employee-Like Workers” &lt;</w:t>
      </w:r>
      <w:hyperlink r:id="rId17" w:history="1">
        <w:r w:rsidRPr="00410DAB">
          <w:rPr>
            <w:rStyle w:val="Hyperlink"/>
            <w:rFonts w:ascii="Public Sans" w:hAnsi="Public Sans" w:cs="Arial"/>
          </w:rPr>
          <w:t>www.fairwork.gov.au/find-help-for/independent-contractors/regulated-workers/employee-like-workers</w:t>
        </w:r>
      </w:hyperlink>
      <w:r w:rsidRPr="00410DAB">
        <w:rPr>
          <w:rFonts w:ascii="Public Sans" w:hAnsi="Public Sans" w:cs="Arial"/>
        </w:rPr>
        <w:t>&gt; (retrieved 1 April 2025).</w:t>
      </w:r>
    </w:p>
  </w:footnote>
  <w:footnote w:id="413">
    <w:p w14:paraId="6325932A"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4(1) definition of “contract worker”, definition of “principal”.</w:t>
      </w:r>
    </w:p>
  </w:footnote>
  <w:footnote w:id="414">
    <w:p w14:paraId="338B9816"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Style w:val="normaltextrun"/>
          <w:rFonts w:ascii="Public Sans" w:hAnsi="Public Sans"/>
          <w:color w:val="000000"/>
          <w:szCs w:val="18"/>
          <w:shd w:val="clear" w:color="auto" w:fill="FFFFFF"/>
        </w:rPr>
        <w:t xml:space="preserve">A </w:t>
      </w:r>
      <w:r w:rsidRPr="00410DAB">
        <w:rPr>
          <w:rStyle w:val="findhit"/>
          <w:rFonts w:ascii="Public Sans" w:hAnsi="Public Sans"/>
          <w:color w:val="000000"/>
          <w:szCs w:val="18"/>
          <w:shd w:val="clear" w:color="auto" w:fill="FFFFFF"/>
        </w:rPr>
        <w:t>Blackham</w:t>
      </w:r>
      <w:r w:rsidRPr="00410DAB">
        <w:rPr>
          <w:rStyle w:val="normaltextrun"/>
          <w:rFonts w:ascii="Public Sans" w:hAnsi="Public Sans"/>
          <w:color w:val="000000"/>
          <w:szCs w:val="18"/>
          <w:shd w:val="clear" w:color="auto" w:fill="FFFFFF"/>
        </w:rPr>
        <w:t xml:space="preserve">, “‘We are All Entrepreneurs Now’: Options and New Approaches for Adapting Equality Law for the ‘Gig Economy’’’ (2018) 34 </w:t>
      </w:r>
      <w:r w:rsidRPr="00410DAB">
        <w:rPr>
          <w:rStyle w:val="normaltextrun"/>
          <w:rFonts w:ascii="Public Sans" w:hAnsi="Public Sans"/>
          <w:i/>
          <w:iCs/>
          <w:color w:val="000000"/>
          <w:szCs w:val="18"/>
          <w:shd w:val="clear" w:color="auto" w:fill="FFFFFF"/>
        </w:rPr>
        <w:t>International Journal of Comparative Labour Law and Industrial Relations</w:t>
      </w:r>
      <w:r w:rsidRPr="00410DAB">
        <w:rPr>
          <w:rStyle w:val="normaltextrun"/>
          <w:rFonts w:ascii="Public Sans" w:hAnsi="Public Sans"/>
          <w:color w:val="000000"/>
          <w:szCs w:val="18"/>
          <w:shd w:val="clear" w:color="auto" w:fill="FFFFFF"/>
        </w:rPr>
        <w:t xml:space="preserve"> </w:t>
      </w:r>
      <w:r w:rsidRPr="00410DAB">
        <w:rPr>
          <w:rFonts w:ascii="Public Sans" w:hAnsi="Public Sans" w:cs="Arial"/>
        </w:rPr>
        <w:t>431, 433.</w:t>
      </w:r>
    </w:p>
  </w:footnote>
  <w:footnote w:id="415">
    <w:p w14:paraId="0D565811"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Style w:val="FootnoteReference"/>
          <w:vertAlign w:val="baseline"/>
        </w:rPr>
        <w:t>.</w:t>
      </w:r>
      <w:r w:rsidRPr="00410DAB">
        <w:rPr>
          <w:rFonts w:ascii="Public Sans" w:hAnsi="Public Sans" w:cs="Arial"/>
        </w:rPr>
        <w:tab/>
      </w:r>
      <w:bookmarkStart w:id="228" w:name="_Hlk188963021"/>
      <w:r w:rsidRPr="00410DAB">
        <w:rPr>
          <w:rFonts w:ascii="Public Sans" w:hAnsi="Public Sans" w:cs="Arial"/>
          <w:i/>
          <w:iCs/>
          <w:szCs w:val="18"/>
        </w:rPr>
        <w:t>Sex Discrimination Act 1984</w:t>
      </w:r>
      <w:r w:rsidRPr="00410DAB">
        <w:rPr>
          <w:rFonts w:ascii="Public Sans" w:hAnsi="Public Sans" w:cs="Arial"/>
          <w:szCs w:val="18"/>
        </w:rPr>
        <w:t xml:space="preserve"> (Cth) s 28B(5)–(6).</w:t>
      </w:r>
      <w:bookmarkEnd w:id="228"/>
      <w:r w:rsidRPr="00410DAB">
        <w:rPr>
          <w:rFonts w:ascii="Public Sans" w:hAnsi="Public Sans" w:cs="Arial"/>
          <w:szCs w:val="18"/>
        </w:rPr>
        <w:t xml:space="preserve"> </w:t>
      </w:r>
    </w:p>
  </w:footnote>
  <w:footnote w:id="416">
    <w:p w14:paraId="447D3002"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Nurses and Midwives' Association, </w:t>
      </w:r>
      <w:r w:rsidRPr="00410DAB">
        <w:rPr>
          <w:rFonts w:ascii="Public Sans" w:hAnsi="Public Sans" w:cs="Arial"/>
          <w:i/>
          <w:iCs/>
        </w:rPr>
        <w:t>Preliminary Submission PAD50</w:t>
      </w:r>
      <w:r w:rsidRPr="00410DAB">
        <w:rPr>
          <w:rStyle w:val="eop"/>
          <w:rFonts w:ascii="Public Sans" w:hAnsi="Public Sans"/>
          <w:color w:val="000000"/>
          <w:szCs w:val="18"/>
          <w:shd w:val="clear" w:color="auto" w:fill="FFFFFF"/>
        </w:rPr>
        <w:t>, 3.</w:t>
      </w:r>
    </w:p>
  </w:footnote>
  <w:footnote w:id="417">
    <w:p w14:paraId="11A7A089" w14:textId="77777777" w:rsidR="000835D9" w:rsidRPr="00410DAB" w:rsidRDefault="000835D9" w:rsidP="000835D9">
      <w:pPr>
        <w:pStyle w:val="FootnoteText"/>
        <w:rPr>
          <w:rFonts w:ascii="Public Sans" w:hAnsi="Public Sans"/>
          <w:highlight w:val="yellow"/>
        </w:rPr>
      </w:pPr>
      <w:r w:rsidRPr="00410DAB">
        <w:rPr>
          <w:rStyle w:val="FootnoteReference"/>
          <w:rFonts w:cs="Arial"/>
          <w:vertAlign w:val="baseline"/>
        </w:rPr>
        <w:footnoteRef/>
      </w:r>
      <w:r w:rsidRPr="00410DAB">
        <w:rPr>
          <w:rFonts w:ascii="Public Sans" w:hAnsi="Public Sans"/>
        </w:rPr>
        <w:t>.</w:t>
      </w:r>
      <w:r w:rsidRPr="00410DAB">
        <w:rPr>
          <w:rFonts w:ascii="Public Sans" w:hAnsi="Public Sans"/>
        </w:rPr>
        <w:tab/>
      </w:r>
      <w:r w:rsidRPr="00410DAB">
        <w:rPr>
          <w:rFonts w:ascii="Public Sans" w:hAnsi="Public Sans" w:cs="Arial"/>
          <w:i/>
          <w:iCs/>
        </w:rPr>
        <w:t>Anti-Discrimination Act 1977</w:t>
      </w:r>
      <w:r w:rsidRPr="00410DAB">
        <w:rPr>
          <w:rFonts w:ascii="Public Sans" w:hAnsi="Public Sans" w:cs="Arial"/>
        </w:rPr>
        <w:t xml:space="preserve"> (NSW) s 10B, s 27B, s 38G, s 42B, s 49H, s 49Z, s 49ZKA.</w:t>
      </w:r>
    </w:p>
  </w:footnote>
  <w:footnote w:id="418">
    <w:p w14:paraId="66C65925"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Style w:val="normaltextrun"/>
          <w:rFonts w:ascii="Public Sans" w:hAnsi="Public Sans"/>
          <w:color w:val="000000"/>
          <w:szCs w:val="18"/>
          <w:shd w:val="clear" w:color="auto" w:fill="FFFFFF"/>
        </w:rPr>
        <w:t xml:space="preserve">NSW, </w:t>
      </w:r>
      <w:r w:rsidRPr="00410DAB">
        <w:rPr>
          <w:rStyle w:val="findhit"/>
          <w:rFonts w:ascii="Public Sans" w:hAnsi="Public Sans"/>
          <w:i/>
          <w:iCs/>
          <w:color w:val="000000"/>
          <w:szCs w:val="18"/>
          <w:shd w:val="clear" w:color="auto" w:fill="FFFFFF"/>
        </w:rPr>
        <w:t>Parliamentary</w:t>
      </w:r>
      <w:r w:rsidRPr="00410DAB">
        <w:rPr>
          <w:rStyle w:val="normaltextrun"/>
          <w:rFonts w:ascii="Public Sans" w:hAnsi="Public Sans"/>
          <w:i/>
          <w:iCs/>
          <w:color w:val="000000"/>
          <w:szCs w:val="18"/>
          <w:shd w:val="clear" w:color="auto" w:fill="FFFFFF"/>
        </w:rPr>
        <w:t xml:space="preserve"> Debates</w:t>
      </w:r>
      <w:r w:rsidRPr="00410DAB">
        <w:rPr>
          <w:rStyle w:val="normaltextrun"/>
          <w:rFonts w:ascii="Public Sans" w:hAnsi="Public Sans"/>
          <w:color w:val="000000"/>
          <w:szCs w:val="18"/>
          <w:shd w:val="clear" w:color="auto" w:fill="FFFFFF"/>
        </w:rPr>
        <w:t>, Legislative Council, Second Reading Speech, 4 May 1994, 1830.</w:t>
      </w:r>
    </w:p>
  </w:footnote>
  <w:footnote w:id="419">
    <w:p w14:paraId="6256D52E"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8(3), s 25(3)(a), s 49D(3)(a), s 49ZYB(3), s 38C(3)(a), s 49ZH(3)(a), s 40(3)(a), s 49V(3)(a).</w:t>
      </w:r>
    </w:p>
  </w:footnote>
  <w:footnote w:id="420">
    <w:p w14:paraId="383D1F67" w14:textId="77777777" w:rsidR="000835D9" w:rsidRPr="00410DAB" w:rsidRDefault="000835D9" w:rsidP="000835D9">
      <w:pPr>
        <w:pStyle w:val="FootnoteText"/>
        <w:rPr>
          <w:rFonts w:ascii="Public Sans" w:hAnsi="Public Sans" w:cs="Arial"/>
          <w:color w:val="70AD47" w:themeColor="accent6"/>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i/>
          <w:iCs/>
        </w:rPr>
        <w:t>Equal Opportunity Act 2010</w:t>
      </w:r>
      <w:r w:rsidRPr="00410DAB">
        <w:rPr>
          <w:rFonts w:ascii="Public Sans" w:hAnsi="Public Sans" w:cs="Arial"/>
        </w:rPr>
        <w:t xml:space="preserve"> (Vic) s 24(1); </w:t>
      </w:r>
      <w:r w:rsidRPr="00410DAB">
        <w:rPr>
          <w:rFonts w:ascii="Public Sans" w:hAnsi="Public Sans" w:cs="Arial"/>
          <w:i/>
          <w:iCs/>
        </w:rPr>
        <w:t>Discrimination Act 1991</w:t>
      </w:r>
      <w:r w:rsidRPr="00410DAB">
        <w:rPr>
          <w:rFonts w:ascii="Public Sans" w:hAnsi="Public Sans" w:cs="Arial"/>
        </w:rPr>
        <w:t xml:space="preserve"> (ACT) s 24; </w:t>
      </w:r>
      <w:r w:rsidRPr="00410DAB">
        <w:rPr>
          <w:rFonts w:ascii="Public Sans" w:hAnsi="Public Sans" w:cs="Arial"/>
          <w:i/>
          <w:iCs/>
        </w:rPr>
        <w:t>Equal Opportunity Act 1984</w:t>
      </w:r>
      <w:r w:rsidRPr="00410DAB">
        <w:rPr>
          <w:rFonts w:ascii="Public Sans" w:hAnsi="Public Sans" w:cs="Arial"/>
        </w:rPr>
        <w:t xml:space="preserve"> (WA) s 11(3); </w:t>
      </w:r>
      <w:r w:rsidRPr="00410DAB">
        <w:rPr>
          <w:rFonts w:ascii="Public Sans" w:hAnsi="Public Sans" w:cs="Arial"/>
          <w:i/>
          <w:iCs/>
        </w:rPr>
        <w:t>Anti-Discrimination Act 1991</w:t>
      </w:r>
      <w:r w:rsidRPr="00410DAB">
        <w:rPr>
          <w:rFonts w:ascii="Public Sans" w:hAnsi="Public Sans" w:cs="Arial"/>
        </w:rPr>
        <w:t xml:space="preserve"> (Qld) s 26(1); </w:t>
      </w:r>
      <w:r w:rsidRPr="00410DAB">
        <w:rPr>
          <w:rFonts w:ascii="Public Sans" w:hAnsi="Public Sans" w:cs="Arial"/>
          <w:i/>
          <w:iCs/>
        </w:rPr>
        <w:t>Disability Discrimination Act 1992</w:t>
      </w:r>
      <w:r w:rsidRPr="00410DAB">
        <w:rPr>
          <w:rFonts w:ascii="Public Sans" w:hAnsi="Public Sans" w:cs="Arial"/>
        </w:rPr>
        <w:t xml:space="preserve"> (Cth) s 15(3); </w:t>
      </w:r>
      <w:r w:rsidRPr="00410DAB">
        <w:rPr>
          <w:rFonts w:ascii="Public Sans" w:hAnsi="Public Sans" w:cs="Arial"/>
          <w:i/>
          <w:iCs/>
        </w:rPr>
        <w:t>Age Discrimination Act 2004</w:t>
      </w:r>
      <w:r w:rsidRPr="00410DAB">
        <w:rPr>
          <w:rFonts w:ascii="Public Sans" w:hAnsi="Public Sans" w:cs="Arial"/>
        </w:rPr>
        <w:t xml:space="preserve"> (Cth) s 18(3); </w:t>
      </w:r>
      <w:r w:rsidRPr="00410DAB">
        <w:rPr>
          <w:rFonts w:ascii="Public Sans" w:hAnsi="Public Sans" w:cs="Arial"/>
          <w:i/>
          <w:iCs/>
        </w:rPr>
        <w:t>Sex Discrimination Act 1984</w:t>
      </w:r>
      <w:r w:rsidRPr="00410DAB">
        <w:rPr>
          <w:rFonts w:ascii="Public Sans" w:hAnsi="Public Sans" w:cs="Arial"/>
        </w:rPr>
        <w:t xml:space="preserve"> (Cth) s 14(3).</w:t>
      </w:r>
    </w:p>
  </w:footnote>
  <w:footnote w:id="421">
    <w:p w14:paraId="1BEA7628"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w:t>
      </w:r>
      <w:r w:rsidRPr="00410DAB">
        <w:rPr>
          <w:rFonts w:ascii="Public Sans" w:hAnsi="Public Sans" w:cs="Arial"/>
          <w:szCs w:val="18"/>
          <w:lang w:eastAsia="en-AU"/>
        </w:rPr>
        <w:t>4.88]–</w:t>
      </w:r>
      <w:r w:rsidRPr="00410DAB">
        <w:rPr>
          <w:rFonts w:ascii="Public Sans" w:hAnsi="Public Sans" w:cs="Arial"/>
        </w:rPr>
        <w:t>[</w:t>
      </w:r>
      <w:r w:rsidRPr="00410DAB">
        <w:rPr>
          <w:rFonts w:ascii="Public Sans" w:hAnsi="Public Sans" w:cs="Arial"/>
          <w:szCs w:val="18"/>
          <w:lang w:eastAsia="en-AU"/>
        </w:rPr>
        <w:t>4.89].</w:t>
      </w:r>
    </w:p>
  </w:footnote>
  <w:footnote w:id="422">
    <w:p w14:paraId="0CC397CE"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rec 9, [</w:t>
      </w:r>
      <w:r w:rsidRPr="00410DAB">
        <w:rPr>
          <w:rFonts w:ascii="Public Sans" w:hAnsi="Public Sans" w:cs="Arial"/>
          <w:szCs w:val="18"/>
          <w:lang w:eastAsia="en-AU"/>
        </w:rPr>
        <w:t>4.90]</w:t>
      </w:r>
      <w:r w:rsidRPr="00410DAB">
        <w:rPr>
          <w:rFonts w:ascii="Public Sans" w:hAnsi="Public Sans" w:cs="Arial"/>
        </w:rPr>
        <w:t>–[4.92].</w:t>
      </w:r>
    </w:p>
  </w:footnote>
  <w:footnote w:id="423">
    <w:p w14:paraId="46A360F3"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Style w:val="normaltextrun"/>
          <w:rFonts w:ascii="Public Sans" w:hAnsi="Public Sans"/>
          <w:color w:val="000000"/>
          <w:szCs w:val="18"/>
          <w:shd w:val="clear" w:color="auto" w:fill="FFFFFF"/>
        </w:rPr>
        <w:t xml:space="preserve">Australian Human Rights Commission, </w:t>
      </w:r>
      <w:r w:rsidRPr="00410DAB">
        <w:rPr>
          <w:rStyle w:val="findhit"/>
          <w:rFonts w:ascii="Public Sans" w:hAnsi="Public Sans"/>
          <w:i/>
          <w:iCs/>
          <w:color w:val="000000"/>
          <w:szCs w:val="18"/>
          <w:shd w:val="clear" w:color="auto" w:fill="FFFFFF"/>
        </w:rPr>
        <w:t>Free and Eq</w:t>
      </w:r>
      <w:r w:rsidRPr="00410DAB">
        <w:rPr>
          <w:rStyle w:val="normaltextrun"/>
          <w:rFonts w:ascii="Public Sans" w:hAnsi="Public Sans"/>
          <w:i/>
          <w:iCs/>
          <w:color w:val="000000"/>
          <w:szCs w:val="18"/>
          <w:shd w:val="clear" w:color="auto" w:fill="FFFFFF"/>
        </w:rPr>
        <w:t xml:space="preserve">ual: A Reform Agenda for Federal Discrimination Laws </w:t>
      </w:r>
      <w:r w:rsidRPr="00410DAB">
        <w:rPr>
          <w:rStyle w:val="normaltextrun"/>
          <w:rFonts w:ascii="Public Sans" w:hAnsi="Public Sans"/>
          <w:color w:val="000000"/>
          <w:szCs w:val="18"/>
          <w:shd w:val="clear" w:color="auto" w:fill="FFFFFF"/>
        </w:rPr>
        <w:t>(2021)</w:t>
      </w:r>
      <w:r w:rsidRPr="00410DAB">
        <w:rPr>
          <w:rFonts w:ascii="Public Sans" w:hAnsi="Public Sans" w:cs="Arial"/>
        </w:rPr>
        <w:t xml:space="preserve"> 278.</w:t>
      </w:r>
    </w:p>
  </w:footnote>
  <w:footnote w:id="424">
    <w:p w14:paraId="04CB1D14"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25(3)(b), s 38C(3)(b), s 40(3)(b), s 49D(3)(b), s 49V(3)(b), s 49ZH(3)(b).</w:t>
      </w:r>
    </w:p>
  </w:footnote>
  <w:footnote w:id="425">
    <w:p w14:paraId="7F2730B9"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rec 14, [4.99].</w:t>
      </w:r>
    </w:p>
  </w:footnote>
  <w:footnote w:id="426">
    <w:p w14:paraId="1D852CB5"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10A, s 27A, s 38F, s 42A, s 49G, s 49Y, s49ZK, s 49ZYE.</w:t>
      </w:r>
    </w:p>
  </w:footnote>
  <w:footnote w:id="427">
    <w:p w14:paraId="1910ED34" w14:textId="77777777" w:rsidR="000835D9" w:rsidRPr="00410DAB" w:rsidRDefault="000835D9" w:rsidP="000835D9">
      <w:pPr>
        <w:pStyle w:val="FootnoteText"/>
        <w:rPr>
          <w:rFonts w:ascii="Public Sans" w:hAnsi="Public Sans" w:cs="Arial"/>
          <w:color w:val="70AD47" w:themeColor="accent6"/>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i/>
          <w:iCs/>
        </w:rPr>
        <w:t>Anti-Discrimination Act 1991</w:t>
      </w:r>
      <w:r w:rsidRPr="00410DAB">
        <w:rPr>
          <w:rFonts w:ascii="Public Sans" w:hAnsi="Public Sans" w:cs="Arial"/>
        </w:rPr>
        <w:t xml:space="preserve"> (Qld) s 16, s 17; </w:t>
      </w:r>
      <w:r w:rsidRPr="00410DAB">
        <w:rPr>
          <w:rFonts w:ascii="Public Sans" w:hAnsi="Public Sans" w:cs="Arial"/>
          <w:i/>
          <w:iCs/>
        </w:rPr>
        <w:t>Equal Opportunity Act 2010</w:t>
      </w:r>
      <w:r w:rsidRPr="00410DAB">
        <w:rPr>
          <w:rFonts w:ascii="Public Sans" w:hAnsi="Public Sans" w:cs="Arial"/>
        </w:rPr>
        <w:t xml:space="preserve"> (Vic) s 31; </w:t>
      </w:r>
      <w:r w:rsidRPr="00410DAB">
        <w:rPr>
          <w:rFonts w:ascii="Public Sans" w:hAnsi="Public Sans" w:cs="Arial"/>
          <w:i/>
          <w:iCs/>
        </w:rPr>
        <w:t>Equal Opportunity Act 1984</w:t>
      </w:r>
      <w:r w:rsidRPr="00410DAB">
        <w:rPr>
          <w:rFonts w:ascii="Public Sans" w:hAnsi="Public Sans" w:cs="Arial"/>
        </w:rPr>
        <w:t xml:space="preserve"> (WA) s 14; </w:t>
      </w:r>
      <w:r w:rsidRPr="00410DAB">
        <w:rPr>
          <w:rFonts w:ascii="Public Sans" w:hAnsi="Public Sans" w:cs="Arial"/>
          <w:i/>
          <w:iCs/>
        </w:rPr>
        <w:t>Disability Discrimination Act 1992</w:t>
      </w:r>
      <w:r w:rsidRPr="00410DAB">
        <w:rPr>
          <w:rFonts w:ascii="Public Sans" w:hAnsi="Public Sans" w:cs="Arial"/>
        </w:rPr>
        <w:t xml:space="preserve"> (Cth) s 18; </w:t>
      </w:r>
      <w:r w:rsidRPr="00410DAB">
        <w:rPr>
          <w:rFonts w:ascii="Public Sans" w:hAnsi="Public Sans" w:cs="Arial"/>
          <w:i/>
          <w:iCs/>
          <w:szCs w:val="18"/>
        </w:rPr>
        <w:t xml:space="preserve">Age Discrimination Act 2004 </w:t>
      </w:r>
      <w:r w:rsidRPr="00410DAB">
        <w:rPr>
          <w:rFonts w:ascii="Public Sans" w:hAnsi="Public Sans" w:cs="Arial"/>
          <w:szCs w:val="18"/>
        </w:rPr>
        <w:t xml:space="preserve">(Cth) </w:t>
      </w:r>
      <w:r w:rsidRPr="00410DAB">
        <w:rPr>
          <w:rFonts w:ascii="Public Sans" w:hAnsi="Public Sans" w:cs="Arial"/>
        </w:rPr>
        <w:t xml:space="preserve">s 21; </w:t>
      </w:r>
      <w:r w:rsidRPr="00410DAB">
        <w:rPr>
          <w:rFonts w:ascii="Public Sans" w:hAnsi="Public Sans" w:cs="Arial"/>
          <w:i/>
          <w:iCs/>
        </w:rPr>
        <w:t>Sex Discrimination Act 1984</w:t>
      </w:r>
      <w:r w:rsidRPr="00410DAB">
        <w:rPr>
          <w:rFonts w:ascii="Public Sans" w:hAnsi="Public Sans" w:cs="Arial"/>
        </w:rPr>
        <w:t xml:space="preserve"> (Cth) s 17.</w:t>
      </w:r>
    </w:p>
  </w:footnote>
  <w:footnote w:id="428">
    <w:p w14:paraId="3968A860"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rec 15, [4.102].</w:t>
      </w:r>
    </w:p>
  </w:footnote>
  <w:footnote w:id="429">
    <w:p w14:paraId="7F104576"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49PA(1).</w:t>
      </w:r>
    </w:p>
  </w:footnote>
  <w:footnote w:id="430">
    <w:p w14:paraId="2E45B0DC" w14:textId="77777777" w:rsidR="000835D9" w:rsidRPr="00410DAB" w:rsidRDefault="000835D9" w:rsidP="000835D9">
      <w:pPr>
        <w:pStyle w:val="FootnoteText"/>
        <w:rPr>
          <w:rFonts w:ascii="Public Sans" w:hAnsi="Public Sans" w:cs="Arial"/>
          <w:color w:val="000000" w:themeColor="text1"/>
          <w:highlight w:val="yellow"/>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Anti-Discrimination Act 1977</w:t>
      </w:r>
      <w:r w:rsidRPr="00410DAB">
        <w:rPr>
          <w:rFonts w:ascii="Public Sans" w:hAnsi="Public Sans" w:cs="Arial"/>
          <w:color w:val="000000" w:themeColor="text1"/>
        </w:rPr>
        <w:t xml:space="preserve"> (NSW) s 49D(4), s 49E(3), s 49F(2), s 49G(3), s 49I(3), s  49J(2), s 49K(2), s 49V(4), s 49W(3), s 49X(2), s 49Y(3), s 49ZA(3), s 49ZB(2), s 49ZC(2). </w:t>
      </w:r>
    </w:p>
  </w:footnote>
  <w:footnote w:id="431">
    <w:p w14:paraId="429EBE77" w14:textId="77777777" w:rsidR="000835D9" w:rsidRPr="00410DAB" w:rsidRDefault="000835D9" w:rsidP="000835D9">
      <w:pPr>
        <w:pStyle w:val="FootnoteText"/>
        <w:rPr>
          <w:rFonts w:ascii="Public Sans" w:hAnsi="Public Sans" w:cs="Arial"/>
          <w:color w:val="7030A0"/>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49D(4)</w:t>
      </w:r>
      <w:r w:rsidRPr="00410DAB">
        <w:rPr>
          <w:rFonts w:ascii="Public Sans" w:hAnsi="Public Sans" w:cs="Arial"/>
          <w:color w:val="385623" w:themeColor="accent6" w:themeShade="80"/>
        </w:rPr>
        <w:t>,</w:t>
      </w:r>
      <w:r w:rsidRPr="00410DAB">
        <w:rPr>
          <w:rFonts w:ascii="Public Sans" w:hAnsi="Public Sans" w:cs="Arial"/>
        </w:rPr>
        <w:t xml:space="preserve"> s 49E(3), s 49F(2), s 49G(3), s 49J(2), s 49K(2), s 49V(4), s 49W(3), s 49X(2), s 49Y(3), s 49ZB(2), s 49ZC(2).</w:t>
      </w:r>
    </w:p>
  </w:footnote>
  <w:footnote w:id="432">
    <w:p w14:paraId="5EFDAD33" w14:textId="77777777" w:rsidR="000835D9" w:rsidRPr="00410DAB" w:rsidRDefault="000835D9" w:rsidP="000835D9">
      <w:pPr>
        <w:pStyle w:val="FootnoteText"/>
        <w:rPr>
          <w:rFonts w:ascii="Public Sans" w:hAnsi="Public Sans" w:cs="Arial"/>
          <w:szCs w:val="18"/>
          <w:highlight w:val="yellow"/>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49C(c), s 49U(c).</w:t>
      </w:r>
    </w:p>
  </w:footnote>
  <w:footnote w:id="433">
    <w:p w14:paraId="44EA72CA" w14:textId="77777777" w:rsidR="000835D9" w:rsidRPr="00410DAB" w:rsidRDefault="000835D9" w:rsidP="000835D9">
      <w:pPr>
        <w:pStyle w:val="FootnoteText"/>
        <w:tabs>
          <w:tab w:val="left" w:pos="357"/>
          <w:tab w:val="left" w:pos="714"/>
          <w:tab w:val="left" w:pos="1071"/>
          <w:tab w:val="left" w:pos="1428"/>
          <w:tab w:val="left" w:pos="1785"/>
          <w:tab w:val="left" w:pos="2142"/>
          <w:tab w:val="left" w:pos="2499"/>
          <w:tab w:val="left" w:pos="2856"/>
          <w:tab w:val="left" w:pos="3213"/>
          <w:tab w:val="left" w:pos="3570"/>
          <w:tab w:val="left" w:pos="3927"/>
          <w:tab w:val="center" w:pos="5009"/>
        </w:tabs>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rPr>
        <w:tab/>
      </w:r>
      <w:r w:rsidRPr="00410DAB">
        <w:rPr>
          <w:rFonts w:ascii="Public Sans" w:hAnsi="Public Sans"/>
          <w:i/>
          <w:iCs/>
        </w:rPr>
        <w:t>Fair Work Act 2009</w:t>
      </w:r>
      <w:r w:rsidRPr="00410DAB">
        <w:rPr>
          <w:rFonts w:ascii="Public Sans" w:hAnsi="Public Sans"/>
        </w:rPr>
        <w:t xml:space="preserve"> (Cth) s 351(2)(b), s 772(2)(a).</w:t>
      </w:r>
      <w:r w:rsidRPr="00410DAB">
        <w:rPr>
          <w:rFonts w:ascii="Public Sans" w:hAnsi="Public Sans"/>
        </w:rPr>
        <w:tab/>
      </w:r>
    </w:p>
  </w:footnote>
  <w:footnote w:id="434">
    <w:p w14:paraId="7142937C" w14:textId="77777777" w:rsidR="000835D9" w:rsidRPr="00410DAB" w:rsidRDefault="000835D9" w:rsidP="000835D9">
      <w:pPr>
        <w:pStyle w:val="FootnoteText"/>
        <w:rPr>
          <w:rFonts w:ascii="Public Sans" w:hAnsi="Public Sans" w:cs="Arial"/>
          <w:color w:val="000000" w:themeColor="text1"/>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233" w:name="_Hlk191529213"/>
      <w:r w:rsidRPr="00410DAB">
        <w:rPr>
          <w:rFonts w:ascii="Public Sans" w:hAnsi="Public Sans" w:cs="Arial"/>
          <w:i/>
          <w:iCs/>
        </w:rPr>
        <w:t>Royal Commission into Violence, Abuse, Neglect and Exploitation of People with Disability</w:t>
      </w:r>
      <w:r w:rsidRPr="00410DAB">
        <w:rPr>
          <w:rFonts w:ascii="Public Sans" w:hAnsi="Public Sans" w:cs="Arial"/>
        </w:rPr>
        <w:t xml:space="preserve">, Final </w:t>
      </w:r>
      <w:r w:rsidRPr="00410DAB">
        <w:rPr>
          <w:rFonts w:ascii="Public Sans" w:hAnsi="Public Sans" w:cs="Arial"/>
          <w:color w:val="000000" w:themeColor="text1"/>
        </w:rPr>
        <w:t>Report (2023) vol 7, “Inclusive Education, Employment and Housing” Part B, 389.</w:t>
      </w:r>
      <w:bookmarkEnd w:id="233"/>
    </w:p>
  </w:footnote>
  <w:footnote w:id="435">
    <w:p w14:paraId="2220EFAA" w14:textId="77777777" w:rsidR="000835D9" w:rsidRPr="00410DAB" w:rsidRDefault="000835D9" w:rsidP="000835D9">
      <w:pPr>
        <w:pStyle w:val="FootnoteText"/>
        <w:rPr>
          <w:rFonts w:ascii="Public Sans" w:hAnsi="Public Sans" w:cs="Arial"/>
          <w:color w:val="000000" w:themeColor="text1"/>
          <w:highlight w:val="yellow"/>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Royal Commission into Violence, Abuse, Neglect and Exploitation of People with Disability</w:t>
      </w:r>
      <w:r w:rsidRPr="00410DAB">
        <w:rPr>
          <w:rFonts w:ascii="Public Sans" w:hAnsi="Public Sans" w:cs="Arial"/>
          <w:color w:val="000000" w:themeColor="text1"/>
        </w:rPr>
        <w:t>, Final Report (2023) vol 7, “Inclusive Education, Employment and Housing” Part B, rec 7.26, 438.</w:t>
      </w:r>
    </w:p>
  </w:footnote>
  <w:footnote w:id="436">
    <w:p w14:paraId="64970AB9"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i/>
          <w:iCs/>
        </w:rPr>
        <w:t>Discrimination Act 1991</w:t>
      </w:r>
      <w:r w:rsidRPr="00410DAB">
        <w:rPr>
          <w:rFonts w:ascii="Public Sans" w:hAnsi="Public Sans" w:cs="Arial"/>
        </w:rPr>
        <w:t xml:space="preserve"> (ACT) s 74, s 33C.</w:t>
      </w:r>
    </w:p>
  </w:footnote>
  <w:footnote w:id="437">
    <w:p w14:paraId="11833D5E"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33C.</w:t>
      </w:r>
    </w:p>
  </w:footnote>
  <w:footnote w:id="438">
    <w:p w14:paraId="72D5F0AC"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14, s 31, s 49ZYJ.</w:t>
      </w:r>
    </w:p>
  </w:footnote>
  <w:footnote w:id="439">
    <w:p w14:paraId="147EF92A"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[6.151].</w:t>
      </w:r>
    </w:p>
  </w:footnote>
  <w:footnote w:id="440">
    <w:p w14:paraId="66296B57"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31(2)(a)–(i).</w:t>
      </w:r>
    </w:p>
  </w:footnote>
  <w:footnote w:id="441">
    <w:p w14:paraId="5E07D374"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31(2)(h)–(i); NSW Law Reform Commission, </w:t>
      </w:r>
      <w:r w:rsidRPr="00410DAB">
        <w:rPr>
          <w:rFonts w:ascii="Public Sans" w:hAnsi="Public Sans" w:cs="Arial"/>
          <w:i/>
          <w:iCs/>
        </w:rPr>
        <w:t>Review of the Anti-Discrimination Act 1977 (NSW)</w:t>
      </w:r>
      <w:r w:rsidRPr="00410DAB">
        <w:rPr>
          <w:rFonts w:ascii="Public Sans" w:hAnsi="Public Sans" w:cs="Arial"/>
        </w:rPr>
        <w:t xml:space="preserve">, Report 92 (1999) rec 55, rec 56. </w:t>
      </w:r>
    </w:p>
  </w:footnote>
  <w:footnote w:id="442">
    <w:p w14:paraId="6D47E3BA"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xml:space="preserve">, Report 92 (1999) [6.180], [6.323], rec 55, rec 57, rec 73. </w:t>
      </w:r>
    </w:p>
  </w:footnote>
  <w:footnote w:id="443">
    <w:p w14:paraId="79F8478F"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33B(1)(a).</w:t>
      </w:r>
    </w:p>
  </w:footnote>
  <w:footnote w:id="444">
    <w:p w14:paraId="44DE35DB"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33B.</w:t>
      </w:r>
    </w:p>
  </w:footnote>
  <w:footnote w:id="445">
    <w:p w14:paraId="1BC4E49C"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Review of the Anti-Discrimination Act 1977 (NSW)</w:t>
      </w:r>
      <w:r w:rsidRPr="00410DAB">
        <w:rPr>
          <w:rFonts w:ascii="Public Sans" w:hAnsi="Public Sans" w:cs="Arial"/>
        </w:rPr>
        <w:t>, Report 92 (1999) [</w:t>
      </w:r>
      <w:r w:rsidRPr="00410DAB">
        <w:rPr>
          <w:rFonts w:ascii="Public Sans" w:hAnsi="Public Sans" w:cs="Arial"/>
          <w:szCs w:val="18"/>
          <w:lang w:eastAsia="en-AU"/>
        </w:rPr>
        <w:t>6.150].</w:t>
      </w:r>
    </w:p>
  </w:footnote>
  <w:footnote w:id="446">
    <w:p w14:paraId="6B82E42D"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49ZYI.</w:t>
      </w:r>
    </w:p>
  </w:footnote>
  <w:footnote w:id="447">
    <w:p w14:paraId="17787255"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Review of the Anti-Discrimination Act 1977 (NSW)</w:t>
      </w:r>
      <w:r w:rsidRPr="00410DAB">
        <w:rPr>
          <w:rFonts w:ascii="Public Sans" w:hAnsi="Public Sans" w:cs="Arial"/>
        </w:rPr>
        <w:t>, Report 92 (1999) [</w:t>
      </w:r>
      <w:r w:rsidRPr="00410DAB">
        <w:rPr>
          <w:rFonts w:ascii="Public Sans" w:hAnsi="Public Sans" w:cs="Arial"/>
          <w:szCs w:val="18"/>
          <w:lang w:eastAsia="en-AU"/>
        </w:rPr>
        <w:t>6.321].</w:t>
      </w:r>
    </w:p>
  </w:footnote>
  <w:footnote w:id="448">
    <w:p w14:paraId="02C6F495"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1984</w:t>
      </w:r>
      <w:r w:rsidRPr="00410DAB">
        <w:rPr>
          <w:rFonts w:ascii="Public Sans" w:hAnsi="Public Sans" w:cs="Arial"/>
        </w:rPr>
        <w:t xml:space="preserve"> (SA) s 85F(4)(b); </w:t>
      </w:r>
      <w:r w:rsidRPr="00410DAB">
        <w:rPr>
          <w:rFonts w:ascii="Public Sans" w:hAnsi="Public Sans" w:cs="Arial"/>
          <w:i/>
          <w:iCs/>
        </w:rPr>
        <w:t>Equal Opportunity Act 1984</w:t>
      </w:r>
      <w:r w:rsidRPr="00410DAB">
        <w:rPr>
          <w:rFonts w:ascii="Public Sans" w:hAnsi="Public Sans" w:cs="Arial"/>
        </w:rPr>
        <w:t xml:space="preserve"> (WA) s 66ZS(1)(b); </w:t>
      </w:r>
      <w:r w:rsidRPr="00410DAB">
        <w:rPr>
          <w:rFonts w:ascii="Public Sans" w:hAnsi="Public Sans" w:cs="Arial"/>
          <w:i/>
          <w:iCs/>
        </w:rPr>
        <w:t>Discrimination Act 1991</w:t>
      </w:r>
      <w:r w:rsidRPr="00410DAB">
        <w:rPr>
          <w:rFonts w:ascii="Public Sans" w:hAnsi="Public Sans" w:cs="Arial"/>
        </w:rPr>
        <w:t xml:space="preserve"> (ACT) s 57B.</w:t>
      </w:r>
    </w:p>
  </w:footnote>
  <w:footnote w:id="449">
    <w:p w14:paraId="25A1B978"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Fair Work Act 2009</w:t>
      </w:r>
      <w:r w:rsidRPr="00410DAB">
        <w:rPr>
          <w:rFonts w:ascii="Public Sans" w:hAnsi="Public Sans" w:cs="Arial"/>
        </w:rPr>
        <w:t xml:space="preserve"> (Cth) s 139(1), s 153(3).</w:t>
      </w:r>
    </w:p>
  </w:footnote>
  <w:footnote w:id="450">
    <w:p w14:paraId="4854F30F"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46.</w:t>
      </w:r>
    </w:p>
  </w:footnote>
  <w:footnote w:id="451">
    <w:p w14:paraId="7DFD5558"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rec 63, [6.248].</w:t>
      </w:r>
    </w:p>
  </w:footnote>
  <w:footnote w:id="452">
    <w:p w14:paraId="7AC01B6F"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i/>
          <w:iCs/>
        </w:rPr>
        <w:t>Discrimination Act 1991</w:t>
      </w:r>
      <w:r w:rsidRPr="00410DAB">
        <w:rPr>
          <w:rFonts w:ascii="Public Sans" w:hAnsi="Public Sans" w:cs="Arial"/>
        </w:rPr>
        <w:t xml:space="preserve"> (ACT) s 35</w:t>
      </w:r>
      <w:r w:rsidRPr="00410DAB">
        <w:rPr>
          <w:rFonts w:ascii="Public Sans" w:hAnsi="Public Sans" w:cs="Arial"/>
          <w:i/>
          <w:iCs/>
        </w:rPr>
        <w:t>; Equal Opportunity Act 1984</w:t>
      </w:r>
      <w:r w:rsidRPr="00410DAB">
        <w:rPr>
          <w:rFonts w:ascii="Public Sans" w:hAnsi="Public Sans" w:cs="Arial"/>
        </w:rPr>
        <w:t xml:space="preserve"> (WA) s 29; </w:t>
      </w:r>
      <w:r w:rsidRPr="00410DAB">
        <w:rPr>
          <w:rFonts w:ascii="Public Sans" w:hAnsi="Public Sans" w:cs="Arial"/>
          <w:i/>
          <w:iCs/>
        </w:rPr>
        <w:t>Anti-Discrimination Act 1991</w:t>
      </w:r>
      <w:r w:rsidRPr="00410DAB">
        <w:rPr>
          <w:rFonts w:ascii="Public Sans" w:hAnsi="Public Sans" w:cs="Arial"/>
        </w:rPr>
        <w:t xml:space="preserve"> (Qld) s 31. </w:t>
      </w:r>
    </w:p>
  </w:footnote>
  <w:footnote w:id="453">
    <w:p w14:paraId="36E964F1"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15, s 16.</w:t>
      </w:r>
    </w:p>
  </w:footnote>
  <w:footnote w:id="454">
    <w:p w14:paraId="32D22F85"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Racial Discrimination Act 1975</w:t>
      </w:r>
      <w:r w:rsidRPr="00410DAB">
        <w:rPr>
          <w:rFonts w:ascii="Public Sans" w:hAnsi="Public Sans" w:cs="Arial"/>
        </w:rPr>
        <w:t xml:space="preserve"> (Cth) s 9(3).</w:t>
      </w:r>
    </w:p>
  </w:footnote>
  <w:footnote w:id="455">
    <w:p w14:paraId="4475BD1C"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rec 54, [</w:t>
      </w:r>
      <w:r w:rsidRPr="00410DAB">
        <w:rPr>
          <w:rFonts w:ascii="Public Sans" w:hAnsi="Public Sans" w:cs="Arial"/>
          <w:szCs w:val="18"/>
          <w:lang w:eastAsia="en-AU"/>
        </w:rPr>
        <w:t>6.164]–[ 6.166].</w:t>
      </w:r>
    </w:p>
  </w:footnote>
  <w:footnote w:id="456">
    <w:p w14:paraId="73E4B30F"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17, s 31A, s 49L, s 49ZYL, s 38K, s 49ZO, s 46A.</w:t>
      </w:r>
    </w:p>
  </w:footnote>
  <w:footnote w:id="457">
    <w:p w14:paraId="27B64920"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4(1) definition of “educational authority”.</w:t>
      </w:r>
    </w:p>
  </w:footnote>
  <w:footnote w:id="458">
    <w:p w14:paraId="17202213"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Disability Discrimination Act 1992</w:t>
      </w:r>
      <w:r w:rsidRPr="00410DAB">
        <w:rPr>
          <w:rFonts w:ascii="Public Sans" w:hAnsi="Public Sans" w:cs="Arial"/>
        </w:rPr>
        <w:t xml:space="preserve"> (Cth) s 4(1) definition of “education provider”. </w:t>
      </w:r>
    </w:p>
  </w:footnote>
  <w:footnote w:id="459">
    <w:p w14:paraId="46C7F763"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Law Reform Commission of Western Australia, </w:t>
      </w:r>
      <w:r w:rsidRPr="00410DAB">
        <w:rPr>
          <w:rFonts w:ascii="Public Sans" w:hAnsi="Public Sans" w:cs="Arial"/>
          <w:i/>
          <w:iCs/>
        </w:rPr>
        <w:t>Review of the Equal Opportunity Act 1984 (WA)</w:t>
      </w:r>
      <w:r w:rsidRPr="00410DAB">
        <w:rPr>
          <w:rFonts w:ascii="Public Sans" w:hAnsi="Public Sans" w:cs="Arial"/>
        </w:rPr>
        <w:t>, Project 111, Final Report (2022) 127, rec 57.</w:t>
      </w:r>
    </w:p>
  </w:footnote>
  <w:footnote w:id="460">
    <w:p w14:paraId="006A6B8F"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Law Reform Commission of Western Australia, </w:t>
      </w:r>
      <w:r w:rsidRPr="00410DAB">
        <w:rPr>
          <w:rFonts w:ascii="Public Sans" w:hAnsi="Public Sans" w:cs="Arial"/>
          <w:i/>
          <w:iCs/>
        </w:rPr>
        <w:t>Review of the Equal Opportunity Act 1984 (WA)</w:t>
      </w:r>
      <w:r w:rsidRPr="00410DAB">
        <w:rPr>
          <w:rFonts w:ascii="Public Sans" w:hAnsi="Public Sans" w:cs="Arial"/>
        </w:rPr>
        <w:t xml:space="preserve">, Project 111, Final Report (2022) 128, rec 58. </w:t>
      </w:r>
    </w:p>
  </w:footnote>
  <w:footnote w:id="461">
    <w:p w14:paraId="0DACF138"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Equal Opportunity Act 1984 </w:t>
      </w:r>
      <w:r w:rsidRPr="00410DAB">
        <w:rPr>
          <w:rFonts w:ascii="Public Sans" w:hAnsi="Public Sans" w:cs="Arial"/>
        </w:rPr>
        <w:t xml:space="preserve">(WA) s 18, s 35AJ, s 35I, s 35W, s 44, s 61, s 66ZD. </w:t>
      </w:r>
    </w:p>
  </w:footnote>
  <w:footnote w:id="462">
    <w:p w14:paraId="3EAEA186"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31A(3)(b), s 31A(4).</w:t>
      </w:r>
    </w:p>
  </w:footnote>
  <w:footnote w:id="463">
    <w:p w14:paraId="4C776F27"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Style w:val="normaltextrun"/>
          <w:rFonts w:ascii="Public Sans" w:hAnsi="Public Sans" w:cs="Arial"/>
          <w:color w:val="000000"/>
          <w:szCs w:val="18"/>
          <w:shd w:val="clear" w:color="auto" w:fill="FFFFFF"/>
        </w:rPr>
        <w:t xml:space="preserve">Equality Australia, </w:t>
      </w:r>
      <w:r w:rsidRPr="00410DAB">
        <w:rPr>
          <w:rStyle w:val="normaltextrun"/>
          <w:rFonts w:ascii="Public Sans" w:hAnsi="Public Sans" w:cs="Arial"/>
          <w:i/>
          <w:iCs/>
          <w:color w:val="000000"/>
          <w:szCs w:val="18"/>
          <w:shd w:val="clear" w:color="auto" w:fill="FFFFFF"/>
        </w:rPr>
        <w:t>Dismissed, Denied and Demeaned: A National Report on LGBTQ+ Discrimination in Faith-Based Schools and Organisation</w:t>
      </w:r>
      <w:r w:rsidRPr="00410DAB">
        <w:rPr>
          <w:rStyle w:val="normaltextrun"/>
          <w:rFonts w:ascii="Public Sans" w:hAnsi="Public Sans" w:cs="Arial"/>
          <w:color w:val="000000"/>
          <w:szCs w:val="18"/>
          <w:shd w:val="clear" w:color="auto" w:fill="FFFFFF"/>
        </w:rPr>
        <w:t>s (2024</w:t>
      </w:r>
      <w:r w:rsidRPr="00410DAB">
        <w:rPr>
          <w:rStyle w:val="normaltextrun"/>
          <w:rFonts w:ascii="Public Sans" w:hAnsi="Public Sans" w:cs="Arial"/>
          <w:szCs w:val="18"/>
          <w:shd w:val="clear" w:color="auto" w:fill="FFFFFF"/>
        </w:rPr>
        <w:t>) 63–64.</w:t>
      </w:r>
    </w:p>
  </w:footnote>
  <w:footnote w:id="464">
    <w:p w14:paraId="1CF008AE"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49L(3)(b).</w:t>
      </w:r>
    </w:p>
  </w:footnote>
  <w:footnote w:id="465">
    <w:p w14:paraId="3F89C910"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[6.280]–[6.285], rec 67.</w:t>
      </w:r>
    </w:p>
  </w:footnote>
  <w:footnote w:id="466">
    <w:p w14:paraId="23F33A17"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49L(4)–(5).</w:t>
      </w:r>
    </w:p>
  </w:footnote>
  <w:footnote w:id="467">
    <w:p w14:paraId="45083E93"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49ZYL(3)(a), s 49ZYL(4)–(5).</w:t>
      </w:r>
    </w:p>
  </w:footnote>
  <w:footnote w:id="468">
    <w:p w14:paraId="68556C69"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rec 74, [6.336].</w:t>
      </w:r>
    </w:p>
  </w:footnote>
  <w:footnote w:id="469">
    <w:p w14:paraId="302CDE46" w14:textId="77777777" w:rsidR="000835D9" w:rsidRPr="00410DAB" w:rsidRDefault="000835D9" w:rsidP="000835D9">
      <w:pPr>
        <w:pStyle w:val="FootnoteText"/>
        <w:rPr>
          <w:rFonts w:ascii="Public Sans" w:hAnsi="Public Sans" w:cs="Arial"/>
          <w:color w:val="70AD47" w:themeColor="accent6"/>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19, s 33, s 49M, s 49ZYN, s 38M, s 49ZP, s 47.</w:t>
      </w:r>
    </w:p>
  </w:footnote>
  <w:footnote w:id="470">
    <w:p w14:paraId="4457ED02"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4(1) definition of “services”.</w:t>
      </w:r>
    </w:p>
  </w:footnote>
  <w:footnote w:id="471">
    <w:p w14:paraId="7C2C4DCC"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Turner v State Transit Authority</w:t>
      </w:r>
      <w:r w:rsidRPr="00410DAB">
        <w:rPr>
          <w:rFonts w:ascii="Public Sans" w:hAnsi="Public Sans" w:cs="Arial"/>
        </w:rPr>
        <w:t xml:space="preserve"> [2004] NSWADT 89 [71]–[73].</w:t>
      </w:r>
    </w:p>
  </w:footnote>
  <w:footnote w:id="472">
    <w:p w14:paraId="4AB196C6"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Anti-Discrimination Act 1991 </w:t>
      </w:r>
      <w:r w:rsidRPr="00410DAB">
        <w:rPr>
          <w:rFonts w:ascii="Public Sans" w:hAnsi="Public Sans" w:cs="Arial"/>
        </w:rPr>
        <w:t xml:space="preserve">(Qld) s 46; </w:t>
      </w:r>
      <w:r w:rsidRPr="00410DAB">
        <w:rPr>
          <w:rFonts w:ascii="Public Sans" w:hAnsi="Public Sans" w:cs="Arial"/>
          <w:i/>
          <w:iCs/>
        </w:rPr>
        <w:t xml:space="preserve">Anti-Discrimination Act 1992 </w:t>
      </w:r>
      <w:r w:rsidRPr="00410DAB">
        <w:rPr>
          <w:rFonts w:ascii="Public Sans" w:hAnsi="Public Sans" w:cs="Arial"/>
        </w:rPr>
        <w:t xml:space="preserve">(NT) s 41; </w:t>
      </w:r>
      <w:r w:rsidRPr="00410DAB">
        <w:rPr>
          <w:rFonts w:ascii="Public Sans" w:hAnsi="Public Sans" w:cs="Arial"/>
          <w:i/>
          <w:iCs/>
        </w:rPr>
        <w:t xml:space="preserve">Age Discrimination Act 2004 </w:t>
      </w:r>
      <w:r w:rsidRPr="00410DAB">
        <w:rPr>
          <w:rFonts w:ascii="Public Sans" w:hAnsi="Public Sans" w:cs="Arial"/>
        </w:rPr>
        <w:t xml:space="preserve">(Cth) s 28(c); </w:t>
      </w:r>
      <w:r w:rsidRPr="00410DAB">
        <w:rPr>
          <w:rFonts w:ascii="Public Sans" w:hAnsi="Public Sans" w:cs="Arial"/>
          <w:i/>
          <w:iCs/>
        </w:rPr>
        <w:t xml:space="preserve">Disability Discrimination Act 1992 </w:t>
      </w:r>
      <w:r w:rsidRPr="00410DAB">
        <w:rPr>
          <w:rFonts w:ascii="Public Sans" w:hAnsi="Public Sans" w:cs="Arial"/>
        </w:rPr>
        <w:t>(Cth) s 24(c);</w:t>
      </w:r>
      <w:r w:rsidRPr="00410DAB">
        <w:rPr>
          <w:rFonts w:ascii="Public Sans" w:hAnsi="Public Sans" w:cs="Arial"/>
          <w:i/>
          <w:iCs/>
        </w:rPr>
        <w:t xml:space="preserve"> Discrimination Act 1991 </w:t>
      </w:r>
      <w:r w:rsidRPr="00410DAB">
        <w:rPr>
          <w:rFonts w:ascii="Public Sans" w:hAnsi="Public Sans" w:cs="Arial"/>
        </w:rPr>
        <w:t>(ACT) s 20(c);</w:t>
      </w:r>
      <w:r w:rsidRPr="00410DAB">
        <w:rPr>
          <w:rFonts w:ascii="Public Sans" w:hAnsi="Public Sans" w:cs="Arial"/>
          <w:i/>
          <w:iCs/>
        </w:rPr>
        <w:t xml:space="preserve"> Equal Opportunity Act 1984 </w:t>
      </w:r>
      <w:r w:rsidRPr="00410DAB">
        <w:rPr>
          <w:rFonts w:ascii="Public Sans" w:hAnsi="Public Sans" w:cs="Arial"/>
        </w:rPr>
        <w:t xml:space="preserve">(WA) s 66K(c); </w:t>
      </w:r>
      <w:r w:rsidRPr="00410DAB">
        <w:rPr>
          <w:rFonts w:ascii="Public Sans" w:hAnsi="Public Sans" w:cs="Arial"/>
          <w:i/>
          <w:iCs/>
        </w:rPr>
        <w:t xml:space="preserve">Sex Discrimination Act 1984 </w:t>
      </w:r>
      <w:r w:rsidRPr="00410DAB">
        <w:rPr>
          <w:rFonts w:ascii="Public Sans" w:hAnsi="Public Sans" w:cs="Arial"/>
        </w:rPr>
        <w:t>(Cth) s 22(c).</w:t>
      </w:r>
    </w:p>
  </w:footnote>
  <w:footnote w:id="473">
    <w:p w14:paraId="19F219F3"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Equal Opportunity Act 2010 </w:t>
      </w:r>
      <w:r w:rsidRPr="00410DAB">
        <w:rPr>
          <w:rFonts w:ascii="Public Sans" w:hAnsi="Public Sans" w:cs="Arial"/>
        </w:rPr>
        <w:t xml:space="preserve">(Vic) s 44(1)(c); </w:t>
      </w:r>
      <w:r w:rsidRPr="00410DAB">
        <w:rPr>
          <w:rFonts w:ascii="Public Sans" w:hAnsi="Public Sans" w:cs="Arial"/>
          <w:i/>
          <w:iCs/>
        </w:rPr>
        <w:t>Anti-Discrimination Act 1992</w:t>
      </w:r>
      <w:r w:rsidRPr="00410DAB">
        <w:rPr>
          <w:rFonts w:ascii="Public Sans" w:hAnsi="Public Sans" w:cs="Arial"/>
        </w:rPr>
        <w:t xml:space="preserve"> (NT) s 41.</w:t>
      </w:r>
    </w:p>
  </w:footnote>
  <w:footnote w:id="474">
    <w:p w14:paraId="77DA47F4"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rec 17, [4.140]–[4.143], [4.152], [4.163].</w:t>
      </w:r>
    </w:p>
  </w:footnote>
  <w:footnote w:id="475">
    <w:p w14:paraId="0C076330"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Anti-Discrimination Act 1992 </w:t>
      </w:r>
      <w:r w:rsidRPr="00410DAB">
        <w:rPr>
          <w:rFonts w:ascii="Public Sans" w:hAnsi="Public Sans" w:cs="Arial"/>
        </w:rPr>
        <w:t>(NT) s 41.</w:t>
      </w:r>
    </w:p>
  </w:footnote>
  <w:footnote w:id="476">
    <w:p w14:paraId="1274F28B" w14:textId="77777777" w:rsidR="000835D9" w:rsidRPr="00410DAB" w:rsidRDefault="000835D9" w:rsidP="000835D9">
      <w:pPr>
        <w:pStyle w:val="FootnoteText"/>
        <w:rPr>
          <w:rFonts w:ascii="Public Sans" w:hAnsi="Public Sans" w:cs="ArialBlack"/>
          <w:sz w:val="19"/>
          <w:szCs w:val="19"/>
          <w:highlight w:val="yellow"/>
          <w:lang w:eastAsia="en-AU"/>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szCs w:val="18"/>
        </w:rPr>
        <w:t xml:space="preserve">Northern Territory, </w:t>
      </w:r>
      <w:r w:rsidRPr="00410DAB">
        <w:rPr>
          <w:rFonts w:ascii="Public Sans" w:hAnsi="Public Sans" w:cs="Helvetica"/>
          <w:szCs w:val="18"/>
          <w:lang w:eastAsia="en-AU"/>
        </w:rPr>
        <w:t xml:space="preserve">Department of the </w:t>
      </w:r>
      <w:r w:rsidRPr="00410DAB">
        <w:rPr>
          <w:rFonts w:ascii="Public Sans" w:hAnsi="Public Sans" w:cs="ArialBlack"/>
          <w:szCs w:val="18"/>
          <w:lang w:eastAsia="en-AU"/>
        </w:rPr>
        <w:t>Attorney-General and Justice,</w:t>
      </w:r>
      <w:r w:rsidRPr="00410DAB">
        <w:rPr>
          <w:rFonts w:ascii="Public Sans" w:hAnsi="Public Sans" w:cs="ArialBlack"/>
          <w:i/>
          <w:iCs/>
          <w:szCs w:val="18"/>
          <w:lang w:eastAsia="en-AU"/>
        </w:rPr>
        <w:t xml:space="preserve"> Modernisation of the Anti-Discrimination Act</w:t>
      </w:r>
      <w:r w:rsidRPr="00410DAB">
        <w:rPr>
          <w:rFonts w:ascii="Public Sans" w:hAnsi="Public Sans" w:cs="ArialBlack"/>
          <w:szCs w:val="18"/>
          <w:lang w:eastAsia="en-AU"/>
        </w:rPr>
        <w:t>, Discussion Paper (2017) 19–20.</w:t>
      </w:r>
    </w:p>
  </w:footnote>
  <w:footnote w:id="477">
    <w:p w14:paraId="2B898AA0"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4(1) definition of “services”.</w:t>
      </w:r>
    </w:p>
  </w:footnote>
  <w:footnote w:id="478">
    <w:p w14:paraId="5697E494"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[4.198], rec 23.</w:t>
      </w:r>
    </w:p>
  </w:footnote>
  <w:footnote w:id="479">
    <w:p w14:paraId="1C28F469" w14:textId="77777777" w:rsidR="000835D9" w:rsidRPr="00410DAB" w:rsidRDefault="000835D9" w:rsidP="000835D9">
      <w:pPr>
        <w:pStyle w:val="FootnoteText"/>
        <w:rPr>
          <w:rFonts w:ascii="Public Sans" w:hAnsi="Public Sans" w:cs="Arial"/>
          <w:color w:val="70AD47" w:themeColor="accent6"/>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Disability Discrimination Act 1992</w:t>
      </w:r>
      <w:r w:rsidRPr="00410DAB">
        <w:rPr>
          <w:rFonts w:ascii="Public Sans" w:hAnsi="Public Sans" w:cs="Arial"/>
        </w:rPr>
        <w:t xml:space="preserve"> (Cth) s 23.</w:t>
      </w:r>
    </w:p>
  </w:footnote>
  <w:footnote w:id="480">
    <w:p w14:paraId="6A35102C"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57(2) definition of “premises”.</w:t>
      </w:r>
    </w:p>
  </w:footnote>
  <w:footnote w:id="481">
    <w:p w14:paraId="10BA5263" w14:textId="77777777" w:rsidR="000835D9" w:rsidRPr="00410DAB" w:rsidRDefault="000835D9" w:rsidP="000835D9">
      <w:pPr>
        <w:pStyle w:val="FootnoteText"/>
        <w:rPr>
          <w:rFonts w:ascii="Public Sans" w:hAnsi="Public Sans" w:cs="Arial"/>
          <w:color w:val="70AD47" w:themeColor="accent6"/>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Victoria, Department of Justice, </w:t>
      </w:r>
      <w:r w:rsidRPr="00410DAB">
        <w:rPr>
          <w:rFonts w:ascii="Public Sans" w:hAnsi="Public Sans" w:cs="Arial"/>
          <w:i/>
          <w:iCs/>
        </w:rPr>
        <w:t xml:space="preserve">An Equality Act for a Fairer Victoria: Equal Opportunity Review, </w:t>
      </w:r>
      <w:r w:rsidRPr="00410DAB">
        <w:rPr>
          <w:rFonts w:ascii="Public Sans" w:hAnsi="Public Sans" w:cs="Arial"/>
        </w:rPr>
        <w:t>Final Report</w:t>
      </w:r>
      <w:r w:rsidRPr="00410DAB">
        <w:rPr>
          <w:rFonts w:ascii="Public Sans" w:hAnsi="Public Sans" w:cs="Arial"/>
          <w:i/>
          <w:iCs/>
        </w:rPr>
        <w:t xml:space="preserve"> </w:t>
      </w:r>
      <w:r w:rsidRPr="00410DAB">
        <w:rPr>
          <w:rFonts w:ascii="Public Sans" w:hAnsi="Public Sans" w:cs="Arial"/>
        </w:rPr>
        <w:t>(2008) [5.73], rec 45.</w:t>
      </w:r>
    </w:p>
  </w:footnote>
  <w:footnote w:id="482">
    <w:p w14:paraId="56F750BE" w14:textId="77777777" w:rsidR="000835D9" w:rsidRPr="00410DAB" w:rsidRDefault="000835D9" w:rsidP="000835D9">
      <w:pPr>
        <w:pStyle w:val="FootnoteText"/>
        <w:rPr>
          <w:rFonts w:ascii="Public Sans" w:hAnsi="Public Sans" w:cs="Arial"/>
          <w:color w:val="70AD47" w:themeColor="accent6"/>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[4.198], rec 23.</w:t>
      </w:r>
    </w:p>
  </w:footnote>
  <w:footnote w:id="483">
    <w:p w14:paraId="68E16C60"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[4.149].</w:t>
      </w:r>
    </w:p>
  </w:footnote>
  <w:footnote w:id="484">
    <w:p w14:paraId="2B079989"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rec 18.</w:t>
      </w:r>
    </w:p>
  </w:footnote>
  <w:footnote w:id="485">
    <w:p w14:paraId="5D99DD82"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Disability Discrimination Act 1992</w:t>
      </w:r>
      <w:r w:rsidRPr="00410DAB">
        <w:rPr>
          <w:rFonts w:ascii="Public Sans" w:hAnsi="Public Sans" w:cs="Arial"/>
        </w:rPr>
        <w:t xml:space="preserve"> (Cth) s 4(1) definition of “services”; </w:t>
      </w:r>
      <w:r w:rsidRPr="00410DAB">
        <w:rPr>
          <w:rFonts w:ascii="Public Sans" w:hAnsi="Public Sans" w:cs="Arial"/>
          <w:i/>
          <w:iCs/>
        </w:rPr>
        <w:t>Age Discrimination Act 2004</w:t>
      </w:r>
      <w:r w:rsidRPr="00410DAB">
        <w:rPr>
          <w:rFonts w:ascii="Public Sans" w:hAnsi="Public Sans" w:cs="Arial"/>
        </w:rPr>
        <w:t xml:space="preserve"> (Cth) s 5 definition of “services”. See also </w:t>
      </w:r>
      <w:r w:rsidRPr="00410DAB">
        <w:rPr>
          <w:rFonts w:ascii="Public Sans" w:hAnsi="Public Sans" w:cs="Arial"/>
          <w:i/>
          <w:iCs/>
        </w:rPr>
        <w:t xml:space="preserve">Anti-Discrimination Act 1998 </w:t>
      </w:r>
      <w:r w:rsidRPr="00410DAB">
        <w:rPr>
          <w:rFonts w:ascii="Public Sans" w:hAnsi="Public Sans" w:cs="Arial"/>
        </w:rPr>
        <w:t xml:space="preserve">(Tas) s 3 definition of “services”; </w:t>
      </w:r>
      <w:r w:rsidRPr="00410DAB">
        <w:rPr>
          <w:rFonts w:ascii="Public Sans" w:hAnsi="Public Sans" w:cs="Arial"/>
          <w:i/>
          <w:iCs/>
        </w:rPr>
        <w:t>Equal Opportunity Act 1984</w:t>
      </w:r>
      <w:r w:rsidRPr="00410DAB">
        <w:rPr>
          <w:rFonts w:ascii="Public Sans" w:hAnsi="Public Sans" w:cs="Arial"/>
        </w:rPr>
        <w:t xml:space="preserve"> (WA) s 4(1) definition of “services”.</w:t>
      </w:r>
    </w:p>
  </w:footnote>
  <w:footnote w:id="486">
    <w:p w14:paraId="72D39BAA"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1991</w:t>
      </w:r>
      <w:r w:rsidRPr="00410DAB">
        <w:rPr>
          <w:rFonts w:ascii="Public Sans" w:hAnsi="Public Sans" w:cs="Arial"/>
        </w:rPr>
        <w:t xml:space="preserve"> (Qld) pt 4 div 5; </w:t>
      </w:r>
      <w:r w:rsidRPr="00410DAB">
        <w:rPr>
          <w:rFonts w:ascii="Public Sans" w:hAnsi="Public Sans" w:cs="Arial"/>
          <w:i/>
          <w:iCs/>
        </w:rPr>
        <w:t>Equal Opportunity Act 1984</w:t>
      </w:r>
      <w:r w:rsidRPr="00410DAB">
        <w:rPr>
          <w:rFonts w:ascii="Public Sans" w:hAnsi="Public Sans" w:cs="Arial"/>
        </w:rPr>
        <w:t xml:space="preserve"> (WA) s 35AR, s 66P, s 66ZL; </w:t>
      </w:r>
      <w:r w:rsidRPr="00410DAB">
        <w:rPr>
          <w:rFonts w:ascii="Public Sans" w:hAnsi="Public Sans" w:cs="Arial"/>
          <w:i/>
          <w:iCs/>
        </w:rPr>
        <w:t>Equal Opportunity Act 1984</w:t>
      </w:r>
      <w:r w:rsidRPr="00410DAB">
        <w:rPr>
          <w:rFonts w:ascii="Public Sans" w:hAnsi="Public Sans" w:cs="Arial"/>
        </w:rPr>
        <w:t xml:space="preserve"> (SA) s 63, s 78; </w:t>
      </w:r>
      <w:r w:rsidRPr="00410DAB">
        <w:rPr>
          <w:rFonts w:ascii="Public Sans" w:hAnsi="Public Sans" w:cs="Arial"/>
          <w:i/>
          <w:iCs/>
        </w:rPr>
        <w:t>Anti-Discrimination Act 1992</w:t>
      </w:r>
      <w:r w:rsidRPr="00410DAB">
        <w:rPr>
          <w:rFonts w:ascii="Public Sans" w:hAnsi="Public Sans" w:cs="Arial"/>
        </w:rPr>
        <w:t xml:space="preserve"> (NT) s 48; </w:t>
      </w:r>
      <w:r w:rsidRPr="00410DAB">
        <w:rPr>
          <w:rFonts w:ascii="Public Sans" w:hAnsi="Public Sans" w:cs="Arial"/>
          <w:i/>
          <w:iCs/>
        </w:rPr>
        <w:t>Discrimination Act 1991</w:t>
      </w:r>
      <w:r w:rsidRPr="00410DAB">
        <w:rPr>
          <w:rFonts w:ascii="Public Sans" w:hAnsi="Public Sans" w:cs="Arial"/>
        </w:rPr>
        <w:t xml:space="preserve"> (ACT) s 28. </w:t>
      </w:r>
    </w:p>
  </w:footnote>
  <w:footnote w:id="487">
    <w:p w14:paraId="3B07C7FD"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i/>
          <w:iCs/>
        </w:rPr>
        <w:t>Life Insurance Act 1995</w:t>
      </w:r>
      <w:r w:rsidRPr="00410DAB">
        <w:rPr>
          <w:rFonts w:ascii="Public Sans" w:hAnsi="Public Sans" w:cs="Arial"/>
        </w:rPr>
        <w:t xml:space="preserve"> (Cth).</w:t>
      </w:r>
    </w:p>
  </w:footnote>
  <w:footnote w:id="488">
    <w:p w14:paraId="348FF8DF"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Australian Constitution</w:t>
      </w:r>
      <w:r w:rsidRPr="00410DAB">
        <w:rPr>
          <w:rFonts w:ascii="Public Sans" w:hAnsi="Public Sans" w:cs="Arial"/>
        </w:rPr>
        <w:t xml:space="preserve"> s 109.</w:t>
      </w:r>
    </w:p>
  </w:footnote>
  <w:footnote w:id="489">
    <w:p w14:paraId="124B5330"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247" w:name="_Hlk195632214"/>
      <w:r w:rsidRPr="00410DAB">
        <w:rPr>
          <w:rFonts w:ascii="Public Sans" w:hAnsi="Public Sans" w:cs="Arial"/>
          <w:i/>
          <w:iCs/>
        </w:rPr>
        <w:t>Australian Mutual Provident Society v Goulden</w:t>
      </w:r>
      <w:r w:rsidRPr="00410DAB">
        <w:rPr>
          <w:rFonts w:ascii="Public Sans" w:hAnsi="Public Sans" w:cs="Arial"/>
        </w:rPr>
        <w:t xml:space="preserve"> (1986) 160 CLR 330, 339–340</w:t>
      </w:r>
      <w:bookmarkEnd w:id="247"/>
      <w:r w:rsidRPr="00410DAB">
        <w:rPr>
          <w:rFonts w:ascii="Public Sans" w:hAnsi="Public Sans" w:cs="Arial"/>
        </w:rPr>
        <w:t xml:space="preserve">. See also </w:t>
      </w:r>
      <w:r w:rsidRPr="00410DAB">
        <w:rPr>
          <w:rFonts w:ascii="Public Sans" w:hAnsi="Public Sans" w:cs="Arial"/>
          <w:i/>
          <w:iCs/>
        </w:rPr>
        <w:t xml:space="preserve">McNally v Resolution Life Australasia Ltd </w:t>
      </w:r>
      <w:r w:rsidRPr="00410DAB">
        <w:rPr>
          <w:rFonts w:ascii="Public Sans" w:hAnsi="Public Sans" w:cs="Arial"/>
        </w:rPr>
        <w:t>[2024] NSWCATAD 388.</w:t>
      </w:r>
    </w:p>
  </w:footnote>
  <w:footnote w:id="490">
    <w:p w14:paraId="6EC3198C"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37, s 49Q, s 49ZYT.</w:t>
      </w:r>
    </w:p>
  </w:footnote>
  <w:footnote w:id="491">
    <w:p w14:paraId="4DB80A24"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37(b), s 49Q(b), s 49ZYT(b).</w:t>
      </w:r>
    </w:p>
  </w:footnote>
  <w:footnote w:id="492">
    <w:p w14:paraId="2869F1B4"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49ZYT(b).</w:t>
      </w:r>
    </w:p>
  </w:footnote>
  <w:footnote w:id="493">
    <w:p w14:paraId="036A4C14"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49Q(b).</w:t>
      </w:r>
    </w:p>
  </w:footnote>
  <w:footnote w:id="494">
    <w:p w14:paraId="1FF54BE5"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Legal Aid NSW, </w:t>
      </w:r>
      <w:r w:rsidRPr="00410DAB">
        <w:rPr>
          <w:rFonts w:ascii="Public Sans" w:hAnsi="Public Sans" w:cs="Arial"/>
          <w:i/>
          <w:iCs/>
        </w:rPr>
        <w:t>Preliminary Submission PAD87</w:t>
      </w:r>
      <w:r w:rsidRPr="00410DAB">
        <w:rPr>
          <w:rFonts w:ascii="Public Sans" w:hAnsi="Public Sans" w:cs="Arial"/>
        </w:rPr>
        <w:t xml:space="preserve">, 40; </w:t>
      </w:r>
      <w:r w:rsidRPr="00410DAB">
        <w:rPr>
          <w:rStyle w:val="normaltextrun"/>
          <w:rFonts w:ascii="Public Sans" w:hAnsi="Public Sans" w:cs="Arial"/>
          <w:szCs w:val="18"/>
          <w:shd w:val="clear" w:color="auto" w:fill="FFFFFF"/>
        </w:rPr>
        <w:t xml:space="preserve">Public Interest Advocacy Centre, </w:t>
      </w:r>
      <w:r w:rsidRPr="00410DAB">
        <w:rPr>
          <w:rStyle w:val="normaltextrun"/>
          <w:rFonts w:ascii="Public Sans" w:hAnsi="Public Sans" w:cs="Arial"/>
          <w:i/>
          <w:iCs/>
          <w:szCs w:val="18"/>
          <w:shd w:val="clear" w:color="auto" w:fill="FFFFFF"/>
        </w:rPr>
        <w:t>Mental Health Discrimination in Insurance</w:t>
      </w:r>
      <w:r w:rsidRPr="00410DAB">
        <w:rPr>
          <w:rStyle w:val="normaltextrun"/>
          <w:rFonts w:ascii="Public Sans" w:hAnsi="Public Sans" w:cs="Arial"/>
          <w:szCs w:val="18"/>
          <w:shd w:val="clear" w:color="auto" w:fill="FFFFFF"/>
        </w:rPr>
        <w:t xml:space="preserve"> (2021)</w:t>
      </w:r>
      <w:r w:rsidRPr="00410DAB">
        <w:rPr>
          <w:rStyle w:val="eop"/>
          <w:rFonts w:ascii="Public Sans" w:hAnsi="Public Sans" w:cs="Arial"/>
          <w:szCs w:val="18"/>
          <w:shd w:val="clear" w:color="auto" w:fill="FFFFFF"/>
        </w:rPr>
        <w:t xml:space="preserve"> </w:t>
      </w:r>
      <w:r w:rsidRPr="00410DAB">
        <w:rPr>
          <w:rFonts w:ascii="Public Sans" w:hAnsi="Public Sans" w:cs="Arial"/>
        </w:rPr>
        <w:t>14–15.</w:t>
      </w:r>
    </w:p>
  </w:footnote>
  <w:footnote w:id="495">
    <w:p w14:paraId="206D659D"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Style w:val="normaltextrun"/>
          <w:rFonts w:ascii="Public Sans" w:hAnsi="Public Sans" w:cs="Arial"/>
          <w:szCs w:val="18"/>
          <w:shd w:val="clear" w:color="auto" w:fill="FFFFFF"/>
        </w:rPr>
        <w:t xml:space="preserve">Public Interest Advocacy Centre, </w:t>
      </w:r>
      <w:r w:rsidRPr="00410DAB">
        <w:rPr>
          <w:rStyle w:val="normaltextrun"/>
          <w:rFonts w:ascii="Public Sans" w:hAnsi="Public Sans" w:cs="Arial"/>
          <w:i/>
          <w:iCs/>
          <w:szCs w:val="18"/>
          <w:shd w:val="clear" w:color="auto" w:fill="FFFFFF"/>
        </w:rPr>
        <w:t>Mental Health Discrimination in Insurance</w:t>
      </w:r>
      <w:r w:rsidRPr="00410DAB">
        <w:rPr>
          <w:rStyle w:val="normaltextrun"/>
          <w:rFonts w:ascii="Public Sans" w:hAnsi="Public Sans" w:cs="Arial"/>
          <w:szCs w:val="18"/>
          <w:shd w:val="clear" w:color="auto" w:fill="FFFFFF"/>
        </w:rPr>
        <w:t xml:space="preserve"> (2021)</w:t>
      </w:r>
      <w:r w:rsidRPr="00410DAB">
        <w:rPr>
          <w:rStyle w:val="eop"/>
          <w:rFonts w:ascii="Public Sans" w:hAnsi="Public Sans" w:cs="Arial"/>
          <w:szCs w:val="18"/>
          <w:shd w:val="clear" w:color="auto" w:fill="FFFFFF"/>
        </w:rPr>
        <w:t xml:space="preserve"> 15, </w:t>
      </w:r>
      <w:r w:rsidRPr="00410DAB">
        <w:rPr>
          <w:rFonts w:ascii="Public Sans" w:hAnsi="Public Sans" w:cs="Arial"/>
        </w:rPr>
        <w:t>72, 74.</w:t>
      </w:r>
    </w:p>
  </w:footnote>
  <w:footnote w:id="496">
    <w:p w14:paraId="1FDFEE36"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Queensland Human Rights Commission, </w:t>
      </w:r>
      <w:r w:rsidRPr="00410DAB">
        <w:rPr>
          <w:rFonts w:ascii="Public Sans" w:hAnsi="Public Sans" w:cs="Arial"/>
          <w:i/>
          <w:iCs/>
        </w:rPr>
        <w:t xml:space="preserve">Building Belonging: Review of Queensland’s Anti-Discrimination Act 1991 </w:t>
      </w:r>
      <w:r w:rsidRPr="00410DAB">
        <w:rPr>
          <w:rFonts w:ascii="Public Sans" w:hAnsi="Public Sans" w:cs="Arial"/>
        </w:rPr>
        <w:t>(2022) 389.</w:t>
      </w:r>
    </w:p>
  </w:footnote>
  <w:footnote w:id="497">
    <w:p w14:paraId="6CC24D9B"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Review of the Anti-Discrimination Act 1977 (NSW)</w:t>
      </w:r>
      <w:r w:rsidRPr="00410DAB">
        <w:rPr>
          <w:rFonts w:ascii="Public Sans" w:hAnsi="Public Sans" w:cs="Arial"/>
        </w:rPr>
        <w:t>, Report 92 (1999) rec 62, [6.239]–[6.241].</w:t>
      </w:r>
    </w:p>
  </w:footnote>
  <w:footnote w:id="498">
    <w:p w14:paraId="752811CA"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36, s 49, s 49Q, s 49ZYS(1)(c)–(e).</w:t>
      </w:r>
    </w:p>
  </w:footnote>
  <w:footnote w:id="499">
    <w:p w14:paraId="1D3F7489"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36, s 49, s 49Q, s 49ZYS(2).</w:t>
      </w:r>
    </w:p>
  </w:footnote>
  <w:footnote w:id="500">
    <w:p w14:paraId="266672E1"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49ZYS(1)(a)–(b), s 49ZYS(1)(f).</w:t>
      </w:r>
    </w:p>
  </w:footnote>
  <w:footnote w:id="501">
    <w:p w14:paraId="4351E3AD"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Review of the Anti-Discrimination Act 1977 (NSW)</w:t>
      </w:r>
      <w:r w:rsidRPr="00410DAB">
        <w:rPr>
          <w:rFonts w:ascii="Public Sans" w:hAnsi="Public Sans" w:cs="Arial"/>
        </w:rPr>
        <w:t>, Report 92 (1999) rec 64, [</w:t>
      </w:r>
      <w:r w:rsidRPr="00410DAB">
        <w:rPr>
          <w:rFonts w:ascii="Public Sans" w:hAnsi="Public Sans" w:cs="Arial"/>
          <w:szCs w:val="18"/>
          <w:lang w:eastAsia="en-AU"/>
        </w:rPr>
        <w:t>6.254</w:t>
      </w:r>
      <w:r w:rsidRPr="00410DAB">
        <w:rPr>
          <w:rFonts w:ascii="Public Sans" w:hAnsi="Public Sans" w:cs="Arial"/>
          <w:sz w:val="20"/>
          <w:lang w:eastAsia="en-AU"/>
        </w:rPr>
        <w:t xml:space="preserve">], </w:t>
      </w:r>
      <w:r w:rsidRPr="00410DAB">
        <w:rPr>
          <w:rFonts w:ascii="Public Sans" w:hAnsi="Public Sans" w:cs="Arial"/>
        </w:rPr>
        <w:t>[6.216]–[6.222], [</w:t>
      </w:r>
      <w:r w:rsidRPr="00410DAB">
        <w:rPr>
          <w:rFonts w:ascii="Public Sans" w:hAnsi="Public Sans" w:cs="Arial"/>
          <w:szCs w:val="18"/>
          <w:lang w:eastAsia="en-AU"/>
        </w:rPr>
        <w:t>6.228]</w:t>
      </w:r>
      <w:r w:rsidRPr="00410DAB">
        <w:rPr>
          <w:rFonts w:ascii="Public Sans" w:hAnsi="Public Sans" w:cs="Arial"/>
        </w:rPr>
        <w:t xml:space="preserve">.The attribute was expanded to include “domestic status” in 2008: </w:t>
      </w:r>
      <w:r w:rsidRPr="00410DAB">
        <w:rPr>
          <w:rFonts w:ascii="Public Sans" w:hAnsi="Public Sans" w:cs="Arial"/>
          <w:i/>
          <w:iCs/>
        </w:rPr>
        <w:t>Miscellaneous Acts Amendment (Same Sex Relationships) Act 2008</w:t>
      </w:r>
      <w:r w:rsidRPr="00410DAB">
        <w:rPr>
          <w:rFonts w:ascii="Public Sans" w:hAnsi="Public Sans" w:cs="Arial"/>
        </w:rPr>
        <w:t xml:space="preserve"> (NSW) sch 1 [1], [5], [6]. </w:t>
      </w:r>
    </w:p>
  </w:footnote>
  <w:footnote w:id="502">
    <w:p w14:paraId="379837B1"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Review of the Anti-Discrimination Act 1977 (NSW)</w:t>
      </w:r>
      <w:r w:rsidRPr="00410DAB">
        <w:rPr>
          <w:rFonts w:ascii="Public Sans" w:hAnsi="Public Sans" w:cs="Arial"/>
        </w:rPr>
        <w:t>, Report 92 (1999) rec 61, rec 64, rec 65, [6.230], [</w:t>
      </w:r>
      <w:r w:rsidRPr="00410DAB">
        <w:rPr>
          <w:rFonts w:ascii="Public Sans" w:hAnsi="Public Sans" w:cs="Arial"/>
          <w:szCs w:val="18"/>
          <w:lang w:eastAsia="en-AU"/>
        </w:rPr>
        <w:t>6.270</w:t>
      </w:r>
      <w:r w:rsidRPr="00410DAB">
        <w:rPr>
          <w:rFonts w:ascii="Public Sans" w:hAnsi="Public Sans" w:cs="Arial"/>
          <w:sz w:val="20"/>
          <w:lang w:eastAsia="en-AU"/>
        </w:rPr>
        <w:t xml:space="preserve">]. </w:t>
      </w:r>
    </w:p>
  </w:footnote>
  <w:footnote w:id="503">
    <w:p w14:paraId="659D64F4"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Review of the Anti-Discrimination Act 1977 (NSW)</w:t>
      </w:r>
      <w:r w:rsidRPr="00410DAB">
        <w:rPr>
          <w:rFonts w:ascii="Public Sans" w:hAnsi="Public Sans" w:cs="Arial"/>
        </w:rPr>
        <w:t>, Report 92 (1999) [6.289].</w:t>
      </w:r>
    </w:p>
  </w:footnote>
  <w:footnote w:id="504">
    <w:p w14:paraId="6236D4CE"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Disability Discrimination Act 1992</w:t>
      </w:r>
      <w:r w:rsidRPr="00410DAB">
        <w:rPr>
          <w:rFonts w:ascii="Public Sans" w:hAnsi="Public Sans" w:cs="Arial"/>
        </w:rPr>
        <w:t xml:space="preserve"> (Cth) s 46(1).</w:t>
      </w:r>
    </w:p>
  </w:footnote>
  <w:footnote w:id="505">
    <w:p w14:paraId="6C8EDFD0"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38Q.</w:t>
      </w:r>
    </w:p>
  </w:footnote>
  <w:footnote w:id="506">
    <w:p w14:paraId="402D2DDE" w14:textId="77777777" w:rsidR="000835D9" w:rsidRPr="00410DAB" w:rsidRDefault="000835D9" w:rsidP="000835D9">
      <w:pPr>
        <w:pStyle w:val="FootnoteText"/>
        <w:rPr>
          <w:rFonts w:ascii="Public Sans" w:hAnsi="Public Sans" w:cs="Arial"/>
          <w:color w:val="7030A0"/>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ACON, </w:t>
      </w:r>
      <w:r w:rsidRPr="00410DAB">
        <w:rPr>
          <w:rFonts w:ascii="Public Sans" w:hAnsi="Public Sans" w:cs="Arial"/>
          <w:i/>
          <w:iCs/>
        </w:rPr>
        <w:t>Preliminary Submission PAD44</w:t>
      </w:r>
      <w:r w:rsidRPr="00410DAB">
        <w:rPr>
          <w:rFonts w:ascii="Public Sans" w:hAnsi="Public Sans" w:cs="Arial"/>
        </w:rPr>
        <w:t xml:space="preserve">, 10; NSW Council for Civil Liberties, </w:t>
      </w:r>
      <w:r w:rsidRPr="00410DAB">
        <w:rPr>
          <w:rFonts w:ascii="Public Sans" w:hAnsi="Public Sans" w:cs="Arial"/>
          <w:i/>
          <w:iCs/>
        </w:rPr>
        <w:t>Preliminary Submission PAD21</w:t>
      </w:r>
      <w:r w:rsidRPr="00410DAB">
        <w:rPr>
          <w:rFonts w:ascii="Public Sans" w:hAnsi="Public Sans" w:cs="Arial"/>
        </w:rPr>
        <w:t xml:space="preserve"> [109].</w:t>
      </w:r>
    </w:p>
  </w:footnote>
  <w:footnote w:id="507">
    <w:p w14:paraId="20456881" w14:textId="77777777" w:rsidR="000835D9" w:rsidRPr="00410DAB" w:rsidRDefault="000835D9" w:rsidP="000835D9">
      <w:pPr>
        <w:pStyle w:val="FootnoteText"/>
        <w:rPr>
          <w:rFonts w:ascii="Public Sans" w:hAnsi="Public Sans" w:cs="Arial"/>
          <w:color w:val="7030A0"/>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Review of the Anti-Discrimination Act 1977 (NSW)</w:t>
      </w:r>
      <w:r w:rsidRPr="00410DAB">
        <w:rPr>
          <w:rFonts w:ascii="Public Sans" w:hAnsi="Public Sans" w:cs="Arial"/>
        </w:rPr>
        <w:t>, Report 92 (1999) [6.402], rec 80.</w:t>
      </w:r>
    </w:p>
  </w:footnote>
  <w:footnote w:id="508">
    <w:p w14:paraId="21C6E1F3"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28(2).</w:t>
      </w:r>
    </w:p>
  </w:footnote>
  <w:footnote w:id="509">
    <w:p w14:paraId="65D6ECE2"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28(3). See also </w:t>
      </w:r>
      <w:r w:rsidRPr="00410DAB">
        <w:rPr>
          <w:rFonts w:ascii="Public Sans" w:hAnsi="Public Sans" w:cs="Arial"/>
          <w:i/>
          <w:iCs/>
        </w:rPr>
        <w:t>Sex Discrimination Act 1984</w:t>
      </w:r>
      <w:r w:rsidRPr="00410DAB">
        <w:rPr>
          <w:rFonts w:ascii="Public Sans" w:hAnsi="Public Sans" w:cs="Arial"/>
        </w:rPr>
        <w:t xml:space="preserve"> (Cth) s 41(1)(e).</w:t>
      </w:r>
    </w:p>
  </w:footnote>
  <w:footnote w:id="510">
    <w:p w14:paraId="014A907E" w14:textId="77777777" w:rsidR="000835D9" w:rsidRPr="00410DAB" w:rsidRDefault="000835D9" w:rsidP="000835D9">
      <w:pPr>
        <w:pStyle w:val="FootnoteText"/>
        <w:rPr>
          <w:rFonts w:ascii="Public Sans" w:hAnsi="Public Sans" w:cs="Arial"/>
          <w:color w:val="7030A0"/>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Queensland Human Rights Commission, </w:t>
      </w:r>
      <w:r w:rsidRPr="00410DAB">
        <w:rPr>
          <w:rFonts w:ascii="Public Sans" w:hAnsi="Public Sans" w:cs="Arial"/>
          <w:i/>
          <w:iCs/>
        </w:rPr>
        <w:t xml:space="preserve">Building Belonging: Review of Queensland’s Anti-Discrimination Act 1991 </w:t>
      </w:r>
      <w:r w:rsidRPr="00410DAB">
        <w:rPr>
          <w:rFonts w:ascii="Public Sans" w:hAnsi="Public Sans" w:cs="Arial"/>
        </w:rPr>
        <w:t>(2022) rec 41.</w:t>
      </w:r>
    </w:p>
  </w:footnote>
  <w:footnote w:id="511">
    <w:p w14:paraId="2495E4F4"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33(2).</w:t>
      </w:r>
    </w:p>
  </w:footnote>
  <w:footnote w:id="512">
    <w:p w14:paraId="257D1A71"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49ZYN(2)–(3).</w:t>
      </w:r>
    </w:p>
  </w:footnote>
  <w:footnote w:id="513">
    <w:p w14:paraId="4B6C3010"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rec 74, [6.337]–[6.338].</w:t>
      </w:r>
    </w:p>
  </w:footnote>
  <w:footnote w:id="514">
    <w:p w14:paraId="107CB131"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49M(2).</w:t>
      </w:r>
    </w:p>
  </w:footnote>
  <w:footnote w:id="515">
    <w:p w14:paraId="1AA658A7"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20(1)</w:t>
      </w:r>
      <w:bookmarkStart w:id="253" w:name="_Hlk192596354"/>
      <w:r w:rsidRPr="00410DAB">
        <w:rPr>
          <w:rFonts w:ascii="Public Sans" w:hAnsi="Public Sans" w:cs="Arial"/>
        </w:rPr>
        <w:t>–(</w:t>
      </w:r>
      <w:bookmarkEnd w:id="253"/>
      <w:r w:rsidRPr="00410DAB">
        <w:rPr>
          <w:rFonts w:ascii="Public Sans" w:hAnsi="Public Sans" w:cs="Arial"/>
        </w:rPr>
        <w:t xml:space="preserve">2), s 34(1)–(2), s 49N(1)–(2), s 49ZYO(1)–(2), s 38N(1)–(2), s 49ZQ(1)–(2), s 48(1)–(2). </w:t>
      </w:r>
    </w:p>
  </w:footnote>
  <w:footnote w:id="516">
    <w:p w14:paraId="7AA3CCD1"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4(1) definition of “accommodation”.</w:t>
      </w:r>
    </w:p>
  </w:footnote>
  <w:footnote w:id="517">
    <w:p w14:paraId="78F55912" w14:textId="77777777" w:rsidR="000835D9" w:rsidRPr="00410DAB" w:rsidRDefault="000835D9" w:rsidP="000835D9">
      <w:pPr>
        <w:pStyle w:val="FootnoteText"/>
        <w:rPr>
          <w:rFonts w:ascii="Public Sans" w:hAnsi="Public Sans" w:cs="Arial"/>
          <w:color w:val="70AD47" w:themeColor="accent6"/>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xml:space="preserve">), Report 92 (1999) [4.218], [4.219], rec 24. </w:t>
      </w:r>
    </w:p>
  </w:footnote>
  <w:footnote w:id="518">
    <w:p w14:paraId="7766FE26"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55(1).</w:t>
      </w:r>
    </w:p>
  </w:footnote>
  <w:footnote w:id="519">
    <w:p w14:paraId="4530E653"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1991</w:t>
      </w:r>
      <w:r w:rsidRPr="00410DAB">
        <w:rPr>
          <w:rFonts w:ascii="Public Sans" w:hAnsi="Public Sans" w:cs="Arial"/>
        </w:rPr>
        <w:t xml:space="preserve"> (Qld) s 84; </w:t>
      </w:r>
      <w:r w:rsidRPr="00410DAB">
        <w:rPr>
          <w:rFonts w:ascii="Public Sans" w:hAnsi="Public Sans" w:cs="Arial"/>
          <w:i/>
          <w:iCs/>
        </w:rPr>
        <w:t>Anti-Discrimination Act 1992</w:t>
      </w:r>
      <w:r w:rsidRPr="00410DAB">
        <w:rPr>
          <w:rFonts w:ascii="Public Sans" w:hAnsi="Public Sans" w:cs="Arial"/>
        </w:rPr>
        <w:t xml:space="preserve"> (NT) s 39</w:t>
      </w:r>
      <w:r w:rsidRPr="00410DAB">
        <w:rPr>
          <w:rFonts w:ascii="Public Sans" w:hAnsi="Public Sans" w:cs="Arial"/>
          <w:i/>
          <w:iCs/>
        </w:rPr>
        <w:t>;</w:t>
      </w:r>
      <w:r w:rsidRPr="00410DAB">
        <w:rPr>
          <w:rFonts w:ascii="Public Sans" w:hAnsi="Public Sans"/>
          <w:i/>
          <w:iCs/>
        </w:rPr>
        <w:t xml:space="preserve"> </w:t>
      </w:r>
      <w:r w:rsidRPr="00410DAB">
        <w:rPr>
          <w:rFonts w:ascii="Public Sans" w:hAnsi="Public Sans" w:cs="Arial"/>
          <w:i/>
          <w:iCs/>
        </w:rPr>
        <w:t>Disability Discrimination Act 1992</w:t>
      </w:r>
      <w:r w:rsidRPr="00410DAB">
        <w:rPr>
          <w:rFonts w:ascii="Public Sans" w:hAnsi="Public Sans" w:cs="Arial"/>
        </w:rPr>
        <w:t xml:space="preserve"> (Cth) s 25(2)(d).</w:t>
      </w:r>
    </w:p>
  </w:footnote>
  <w:footnote w:id="520">
    <w:p w14:paraId="0000D500" w14:textId="77777777" w:rsidR="000835D9" w:rsidRPr="00410DAB" w:rsidRDefault="000835D9" w:rsidP="000835D9">
      <w:pPr>
        <w:pStyle w:val="FootnoteText"/>
        <w:rPr>
          <w:rFonts w:ascii="Public Sans" w:hAnsi="Public Sans" w:cs="Arial"/>
          <w:color w:val="70AD47" w:themeColor="accent6"/>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[4.221]–[4.222], rec 25.</w:t>
      </w:r>
    </w:p>
  </w:footnote>
  <w:footnote w:id="521">
    <w:p w14:paraId="3AF8021E" w14:textId="77777777" w:rsidR="000835D9" w:rsidRPr="00410DAB" w:rsidRDefault="000835D9" w:rsidP="000835D9">
      <w:pPr>
        <w:pStyle w:val="FootnoteText"/>
        <w:rPr>
          <w:rFonts w:ascii="Public Sans" w:hAnsi="Public Sans" w:cs="Arial"/>
          <w:color w:val="70AD47" w:themeColor="accent6"/>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54(1)–(2).</w:t>
      </w:r>
    </w:p>
  </w:footnote>
  <w:footnote w:id="522">
    <w:p w14:paraId="57761DAD"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49N(4), s 49N(6).</w:t>
      </w:r>
    </w:p>
  </w:footnote>
  <w:footnote w:id="523">
    <w:p w14:paraId="695D693C"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49B(3), s 49N(6).</w:t>
      </w:r>
    </w:p>
  </w:footnote>
  <w:footnote w:id="524">
    <w:p w14:paraId="3F9B1882"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20(3), s 34(3), s 38N(3), s 49N(3), s 48(3), s 49ZQ(3), s 49ZYO(3)(a)–(b).</w:t>
      </w:r>
    </w:p>
  </w:footnote>
  <w:footnote w:id="525">
    <w:p w14:paraId="3C081AC7"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Review of the Anti-Discrimination Act 1977 (NSW)</w:t>
      </w:r>
      <w:r w:rsidRPr="00410DAB">
        <w:rPr>
          <w:rFonts w:ascii="Public Sans" w:hAnsi="Public Sans" w:cs="Arial"/>
        </w:rPr>
        <w:t>, Report 92 (1999) rec 26, [4.227].</w:t>
      </w:r>
    </w:p>
  </w:footnote>
  <w:footnote w:id="526">
    <w:p w14:paraId="1DF81F2F"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1992</w:t>
      </w:r>
      <w:r w:rsidRPr="00410DAB">
        <w:rPr>
          <w:rFonts w:ascii="Public Sans" w:hAnsi="Public Sans" w:cs="Arial"/>
        </w:rPr>
        <w:t xml:space="preserve"> (NT) s 40(1).</w:t>
      </w:r>
    </w:p>
  </w:footnote>
  <w:footnote w:id="527">
    <w:p w14:paraId="52D10E36" w14:textId="77777777" w:rsidR="000835D9" w:rsidRPr="00410DAB" w:rsidRDefault="000835D9" w:rsidP="000835D9">
      <w:pPr>
        <w:pStyle w:val="FootnoteText"/>
        <w:rPr>
          <w:rFonts w:ascii="Public Sans" w:hAnsi="Public Sans" w:cs="Arial"/>
          <w:color w:val="000000" w:themeColor="text1"/>
          <w:highlight w:val="yellow"/>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Age Discrimination Act 2004</w:t>
      </w:r>
      <w:r w:rsidRPr="00410DAB">
        <w:rPr>
          <w:rFonts w:ascii="Public Sans" w:hAnsi="Public Sans" w:cs="Arial"/>
          <w:color w:val="000000" w:themeColor="text1"/>
        </w:rPr>
        <w:t xml:space="preserve"> (Cth) s 29(3); </w:t>
      </w:r>
      <w:r w:rsidRPr="00410DAB">
        <w:rPr>
          <w:rFonts w:ascii="Public Sans" w:hAnsi="Public Sans" w:cs="Arial"/>
          <w:i/>
          <w:iCs/>
          <w:color w:val="000000" w:themeColor="text1"/>
        </w:rPr>
        <w:t>Disability Discrimination Act 1992</w:t>
      </w:r>
      <w:r w:rsidRPr="00410DAB">
        <w:rPr>
          <w:rFonts w:ascii="Public Sans" w:hAnsi="Public Sans" w:cs="Arial"/>
          <w:color w:val="000000" w:themeColor="text1"/>
        </w:rPr>
        <w:t xml:space="preserve"> (Cth) s 25(3)(a); </w:t>
      </w:r>
      <w:r w:rsidRPr="00410DAB">
        <w:rPr>
          <w:rFonts w:ascii="Public Sans" w:hAnsi="Public Sans" w:cs="Arial"/>
          <w:i/>
          <w:iCs/>
          <w:color w:val="000000" w:themeColor="text1"/>
        </w:rPr>
        <w:t>Sex Discrimination Act 1984</w:t>
      </w:r>
      <w:r w:rsidRPr="00410DAB">
        <w:rPr>
          <w:rFonts w:ascii="Public Sans" w:hAnsi="Public Sans" w:cs="Arial"/>
          <w:color w:val="000000" w:themeColor="text1"/>
        </w:rPr>
        <w:t xml:space="preserve"> (Cth) s 23(3)(a); </w:t>
      </w:r>
      <w:r w:rsidRPr="00410DAB">
        <w:rPr>
          <w:rFonts w:ascii="Public Sans" w:hAnsi="Public Sans" w:cs="Arial"/>
          <w:i/>
          <w:iCs/>
          <w:color w:val="000000" w:themeColor="text1"/>
        </w:rPr>
        <w:t>Racial Discrimination Act 1975</w:t>
      </w:r>
      <w:r w:rsidRPr="00410DAB">
        <w:rPr>
          <w:rFonts w:ascii="Public Sans" w:hAnsi="Public Sans" w:cs="Arial"/>
          <w:color w:val="000000" w:themeColor="text1"/>
        </w:rPr>
        <w:t xml:space="preserve"> (Cth) s 12(3); </w:t>
      </w:r>
      <w:r w:rsidRPr="00410DAB">
        <w:rPr>
          <w:rFonts w:ascii="Public Sans" w:hAnsi="Public Sans" w:cs="Arial"/>
          <w:i/>
          <w:iCs/>
          <w:color w:val="000000" w:themeColor="text1"/>
        </w:rPr>
        <w:t>Equal Opportunity Act 2010</w:t>
      </w:r>
      <w:r w:rsidRPr="00410DAB">
        <w:rPr>
          <w:rFonts w:ascii="Public Sans" w:hAnsi="Public Sans" w:cs="Arial"/>
          <w:color w:val="000000" w:themeColor="text1"/>
        </w:rPr>
        <w:t xml:space="preserve"> (Vic) s 59; </w:t>
      </w:r>
      <w:r w:rsidRPr="00410DAB">
        <w:rPr>
          <w:rFonts w:ascii="Public Sans" w:hAnsi="Public Sans" w:cs="Arial"/>
          <w:i/>
          <w:iCs/>
          <w:color w:val="000000" w:themeColor="text1"/>
        </w:rPr>
        <w:t xml:space="preserve">Equal Opportunity Act 1984 </w:t>
      </w:r>
      <w:r w:rsidRPr="00410DAB">
        <w:rPr>
          <w:rFonts w:ascii="Public Sans" w:hAnsi="Public Sans" w:cs="Arial"/>
          <w:color w:val="000000" w:themeColor="text1"/>
        </w:rPr>
        <w:t>(WA) s 21(3).</w:t>
      </w:r>
      <w:r w:rsidRPr="00410DAB" w:rsidDel="00C57D64">
        <w:rPr>
          <w:rFonts w:ascii="Public Sans" w:hAnsi="Public Sans" w:cs="Arial"/>
          <w:color w:val="000000" w:themeColor="text1"/>
        </w:rPr>
        <w:t xml:space="preserve"> </w:t>
      </w:r>
      <w:r w:rsidRPr="00410DAB">
        <w:rPr>
          <w:rFonts w:ascii="Public Sans" w:hAnsi="Public Sans" w:cs="Arial"/>
          <w:color w:val="000000" w:themeColor="text1"/>
        </w:rPr>
        <w:t xml:space="preserve">But see </w:t>
      </w:r>
      <w:r w:rsidRPr="00410DAB">
        <w:rPr>
          <w:rFonts w:ascii="Public Sans" w:hAnsi="Public Sans" w:cs="Arial"/>
          <w:i/>
          <w:iCs/>
          <w:color w:val="000000" w:themeColor="text1"/>
        </w:rPr>
        <w:t>Anti-Discrimination Act 1998</w:t>
      </w:r>
      <w:r w:rsidRPr="00410DAB">
        <w:rPr>
          <w:rFonts w:ascii="Public Sans" w:hAnsi="Public Sans" w:cs="Arial"/>
          <w:color w:val="000000" w:themeColor="text1"/>
        </w:rPr>
        <w:t xml:space="preserve"> (Tas) s 16(e), s 27(1)(e).</w:t>
      </w:r>
    </w:p>
  </w:footnote>
  <w:footnote w:id="528">
    <w:p w14:paraId="391B1A0A" w14:textId="77777777" w:rsidR="000835D9" w:rsidRPr="00410DAB" w:rsidRDefault="000835D9" w:rsidP="000835D9">
      <w:pPr>
        <w:pStyle w:val="FootnoteText"/>
        <w:rPr>
          <w:rFonts w:ascii="Public Sans" w:hAnsi="Public Sans" w:cs="Arial"/>
          <w:color w:val="000000" w:themeColor="text1"/>
          <w:highlight w:val="yellow"/>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Sex Discrimination Act 1984</w:t>
      </w:r>
      <w:r w:rsidRPr="00410DAB">
        <w:rPr>
          <w:rFonts w:ascii="Public Sans" w:hAnsi="Public Sans" w:cs="Arial"/>
          <w:color w:val="000000" w:themeColor="text1"/>
        </w:rPr>
        <w:t xml:space="preserve"> (Cth) s 23(3)(a)(ii); </w:t>
      </w:r>
      <w:r w:rsidRPr="00410DAB">
        <w:rPr>
          <w:rFonts w:ascii="Public Sans" w:hAnsi="Public Sans" w:cs="Arial"/>
          <w:i/>
          <w:iCs/>
          <w:color w:val="000000" w:themeColor="text1"/>
        </w:rPr>
        <w:t>Age Discrimination Act 2004</w:t>
      </w:r>
      <w:r w:rsidRPr="00410DAB">
        <w:rPr>
          <w:rFonts w:ascii="Public Sans" w:hAnsi="Public Sans" w:cs="Arial"/>
          <w:color w:val="000000" w:themeColor="text1"/>
        </w:rPr>
        <w:t xml:space="preserve"> (Cth) s 29(3)(b); </w:t>
      </w:r>
      <w:r w:rsidRPr="00410DAB">
        <w:rPr>
          <w:rFonts w:ascii="Public Sans" w:hAnsi="Public Sans" w:cs="Arial"/>
          <w:i/>
          <w:iCs/>
          <w:color w:val="000000" w:themeColor="text1"/>
        </w:rPr>
        <w:t>Disability Discrimination Act 1992</w:t>
      </w:r>
      <w:r w:rsidRPr="00410DAB">
        <w:rPr>
          <w:rFonts w:ascii="Public Sans" w:hAnsi="Public Sans" w:cs="Arial"/>
          <w:color w:val="000000" w:themeColor="text1"/>
        </w:rPr>
        <w:t xml:space="preserve"> (Cth) s 25(3)(a)(ii); </w:t>
      </w:r>
      <w:r w:rsidRPr="00410DAB">
        <w:rPr>
          <w:rFonts w:ascii="Public Sans" w:hAnsi="Public Sans" w:cs="Arial"/>
          <w:i/>
          <w:iCs/>
          <w:color w:val="000000" w:themeColor="text1"/>
        </w:rPr>
        <w:t>Equal Opportunity Act 2010</w:t>
      </w:r>
      <w:r w:rsidRPr="00410DAB">
        <w:rPr>
          <w:rFonts w:ascii="Public Sans" w:hAnsi="Public Sans" w:cs="Arial"/>
          <w:color w:val="000000" w:themeColor="text1"/>
        </w:rPr>
        <w:t xml:space="preserve"> (Vic) s 59(1)(b); </w:t>
      </w:r>
      <w:r w:rsidRPr="00410DAB">
        <w:rPr>
          <w:rFonts w:ascii="Public Sans" w:hAnsi="Public Sans" w:cs="Arial"/>
          <w:i/>
          <w:iCs/>
          <w:color w:val="000000" w:themeColor="text1"/>
        </w:rPr>
        <w:t xml:space="preserve">Equal Opportunity Act 1984 </w:t>
      </w:r>
      <w:r w:rsidRPr="00410DAB">
        <w:rPr>
          <w:rFonts w:ascii="Public Sans" w:hAnsi="Public Sans" w:cs="Arial"/>
          <w:color w:val="000000" w:themeColor="text1"/>
        </w:rPr>
        <w:t xml:space="preserve">(WA) s 21(3)(a)(ii). </w:t>
      </w:r>
    </w:p>
  </w:footnote>
  <w:footnote w:id="529">
    <w:p w14:paraId="5FC2C51A"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Racial Discrimination Act 1975</w:t>
      </w:r>
      <w:r w:rsidRPr="00410DAB">
        <w:rPr>
          <w:rFonts w:ascii="Public Sans" w:hAnsi="Public Sans" w:cs="Arial"/>
        </w:rPr>
        <w:t xml:space="preserve"> (Cth) s 12(3); </w:t>
      </w:r>
      <w:r w:rsidRPr="00410DAB">
        <w:rPr>
          <w:rFonts w:ascii="Public Sans" w:hAnsi="Public Sans" w:cs="Arial"/>
          <w:i/>
          <w:iCs/>
        </w:rPr>
        <w:t>Anti-Discrimination Act 1992</w:t>
      </w:r>
      <w:r w:rsidRPr="00410DAB">
        <w:rPr>
          <w:rFonts w:ascii="Public Sans" w:hAnsi="Public Sans" w:cs="Arial"/>
        </w:rPr>
        <w:t xml:space="preserve"> (NT) s 40(1).</w:t>
      </w:r>
    </w:p>
  </w:footnote>
  <w:footnote w:id="530">
    <w:p w14:paraId="4E105D9F"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Review of the Anti-Discrimination Act 1977 (NSW)</w:t>
      </w:r>
      <w:r w:rsidRPr="00410DAB">
        <w:rPr>
          <w:rFonts w:ascii="Public Sans" w:hAnsi="Public Sans" w:cs="Arial"/>
        </w:rPr>
        <w:t>, Report 92 (1999) [4.226].</w:t>
      </w:r>
    </w:p>
  </w:footnote>
  <w:footnote w:id="531">
    <w:p w14:paraId="64E47B2B"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49ZYO(3)(c). </w:t>
      </w:r>
    </w:p>
  </w:footnote>
  <w:footnote w:id="532">
    <w:p w14:paraId="2C561BBB"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Review of the Anti-Discrimination Act 1977 (NSW)</w:t>
      </w:r>
      <w:r w:rsidRPr="00410DAB">
        <w:rPr>
          <w:rFonts w:ascii="Public Sans" w:hAnsi="Public Sans" w:cs="Arial"/>
        </w:rPr>
        <w:t>, Report 92 (1999) rec 76.</w:t>
      </w:r>
    </w:p>
  </w:footnote>
  <w:footnote w:id="533">
    <w:p w14:paraId="7E72991D"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59.</w:t>
      </w:r>
    </w:p>
  </w:footnote>
  <w:footnote w:id="534">
    <w:p w14:paraId="0D68F8FB"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49N(5).</w:t>
      </w:r>
    </w:p>
  </w:footnote>
  <w:footnote w:id="535">
    <w:p w14:paraId="0F246A03"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20A(1)–(2), s 34A(1)–(2), s 38O, s 48A, s 49O(1)–(2), s 49ZR, s 49ZYP(1)–(2).</w:t>
      </w:r>
    </w:p>
  </w:footnote>
  <w:footnote w:id="536">
    <w:p w14:paraId="0303AABE"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4(1) definition of “registered club”; </w:t>
      </w:r>
      <w:r w:rsidRPr="00410DAB">
        <w:rPr>
          <w:rFonts w:ascii="Public Sans" w:hAnsi="Public Sans" w:cs="Arial"/>
          <w:i/>
          <w:iCs/>
        </w:rPr>
        <w:t>Registered Clubs Act 1976</w:t>
      </w:r>
      <w:r w:rsidRPr="00410DAB">
        <w:rPr>
          <w:rFonts w:ascii="Public Sans" w:hAnsi="Public Sans" w:cs="Arial"/>
        </w:rPr>
        <w:t xml:space="preserve"> (NSW) s 4(1) definition of “registered club”.</w:t>
      </w:r>
    </w:p>
  </w:footnote>
  <w:footnote w:id="537">
    <w:p w14:paraId="3EB9F099" w14:textId="4CCFD652" w:rsidR="000835D9" w:rsidRPr="00410DAB" w:rsidRDefault="000835D9" w:rsidP="000835D9">
      <w:pPr>
        <w:pStyle w:val="FootnoteText"/>
        <w:rPr>
          <w:rFonts w:ascii="Public Sans" w:hAnsi="Public Sans" w:cs="Arial"/>
          <w:color w:val="000000" w:themeColor="text1"/>
          <w:highlight w:val="yellow"/>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Liquor and Gaming NSW, “Licenced Premises Data” (2025) </w:t>
      </w:r>
      <w:r w:rsidRPr="00410DAB">
        <w:rPr>
          <w:rFonts w:ascii="Public Sans" w:hAnsi="Public Sans"/>
          <w:color w:val="000000" w:themeColor="text1"/>
        </w:rPr>
        <w:t>&lt;</w:t>
      </w:r>
      <w:hyperlink r:id="rId18" w:history="1">
        <w:r w:rsidR="00F55080" w:rsidRPr="00410DAB">
          <w:rPr>
            <w:rStyle w:val="Hyperlink"/>
            <w:rFonts w:ascii="Public Sans" w:hAnsi="Public Sans"/>
          </w:rPr>
          <w:t>www.liquorandgaming.nsw.gov.au/resources/licensed-premises-data</w:t>
        </w:r>
      </w:hyperlink>
      <w:r w:rsidRPr="00410DAB">
        <w:rPr>
          <w:rStyle w:val="Hyperlink"/>
          <w:rFonts w:ascii="Public Sans" w:hAnsi="Public Sans" w:cs="Arial"/>
          <w:color w:val="000000" w:themeColor="text1"/>
          <w:u w:val="none"/>
        </w:rPr>
        <w:t>&gt;</w:t>
      </w:r>
      <w:r w:rsidRPr="00410DAB">
        <w:rPr>
          <w:rFonts w:ascii="Public Sans" w:hAnsi="Public Sans" w:cs="Arial"/>
          <w:color w:val="000000" w:themeColor="text1"/>
        </w:rPr>
        <w:t xml:space="preserve"> (retrieved 28</w:t>
      </w:r>
      <w:r w:rsidRPr="00410DAB">
        <w:rPr>
          <w:rFonts w:ascii="Public Sans" w:hAnsi="Public Sans"/>
          <w:color w:val="000000" w:themeColor="text1"/>
        </w:rPr>
        <w:t> </w:t>
      </w:r>
      <w:r w:rsidRPr="00410DAB">
        <w:rPr>
          <w:rFonts w:ascii="Public Sans" w:hAnsi="Public Sans" w:cs="Arial"/>
          <w:color w:val="000000" w:themeColor="text1"/>
        </w:rPr>
        <w:t>February 2025).</w:t>
      </w:r>
    </w:p>
  </w:footnote>
  <w:footnote w:id="538">
    <w:p w14:paraId="7E4FF28D"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Law Reform Commission of Western Australia, </w:t>
      </w:r>
      <w:r w:rsidRPr="00410DAB">
        <w:rPr>
          <w:rFonts w:ascii="Public Sans" w:hAnsi="Public Sans" w:cs="Arial"/>
          <w:i/>
          <w:iCs/>
        </w:rPr>
        <w:t>Review of the Equal Opportunity Act 1984 (WA)</w:t>
      </w:r>
      <w:r w:rsidRPr="00410DAB">
        <w:rPr>
          <w:rFonts w:ascii="Public Sans" w:hAnsi="Public Sans" w:cs="Arial"/>
        </w:rPr>
        <w:t>, Project 111, Final Report (2022) 142.</w:t>
      </w:r>
    </w:p>
  </w:footnote>
  <w:footnote w:id="539">
    <w:p w14:paraId="5C18FB50" w14:textId="77777777" w:rsidR="000835D9" w:rsidRPr="00410DAB" w:rsidRDefault="000835D9" w:rsidP="000835D9">
      <w:pPr>
        <w:pStyle w:val="FootnoteText"/>
        <w:rPr>
          <w:rFonts w:ascii="Public Sans" w:hAnsi="Public Sans" w:cs="Arial"/>
          <w:color w:val="70AD47" w:themeColor="accent6"/>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w:t>
      </w:r>
      <w:r w:rsidRPr="00410DAB">
        <w:rPr>
          <w:rFonts w:ascii="Public Sans" w:hAnsi="Public Sans" w:cs="Arial"/>
        </w:rPr>
        <w:t xml:space="preserve"> </w:t>
      </w:r>
      <w:r w:rsidRPr="00410DAB">
        <w:rPr>
          <w:rFonts w:ascii="Public Sans" w:hAnsi="Public Sans" w:cs="Arial"/>
          <w:i/>
          <w:iCs/>
        </w:rPr>
        <w:t>(NSW)</w:t>
      </w:r>
      <w:r w:rsidRPr="00410DAB">
        <w:rPr>
          <w:rFonts w:ascii="Public Sans" w:hAnsi="Public Sans" w:cs="Arial"/>
        </w:rPr>
        <w:t>, Report 92 (1999) rec 27, [4.269], [6.88].</w:t>
      </w:r>
    </w:p>
  </w:footnote>
  <w:footnote w:id="540">
    <w:p w14:paraId="456E2213"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Disability Discrimination Act 1992</w:t>
      </w:r>
      <w:r w:rsidRPr="00410DAB">
        <w:rPr>
          <w:rFonts w:ascii="Public Sans" w:hAnsi="Public Sans" w:cs="Arial"/>
        </w:rPr>
        <w:t xml:space="preserve"> (Cth) s 4(1) definition of “club”.</w:t>
      </w:r>
    </w:p>
  </w:footnote>
  <w:footnote w:id="541">
    <w:p w14:paraId="2D1E0FF7"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Sex Discrimination Act 1984</w:t>
      </w:r>
      <w:r w:rsidRPr="00410DAB">
        <w:rPr>
          <w:rFonts w:ascii="Public Sans" w:hAnsi="Public Sans" w:cs="Arial"/>
        </w:rPr>
        <w:t xml:space="preserve"> (Cth) s 4(1) definition of “club”. </w:t>
      </w:r>
      <w:r w:rsidRPr="00410DAB">
        <w:rPr>
          <w:rFonts w:ascii="Public Sans" w:hAnsi="Public Sans"/>
        </w:rPr>
        <w:t xml:space="preserve">Neither the </w:t>
      </w:r>
      <w:r w:rsidRPr="00410DAB">
        <w:rPr>
          <w:rFonts w:ascii="Public Sans" w:hAnsi="Public Sans"/>
          <w:i/>
          <w:iCs/>
        </w:rPr>
        <w:t>Racial Discrimination Act 1975</w:t>
      </w:r>
      <w:r w:rsidRPr="00410DAB">
        <w:rPr>
          <w:rFonts w:ascii="Public Sans" w:hAnsi="Public Sans"/>
        </w:rPr>
        <w:t xml:space="preserve"> (Cth) nor the </w:t>
      </w:r>
      <w:r w:rsidRPr="00410DAB">
        <w:rPr>
          <w:rFonts w:ascii="Public Sans" w:hAnsi="Public Sans"/>
          <w:i/>
          <w:iCs/>
        </w:rPr>
        <w:t xml:space="preserve">Age Discrimination Act 2004 </w:t>
      </w:r>
      <w:r w:rsidRPr="00410DAB">
        <w:rPr>
          <w:rFonts w:ascii="Public Sans" w:hAnsi="Public Sans"/>
        </w:rPr>
        <w:t>(Cth) defines “club”.</w:t>
      </w:r>
    </w:p>
  </w:footnote>
  <w:footnote w:id="542">
    <w:p w14:paraId="75574122"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Queensland Human Rights Commission, </w:t>
      </w:r>
      <w:r w:rsidRPr="00410DAB">
        <w:rPr>
          <w:rFonts w:ascii="Public Sans" w:hAnsi="Public Sans" w:cs="Arial"/>
          <w:i/>
          <w:iCs/>
        </w:rPr>
        <w:t>Building Belonging: Review of Queensland’s Anti-Discrimination Act 1991</w:t>
      </w:r>
      <w:r w:rsidRPr="00410DAB">
        <w:rPr>
          <w:rFonts w:ascii="Public Sans" w:hAnsi="Public Sans" w:cs="Arial"/>
        </w:rPr>
        <w:t xml:space="preserve"> (2022) 358–359, rec 35.</w:t>
      </w:r>
    </w:p>
  </w:footnote>
  <w:footnote w:id="543">
    <w:p w14:paraId="2F6A9D5A" w14:textId="77777777" w:rsidR="000835D9" w:rsidRPr="00410DAB" w:rsidRDefault="000835D9" w:rsidP="000835D9">
      <w:pPr>
        <w:pStyle w:val="FootnoteText"/>
        <w:rPr>
          <w:rFonts w:ascii="Public Sans" w:hAnsi="Public Sans"/>
        </w:rPr>
      </w:pPr>
      <w:r w:rsidRPr="00410DAB">
        <w:rPr>
          <w:rStyle w:val="FootnoteReference"/>
          <w:rFonts w:cs="Arial"/>
          <w:vertAlign w:val="baseline"/>
        </w:rPr>
        <w:footnoteRef/>
      </w:r>
      <w:r w:rsidRPr="00410DAB">
        <w:rPr>
          <w:rFonts w:ascii="Public Sans" w:hAnsi="Public Sans" w:cs="Arial"/>
        </w:rPr>
        <w:t>.</w:t>
      </w:r>
      <w:r w:rsidRPr="00410DAB">
        <w:rPr>
          <w:rStyle w:val="FootnoteReference"/>
          <w:rFonts w:cs="Arial"/>
          <w:vertAlign w:val="baseline"/>
        </w:rPr>
        <w:t xml:space="preserve"> </w:t>
      </w:r>
      <w:r w:rsidRPr="00410DAB">
        <w:rPr>
          <w:rFonts w:ascii="Public Sans" w:hAnsi="Public Sans"/>
        </w:rPr>
        <w:tab/>
      </w:r>
      <w:r w:rsidRPr="00410DAB">
        <w:rPr>
          <w:rFonts w:ascii="Public Sans" w:hAnsi="Public Sans" w:cs="Arial"/>
          <w:i/>
          <w:iCs/>
        </w:rPr>
        <w:t>Anti-Discrimination Act 1977</w:t>
      </w:r>
      <w:r w:rsidRPr="00410DAB">
        <w:rPr>
          <w:rFonts w:ascii="Public Sans" w:hAnsi="Public Sans" w:cs="Arial"/>
        </w:rPr>
        <w:t xml:space="preserve"> (NSW) s 57.</w:t>
      </w:r>
    </w:p>
  </w:footnote>
  <w:footnote w:id="544">
    <w:p w14:paraId="28236408"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20A(3), s 49O(3), s 49ZYP(3)(a).</w:t>
      </w:r>
    </w:p>
  </w:footnote>
  <w:footnote w:id="545">
    <w:p w14:paraId="70C154AE"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20A(3).</w:t>
      </w:r>
    </w:p>
  </w:footnote>
  <w:footnote w:id="546">
    <w:p w14:paraId="43DA85E1"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[6.157].</w:t>
      </w:r>
    </w:p>
  </w:footnote>
  <w:footnote w:id="547">
    <w:p w14:paraId="314EED85"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[6.436].</w:t>
      </w:r>
    </w:p>
  </w:footnote>
  <w:footnote w:id="548">
    <w:p w14:paraId="3BFAC68E"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31.</w:t>
      </w:r>
    </w:p>
  </w:footnote>
  <w:footnote w:id="549">
    <w:p w14:paraId="1EA01B1E"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34A(3), s 34A(3A).</w:t>
      </w:r>
    </w:p>
  </w:footnote>
  <w:footnote w:id="550">
    <w:p w14:paraId="7F3D0617"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Review of the Anti-Discrimination Act 1977 (NSW)</w:t>
      </w:r>
      <w:r w:rsidRPr="00410DAB">
        <w:rPr>
          <w:rFonts w:ascii="Public Sans" w:hAnsi="Public Sans" w:cs="Arial"/>
        </w:rPr>
        <w:t>, Report 92 (1999) rec 59, [6.194].</w:t>
      </w:r>
    </w:p>
  </w:footnote>
  <w:footnote w:id="551">
    <w:p w14:paraId="631FA966"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34A(4).</w:t>
      </w:r>
    </w:p>
  </w:footnote>
  <w:footnote w:id="552">
    <w:p w14:paraId="50B2906F"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Review of the Anti-Discrimination Act 1977 (NSW</w:t>
      </w:r>
      <w:r w:rsidRPr="00410DAB">
        <w:rPr>
          <w:rFonts w:ascii="Public Sans" w:hAnsi="Public Sans" w:cs="Arial"/>
        </w:rPr>
        <w:t>)</w:t>
      </w:r>
      <w:r w:rsidRPr="00410DAB">
        <w:rPr>
          <w:rFonts w:ascii="Public Sans" w:hAnsi="Public Sans" w:cs="Arial"/>
          <w:i/>
          <w:iCs/>
        </w:rPr>
        <w:t>,</w:t>
      </w:r>
      <w:r w:rsidRPr="00410DAB">
        <w:rPr>
          <w:rFonts w:ascii="Public Sans" w:hAnsi="Public Sans" w:cs="Arial"/>
        </w:rPr>
        <w:t xml:space="preserve"> Report 92 (1999) [6.197].</w:t>
      </w:r>
    </w:p>
  </w:footnote>
  <w:footnote w:id="553">
    <w:p w14:paraId="6D5BDF1E"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49O(5).</w:t>
      </w:r>
    </w:p>
  </w:footnote>
  <w:footnote w:id="554">
    <w:p w14:paraId="788B7835" w14:textId="77777777" w:rsidR="000835D9" w:rsidRPr="00410DAB" w:rsidRDefault="000835D9" w:rsidP="000835D9">
      <w:pPr>
        <w:pStyle w:val="FootnoteText"/>
        <w:rPr>
          <w:rFonts w:ascii="Public Sans" w:hAnsi="Public Sans" w:cs="Arial"/>
          <w:color w:val="70AD47" w:themeColor="accent6"/>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Sex Discrimination Act 1984</w:t>
      </w:r>
      <w:r w:rsidRPr="00410DAB">
        <w:rPr>
          <w:rFonts w:ascii="Public Sans" w:hAnsi="Public Sans" w:cs="Arial"/>
        </w:rPr>
        <w:t xml:space="preserve"> (Cth) pt 2 div 1.</w:t>
      </w:r>
    </w:p>
  </w:footnote>
  <w:footnote w:id="555">
    <w:p w14:paraId="198F8244"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szCs w:val="18"/>
        </w:rPr>
        <w:t xml:space="preserve">Discrimination Act 1991 </w:t>
      </w:r>
      <w:r w:rsidRPr="00410DAB">
        <w:rPr>
          <w:rFonts w:ascii="Public Sans" w:hAnsi="Public Sans"/>
          <w:szCs w:val="18"/>
        </w:rPr>
        <w:t>(ACT) s 7</w:t>
      </w:r>
      <w:r w:rsidRPr="00410DAB">
        <w:rPr>
          <w:rFonts w:ascii="Public Sans" w:hAnsi="Public Sans"/>
        </w:rPr>
        <w:t xml:space="preserve">; </w:t>
      </w:r>
      <w:r w:rsidRPr="00410DAB">
        <w:rPr>
          <w:rFonts w:ascii="Public Sans" w:hAnsi="Public Sans"/>
          <w:i/>
          <w:iCs/>
        </w:rPr>
        <w:t>Anti-Discrimination Act 1991</w:t>
      </w:r>
      <w:r w:rsidRPr="00410DAB">
        <w:rPr>
          <w:rFonts w:ascii="Public Sans" w:hAnsi="Public Sans"/>
        </w:rPr>
        <w:t xml:space="preserve"> (Qld) s 7; </w:t>
      </w:r>
      <w:r w:rsidRPr="00410DAB">
        <w:rPr>
          <w:rFonts w:ascii="Public Sans" w:hAnsi="Public Sans"/>
          <w:i/>
          <w:iCs/>
        </w:rPr>
        <w:t>Anti-Discrimination Act 1992</w:t>
      </w:r>
      <w:r w:rsidRPr="00410DAB">
        <w:rPr>
          <w:rFonts w:ascii="Public Sans" w:hAnsi="Public Sans"/>
        </w:rPr>
        <w:t xml:space="preserve"> (NT) s 19; </w:t>
      </w:r>
      <w:r w:rsidRPr="00410DAB">
        <w:rPr>
          <w:rFonts w:ascii="Public Sans" w:hAnsi="Public Sans"/>
          <w:i/>
          <w:iCs/>
        </w:rPr>
        <w:t>Anti-Discrimination Act 1998</w:t>
      </w:r>
      <w:r w:rsidRPr="00410DAB">
        <w:rPr>
          <w:rFonts w:ascii="Public Sans" w:hAnsi="Public Sans"/>
        </w:rPr>
        <w:t xml:space="preserve"> (Tas) s 16.</w:t>
      </w:r>
    </w:p>
  </w:footnote>
  <w:footnote w:id="556">
    <w:p w14:paraId="31852BAB"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w:t>
      </w:r>
      <w:r w:rsidRPr="00410DAB">
        <w:rPr>
          <w:rFonts w:ascii="Public Sans" w:hAnsi="Public Sans" w:cs="Arial"/>
          <w:color w:val="FF0000"/>
        </w:rPr>
        <w:t xml:space="preserve"> </w:t>
      </w:r>
      <w:r w:rsidRPr="00410DAB">
        <w:rPr>
          <w:rFonts w:ascii="Public Sans" w:hAnsi="Public Sans" w:cs="Arial"/>
        </w:rPr>
        <w:t>[5.219]–[5.220].</w:t>
      </w:r>
    </w:p>
  </w:footnote>
  <w:footnote w:id="557">
    <w:p w14:paraId="5CE9051A"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Carers NSW, </w:t>
      </w:r>
      <w:r w:rsidRPr="00410DAB">
        <w:rPr>
          <w:rFonts w:ascii="Public Sans" w:hAnsi="Public Sans" w:cs="Arial"/>
          <w:i/>
          <w:iCs/>
        </w:rPr>
        <w:t>Preliminary Submission PAD71</w:t>
      </w:r>
      <w:r w:rsidRPr="00410DAB">
        <w:rPr>
          <w:rFonts w:ascii="Public Sans" w:hAnsi="Public Sans" w:cs="Arial"/>
        </w:rPr>
        <w:t>, 3.</w:t>
      </w:r>
    </w:p>
  </w:footnote>
  <w:footnote w:id="558">
    <w:p w14:paraId="7275A94F" w14:textId="77777777" w:rsidR="000835D9" w:rsidRPr="00410DAB" w:rsidRDefault="000835D9" w:rsidP="000835D9">
      <w:pPr>
        <w:pStyle w:val="FootnoteText"/>
        <w:rPr>
          <w:rFonts w:ascii="Public Sans" w:hAnsi="Public Sans" w:cs="Arial"/>
          <w:color w:val="000000" w:themeColor="text1"/>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Human Rights Commission, </w:t>
      </w:r>
      <w:r w:rsidRPr="00410DAB">
        <w:rPr>
          <w:rFonts w:ascii="Public Sans" w:hAnsi="Public Sans" w:cs="Arial"/>
          <w:i/>
          <w:iCs/>
        </w:rPr>
        <w:t xml:space="preserve">Free and Equal: A Reform Agenda for Federal </w:t>
      </w:r>
      <w:r w:rsidRPr="00410DAB">
        <w:rPr>
          <w:rFonts w:ascii="Public Sans" w:hAnsi="Public Sans" w:cs="Arial"/>
          <w:i/>
          <w:iCs/>
          <w:color w:val="000000" w:themeColor="text1"/>
        </w:rPr>
        <w:t xml:space="preserve">Discrimination Laws </w:t>
      </w:r>
      <w:r w:rsidRPr="00410DAB">
        <w:rPr>
          <w:rFonts w:ascii="Public Sans" w:hAnsi="Public Sans" w:cs="Arial"/>
          <w:color w:val="000000" w:themeColor="text1"/>
        </w:rPr>
        <w:t>(2021) 256.</w:t>
      </w:r>
    </w:p>
  </w:footnote>
  <w:footnote w:id="559">
    <w:p w14:paraId="26ED2700" w14:textId="77777777" w:rsidR="000835D9" w:rsidRPr="00410DAB" w:rsidRDefault="000835D9" w:rsidP="000835D9">
      <w:pPr>
        <w:pStyle w:val="FootnoteText"/>
        <w:rPr>
          <w:rFonts w:ascii="Public Sans" w:hAnsi="Public Sans" w:cs="Arial"/>
          <w:color w:val="000000" w:themeColor="text1"/>
          <w:highlight w:val="yellow"/>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Law Reform Commission of Western Australia, </w:t>
      </w:r>
      <w:r w:rsidRPr="00410DAB">
        <w:rPr>
          <w:rFonts w:ascii="Public Sans" w:hAnsi="Public Sans" w:cs="Arial"/>
          <w:i/>
          <w:iCs/>
          <w:color w:val="000000" w:themeColor="text1"/>
        </w:rPr>
        <w:t>Review of the Equal Opportunity Act 1984 (WA)</w:t>
      </w:r>
      <w:r w:rsidRPr="00410DAB">
        <w:rPr>
          <w:rFonts w:ascii="Public Sans" w:hAnsi="Public Sans" w:cs="Arial"/>
          <w:color w:val="000000" w:themeColor="text1"/>
        </w:rPr>
        <w:t xml:space="preserve">, Project 111, Final Report (2022) rec 56, 125–126. </w:t>
      </w:r>
    </w:p>
  </w:footnote>
  <w:footnote w:id="560">
    <w:p w14:paraId="72FDE2AB" w14:textId="77777777" w:rsidR="000835D9" w:rsidRPr="00410DAB" w:rsidRDefault="000835D9" w:rsidP="000835D9">
      <w:pPr>
        <w:pStyle w:val="FootnoteText"/>
        <w:rPr>
          <w:rFonts w:ascii="Public Sans" w:hAnsi="Public Sans" w:cs="Arial"/>
          <w:color w:val="70AD47" w:themeColor="accent6"/>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Racial Discrimination Act 1975</w:t>
      </w:r>
      <w:r w:rsidRPr="00410DAB">
        <w:rPr>
          <w:rFonts w:ascii="Public Sans" w:hAnsi="Public Sans" w:cs="Arial"/>
        </w:rPr>
        <w:t xml:space="preserve"> (Cth) s 9(1), s 11–15.</w:t>
      </w:r>
    </w:p>
  </w:footnote>
  <w:footnote w:id="561">
    <w:p w14:paraId="10EDB8C1" w14:textId="77777777" w:rsidR="000835D9" w:rsidRPr="00410DAB" w:rsidRDefault="000835D9" w:rsidP="000835D9">
      <w:pPr>
        <w:pStyle w:val="FootnoteText"/>
        <w:rPr>
          <w:rFonts w:ascii="Public Sans" w:hAnsi="Public Sans" w:cs="Arial"/>
          <w:color w:val="000000" w:themeColor="text1"/>
          <w:highlight w:val="yellow"/>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See, eg, Exposure Draft, Human Rights and Anti-Discrimination Bill 2012 (Cth) cl 22; ACT Law Reform Advisory Council, </w:t>
      </w:r>
      <w:r w:rsidRPr="00410DAB">
        <w:rPr>
          <w:rFonts w:ascii="Public Sans" w:hAnsi="Public Sans" w:cs="Arial"/>
          <w:i/>
          <w:iCs/>
          <w:color w:val="000000" w:themeColor="text1"/>
        </w:rPr>
        <w:t>Review of the Discrimination Act 1991 (ACT),</w:t>
      </w:r>
      <w:r w:rsidRPr="00410DAB">
        <w:rPr>
          <w:rFonts w:ascii="Public Sans" w:hAnsi="Public Sans" w:cs="Arial"/>
          <w:color w:val="000000" w:themeColor="text1"/>
        </w:rPr>
        <w:t xml:space="preserve"> Final Report (2015) 52, rec 6.1.</w:t>
      </w:r>
    </w:p>
  </w:footnote>
  <w:footnote w:id="562">
    <w:p w14:paraId="0AD576B2"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273" w:name="_Hlk191886611"/>
      <w:r w:rsidRPr="00410DAB">
        <w:rPr>
          <w:rFonts w:ascii="Public Sans" w:hAnsi="Public Sans" w:cs="Arial"/>
        </w:rPr>
        <w:t xml:space="preserve">ACT Legislative Assembly, </w:t>
      </w:r>
      <w:r w:rsidRPr="00410DAB">
        <w:rPr>
          <w:rFonts w:ascii="Public Sans" w:hAnsi="Public Sans" w:cs="Arial"/>
          <w:i/>
          <w:iCs/>
        </w:rPr>
        <w:t>Yoursay Listening Report:</w:t>
      </w:r>
      <w:r w:rsidRPr="00410DAB">
        <w:rPr>
          <w:rFonts w:ascii="Public Sans" w:hAnsi="Public Sans" w:cs="Arial"/>
        </w:rPr>
        <w:t xml:space="preserve"> </w:t>
      </w:r>
      <w:r w:rsidRPr="00410DAB">
        <w:rPr>
          <w:rFonts w:ascii="Public Sans" w:hAnsi="Public Sans" w:cs="Arial"/>
          <w:i/>
          <w:iCs/>
        </w:rPr>
        <w:t>Discrimination Law Reform</w:t>
      </w:r>
      <w:r w:rsidRPr="00410DAB">
        <w:rPr>
          <w:rFonts w:ascii="Public Sans" w:hAnsi="Public Sans" w:cs="Arial"/>
        </w:rPr>
        <w:t xml:space="preserve"> (2022) 4</w:t>
      </w:r>
      <w:bookmarkEnd w:id="273"/>
      <w:r w:rsidRPr="00410DAB">
        <w:rPr>
          <w:rFonts w:ascii="Public Sans" w:hAnsi="Public Sans" w:cs="Arial"/>
        </w:rPr>
        <w:t xml:space="preserve">; Queensland Human Rights Commission, </w:t>
      </w:r>
      <w:r w:rsidRPr="00410DAB">
        <w:rPr>
          <w:rFonts w:ascii="Public Sans" w:hAnsi="Public Sans" w:cs="Arial"/>
          <w:i/>
          <w:iCs/>
        </w:rPr>
        <w:t>Building Belonging: Review of Queensland’s Anti-Discrimination Act 1991</w:t>
      </w:r>
      <w:r w:rsidRPr="00410DAB">
        <w:rPr>
          <w:rFonts w:ascii="Public Sans" w:hAnsi="Public Sans" w:cs="Arial"/>
        </w:rPr>
        <w:t xml:space="preserve"> (2022) 347; Law Reform Commission of Western Australia, </w:t>
      </w:r>
      <w:r w:rsidRPr="00410DAB">
        <w:rPr>
          <w:rFonts w:ascii="Public Sans" w:hAnsi="Public Sans" w:cs="Arial"/>
          <w:i/>
          <w:iCs/>
        </w:rPr>
        <w:t>Review of the Equal Opportunity Act 1984 (WA)</w:t>
      </w:r>
      <w:r w:rsidRPr="00410DAB">
        <w:rPr>
          <w:rFonts w:ascii="Public Sans" w:hAnsi="Public Sans" w:cs="Arial"/>
        </w:rPr>
        <w:t xml:space="preserve">, Project 111, Final Report (2022) 125; NSW Law Reform Commission, </w:t>
      </w:r>
      <w:r w:rsidRPr="00410DAB">
        <w:rPr>
          <w:rFonts w:ascii="Public Sans" w:hAnsi="Public Sans" w:cs="Arial"/>
          <w:i/>
          <w:iCs/>
        </w:rPr>
        <w:t>Review of the Anti-Discrimination Act 1977 (NSW)</w:t>
      </w:r>
      <w:r w:rsidRPr="00410DAB">
        <w:rPr>
          <w:rFonts w:ascii="Public Sans" w:hAnsi="Public Sans" w:cs="Arial"/>
        </w:rPr>
        <w:t>, Report 92 (1999)</w:t>
      </w:r>
      <w:r w:rsidRPr="00410DAB">
        <w:rPr>
          <w:rFonts w:ascii="Public Sans" w:hAnsi="Public Sans" w:cs="Arial"/>
          <w:color w:val="FF0000"/>
        </w:rPr>
        <w:t xml:space="preserve"> </w:t>
      </w:r>
      <w:r w:rsidRPr="00410DAB">
        <w:rPr>
          <w:rFonts w:ascii="Public Sans" w:hAnsi="Public Sans" w:cs="Arial"/>
        </w:rPr>
        <w:t>[4.26]–[4.29].</w:t>
      </w:r>
    </w:p>
  </w:footnote>
  <w:footnote w:id="563">
    <w:p w14:paraId="3A372F14"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Law Reform Commission of Western Australia</w:t>
      </w:r>
      <w:r w:rsidRPr="00410DAB">
        <w:rPr>
          <w:rFonts w:ascii="Public Sans" w:hAnsi="Public Sans" w:cs="Arial"/>
          <w:i/>
          <w:iCs/>
        </w:rPr>
        <w:t xml:space="preserve">, Review of the Equal Opportunity Act 1984 (WA), </w:t>
      </w:r>
      <w:r w:rsidRPr="00410DAB">
        <w:rPr>
          <w:rFonts w:ascii="Public Sans" w:hAnsi="Public Sans" w:cs="Arial"/>
        </w:rPr>
        <w:t>Project 111, Final Report (2022) 125.</w:t>
      </w:r>
    </w:p>
  </w:footnote>
  <w:footnote w:id="564">
    <w:p w14:paraId="7215F6BE"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w:t>
      </w:r>
      <w:r w:rsidRPr="00410DAB">
        <w:rPr>
          <w:rFonts w:ascii="Public Sans" w:hAnsi="Public Sans" w:cs="Arial"/>
          <w:color w:val="FF0000"/>
        </w:rPr>
        <w:t xml:space="preserve"> </w:t>
      </w:r>
      <w:r w:rsidRPr="00410DAB">
        <w:rPr>
          <w:rFonts w:ascii="Public Sans" w:hAnsi="Public Sans" w:cs="Arial"/>
        </w:rPr>
        <w:t>[4.29].</w:t>
      </w:r>
    </w:p>
  </w:footnote>
  <w:footnote w:id="565">
    <w:p w14:paraId="4FA7C71E"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50; </w:t>
      </w:r>
      <w:r w:rsidRPr="00410DAB">
        <w:rPr>
          <w:rFonts w:ascii="Public Sans" w:hAnsi="Public Sans" w:cs="Arial"/>
          <w:i/>
          <w:iCs/>
        </w:rPr>
        <w:t>Equal Opportunity Act</w:t>
      </w:r>
      <w:r w:rsidRPr="00410DAB">
        <w:rPr>
          <w:rFonts w:ascii="Public Sans" w:hAnsi="Public Sans" w:cs="Arial"/>
        </w:rPr>
        <w:t xml:space="preserve"> </w:t>
      </w:r>
      <w:r w:rsidRPr="00410DAB">
        <w:rPr>
          <w:rFonts w:ascii="Public Sans" w:hAnsi="Public Sans" w:cs="Arial"/>
          <w:i/>
          <w:iCs/>
        </w:rPr>
        <w:t>1984</w:t>
      </w:r>
      <w:r w:rsidRPr="00410DAB">
        <w:rPr>
          <w:rFonts w:ascii="Public Sans" w:hAnsi="Public Sans" w:cs="Arial"/>
        </w:rPr>
        <w:t xml:space="preserve"> (SA) s 38(1), s 60(1), s 75(1), s 85J, s 85ZF(1)–(2); </w:t>
      </w:r>
      <w:r w:rsidRPr="00410DAB">
        <w:rPr>
          <w:rFonts w:ascii="Public Sans" w:hAnsi="Public Sans" w:cs="Arial"/>
          <w:i/>
          <w:iCs/>
        </w:rPr>
        <w:t>Equal Opportunity Act 1984</w:t>
      </w:r>
      <w:r w:rsidRPr="00410DAB">
        <w:rPr>
          <w:rFonts w:ascii="Public Sans" w:hAnsi="Public Sans" w:cs="Arial"/>
        </w:rPr>
        <w:t xml:space="preserve"> (WA) s 21A(1), s 35AN(1), s 35ZA(1), s 47A, s 66ZH(1); </w:t>
      </w:r>
      <w:r w:rsidRPr="00410DAB">
        <w:rPr>
          <w:rFonts w:ascii="Public Sans" w:hAnsi="Public Sans" w:cs="Arial"/>
          <w:i/>
          <w:iCs/>
        </w:rPr>
        <w:t xml:space="preserve">Anti-Discrimination Act 1991 </w:t>
      </w:r>
      <w:r w:rsidRPr="00410DAB">
        <w:rPr>
          <w:rFonts w:ascii="Public Sans" w:hAnsi="Public Sans" w:cs="Arial"/>
        </w:rPr>
        <w:t xml:space="preserve">(Qld) s 77. </w:t>
      </w:r>
    </w:p>
  </w:footnote>
  <w:footnote w:id="566">
    <w:p w14:paraId="728E998B" w14:textId="77777777" w:rsidR="000835D9" w:rsidRPr="00410DAB" w:rsidRDefault="000835D9" w:rsidP="000835D9">
      <w:pPr>
        <w:pStyle w:val="FootnoteText"/>
        <w:rPr>
          <w:rFonts w:ascii="Public Sans" w:hAnsi="Public Sans" w:cs="Arial"/>
          <w:color w:val="000000" w:themeColor="text1"/>
          <w:highlight w:val="yellow"/>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Disability Discrimination Act 1992</w:t>
      </w:r>
      <w:r w:rsidRPr="00410DAB">
        <w:rPr>
          <w:rFonts w:ascii="Public Sans" w:hAnsi="Public Sans" w:cs="Arial"/>
          <w:color w:val="000000" w:themeColor="text1"/>
        </w:rPr>
        <w:t xml:space="preserve"> (Cth) s 26(1); </w:t>
      </w:r>
      <w:r w:rsidRPr="00410DAB">
        <w:rPr>
          <w:rFonts w:ascii="Public Sans" w:hAnsi="Public Sans" w:cs="Arial"/>
          <w:i/>
          <w:iCs/>
          <w:color w:val="000000" w:themeColor="text1"/>
        </w:rPr>
        <w:t>Sex Discrimination Act 1984</w:t>
      </w:r>
      <w:r w:rsidRPr="00410DAB">
        <w:rPr>
          <w:rFonts w:ascii="Public Sans" w:hAnsi="Public Sans" w:cs="Arial"/>
          <w:color w:val="000000" w:themeColor="text1"/>
        </w:rPr>
        <w:t xml:space="preserve"> (Cth) s 24(1); </w:t>
      </w:r>
      <w:r w:rsidRPr="00410DAB">
        <w:rPr>
          <w:rFonts w:ascii="Public Sans" w:hAnsi="Public Sans" w:cs="Arial"/>
          <w:i/>
          <w:iCs/>
          <w:color w:val="000000" w:themeColor="text1"/>
        </w:rPr>
        <w:t>Age Discrimination Act 2004</w:t>
      </w:r>
      <w:r w:rsidRPr="00410DAB">
        <w:rPr>
          <w:rFonts w:ascii="Public Sans" w:hAnsi="Public Sans" w:cs="Arial"/>
          <w:color w:val="000000" w:themeColor="text1"/>
        </w:rPr>
        <w:t xml:space="preserve"> (Cth) s 30(1).</w:t>
      </w:r>
    </w:p>
  </w:footnote>
  <w:footnote w:id="567">
    <w:p w14:paraId="63A56CEB" w14:textId="77777777" w:rsidR="000835D9" w:rsidRPr="00410DAB" w:rsidRDefault="000835D9" w:rsidP="000835D9">
      <w:pPr>
        <w:pStyle w:val="FootnoteText"/>
        <w:rPr>
          <w:rFonts w:ascii="Public Sans" w:hAnsi="Public Sans" w:cs="Arial"/>
          <w:color w:val="000000" w:themeColor="text1"/>
          <w:highlight w:val="yellow"/>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NSW Law Reform Commission, </w:t>
      </w:r>
      <w:r w:rsidRPr="00410DAB">
        <w:rPr>
          <w:rFonts w:ascii="Public Sans" w:hAnsi="Public Sans" w:cs="Arial"/>
          <w:i/>
          <w:iCs/>
          <w:color w:val="000000" w:themeColor="text1"/>
        </w:rPr>
        <w:t>Review of the Anti-Discrimination Act 1977 (NSW)</w:t>
      </w:r>
      <w:r w:rsidRPr="00410DAB">
        <w:rPr>
          <w:rFonts w:ascii="Public Sans" w:hAnsi="Public Sans" w:cs="Arial"/>
          <w:color w:val="000000" w:themeColor="text1"/>
        </w:rPr>
        <w:t>, Report 92 (1999) [4.289], rec 28.</w:t>
      </w:r>
    </w:p>
  </w:footnote>
  <w:footnote w:id="568">
    <w:p w14:paraId="5C506449"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bookmarkStart w:id="278" w:name="_Hlk191897899"/>
      <w:r w:rsidRPr="00410DAB">
        <w:rPr>
          <w:rFonts w:ascii="Public Sans" w:hAnsi="Public Sans" w:cs="Arial"/>
          <w:i/>
          <w:iCs/>
        </w:rPr>
        <w:t>New South Wales v Whiteoak</w:t>
      </w:r>
      <w:r w:rsidRPr="00410DAB">
        <w:rPr>
          <w:rFonts w:ascii="Public Sans" w:hAnsi="Public Sans" w:cs="Arial"/>
        </w:rPr>
        <w:t xml:space="preserve"> [2014] NSWCATAP 99</w:t>
      </w:r>
      <w:bookmarkEnd w:id="278"/>
      <w:r w:rsidRPr="00410DAB">
        <w:rPr>
          <w:rFonts w:ascii="Public Sans" w:hAnsi="Public Sans" w:cs="Arial"/>
        </w:rPr>
        <w:t>.</w:t>
      </w:r>
    </w:p>
  </w:footnote>
  <w:footnote w:id="569">
    <w:p w14:paraId="13243A76" w14:textId="44BE75D3" w:rsidR="000835D9" w:rsidRPr="00410DAB" w:rsidRDefault="000835D9" w:rsidP="000835D9">
      <w:pPr>
        <w:pStyle w:val="FootnoteText"/>
        <w:rPr>
          <w:rStyle w:val="FootnoteReference"/>
          <w:vertAlign w:val="baseline"/>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Legal Aid NSW, </w:t>
      </w:r>
      <w:r w:rsidRPr="00410DAB">
        <w:rPr>
          <w:rFonts w:ascii="Public Sans" w:hAnsi="Public Sans" w:cs="Arial"/>
          <w:i/>
          <w:iCs/>
          <w:color w:val="000000" w:themeColor="text1"/>
        </w:rPr>
        <w:t>Preliminary Submission PAD87</w:t>
      </w:r>
      <w:r w:rsidRPr="00410DAB">
        <w:rPr>
          <w:rFonts w:ascii="Public Sans" w:hAnsi="Public Sans" w:cs="Arial"/>
          <w:color w:val="000000" w:themeColor="text1"/>
        </w:rPr>
        <w:t xml:space="preserve">, 24; NSW Aboriginal Women’s Advisory Network, </w:t>
      </w:r>
      <w:r w:rsidRPr="00410DAB">
        <w:rPr>
          <w:rFonts w:ascii="Public Sans" w:hAnsi="Public Sans" w:cs="Arial"/>
          <w:i/>
          <w:iCs/>
          <w:color w:val="000000" w:themeColor="text1"/>
        </w:rPr>
        <w:t>Preliminary Submission PAD27</w:t>
      </w:r>
      <w:r w:rsidRPr="00410DAB">
        <w:rPr>
          <w:rFonts w:ascii="Public Sans" w:hAnsi="Public Sans" w:cs="Arial"/>
          <w:color w:val="000000" w:themeColor="text1"/>
        </w:rPr>
        <w:t>, 9.</w:t>
      </w:r>
    </w:p>
  </w:footnote>
  <w:footnote w:id="570">
    <w:p w14:paraId="6FE37098"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279" w:name="_Hlk191902583"/>
      <w:r w:rsidRPr="00410DAB">
        <w:rPr>
          <w:rFonts w:ascii="Public Sans" w:hAnsi="Public Sans" w:cs="Arial"/>
          <w:i/>
          <w:iCs/>
        </w:rPr>
        <w:t>Commissioner of Police v Mohamed</w:t>
      </w:r>
      <w:r w:rsidRPr="00410DAB">
        <w:rPr>
          <w:rFonts w:ascii="Public Sans" w:hAnsi="Public Sans" w:cs="Arial"/>
        </w:rPr>
        <w:t xml:space="preserve"> [2009] NSWCA 432 </w:t>
      </w:r>
      <w:bookmarkEnd w:id="279"/>
      <w:r w:rsidRPr="00410DAB">
        <w:rPr>
          <w:rFonts w:ascii="Public Sans" w:hAnsi="Public Sans" w:cs="Arial"/>
        </w:rPr>
        <w:t>[87]–[88].</w:t>
      </w:r>
    </w:p>
  </w:footnote>
  <w:footnote w:id="571">
    <w:p w14:paraId="03636C1C"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Equality Australia, </w:t>
      </w:r>
      <w:r w:rsidRPr="00410DAB">
        <w:rPr>
          <w:rFonts w:ascii="Public Sans" w:hAnsi="Public Sans" w:cs="Arial"/>
          <w:i/>
          <w:iCs/>
        </w:rPr>
        <w:t>Preliminary Submission PAD07</w:t>
      </w:r>
      <w:r w:rsidRPr="00410DAB">
        <w:rPr>
          <w:rFonts w:ascii="Public Sans" w:hAnsi="Public Sans" w:cs="Arial"/>
        </w:rPr>
        <w:t xml:space="preserve">, 19; Legal Aid NSW, </w:t>
      </w:r>
      <w:r w:rsidRPr="00410DAB">
        <w:rPr>
          <w:rFonts w:ascii="Public Sans" w:hAnsi="Public Sans" w:cs="Arial"/>
          <w:i/>
          <w:iCs/>
        </w:rPr>
        <w:t>Preliminary Submission PAD87</w:t>
      </w:r>
      <w:r w:rsidRPr="00410DAB">
        <w:rPr>
          <w:rFonts w:ascii="Public Sans" w:hAnsi="Public Sans" w:cs="Arial"/>
        </w:rPr>
        <w:t xml:space="preserve">, 24; NSW Aboriginal Women’s Advisory Network, </w:t>
      </w:r>
      <w:r w:rsidRPr="00410DAB">
        <w:rPr>
          <w:rFonts w:ascii="Public Sans" w:hAnsi="Public Sans" w:cs="Arial"/>
          <w:i/>
          <w:iCs/>
        </w:rPr>
        <w:t>Preliminary Submission PAD27</w:t>
      </w:r>
      <w:r w:rsidRPr="00410DAB">
        <w:rPr>
          <w:rFonts w:ascii="Public Sans" w:hAnsi="Public Sans" w:cs="Arial"/>
        </w:rPr>
        <w:t xml:space="preserve">, 9; Sex Workers Outreach Project NSW, </w:t>
      </w:r>
      <w:r w:rsidRPr="00410DAB">
        <w:rPr>
          <w:rFonts w:ascii="Public Sans" w:hAnsi="Public Sans" w:cs="Arial"/>
          <w:i/>
          <w:iCs/>
        </w:rPr>
        <w:t>Preliminary Submission PAD77</w:t>
      </w:r>
      <w:r w:rsidRPr="00410DAB">
        <w:rPr>
          <w:rFonts w:ascii="Public Sans" w:hAnsi="Public Sans" w:cs="Arial"/>
        </w:rPr>
        <w:t xml:space="preserve">, 5; Law Society of NSW, </w:t>
      </w:r>
      <w:r w:rsidRPr="00410DAB">
        <w:rPr>
          <w:rFonts w:ascii="Public Sans" w:hAnsi="Public Sans" w:cs="Arial"/>
          <w:i/>
          <w:iCs/>
        </w:rPr>
        <w:t>Preliminary Submission PAD31</w:t>
      </w:r>
      <w:r w:rsidRPr="00410DAB">
        <w:rPr>
          <w:rFonts w:ascii="Public Sans" w:hAnsi="Public Sans" w:cs="Arial"/>
        </w:rPr>
        <w:t>, 10.</w:t>
      </w:r>
    </w:p>
  </w:footnote>
  <w:footnote w:id="572">
    <w:p w14:paraId="18372F70" w14:textId="77777777" w:rsidR="000835D9" w:rsidRPr="00410DAB" w:rsidRDefault="000835D9" w:rsidP="000835D9">
      <w:pPr>
        <w:pStyle w:val="FootnoteText"/>
        <w:rPr>
          <w:rFonts w:ascii="Public Sans" w:hAnsi="Public Sans" w:cs="Arial"/>
          <w:color w:val="70AD47" w:themeColor="accent6"/>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23C; </w:t>
      </w:r>
      <w:r w:rsidRPr="00410DAB">
        <w:rPr>
          <w:rFonts w:ascii="Public Sans" w:hAnsi="Public Sans" w:cs="Arial"/>
          <w:i/>
          <w:iCs/>
          <w:szCs w:val="18"/>
        </w:rPr>
        <w:t>Anti-Discrimination Act 1991</w:t>
      </w:r>
      <w:r w:rsidRPr="00410DAB">
        <w:rPr>
          <w:rFonts w:ascii="Public Sans" w:hAnsi="Public Sans" w:cs="Arial"/>
          <w:szCs w:val="18"/>
        </w:rPr>
        <w:t xml:space="preserve"> (Qld) </w:t>
      </w:r>
      <w:r w:rsidRPr="00410DAB">
        <w:rPr>
          <w:rFonts w:ascii="Public Sans" w:hAnsi="Public Sans" w:cs="Arial"/>
        </w:rPr>
        <w:t xml:space="preserve">s 101; </w:t>
      </w:r>
      <w:r w:rsidRPr="00410DAB">
        <w:rPr>
          <w:rFonts w:ascii="Public Sans" w:hAnsi="Public Sans" w:cs="Arial"/>
          <w:i/>
          <w:iCs/>
        </w:rPr>
        <w:t>Disability Discrimination Act 1992</w:t>
      </w:r>
      <w:r w:rsidRPr="00410DAB">
        <w:rPr>
          <w:rFonts w:ascii="Public Sans" w:hAnsi="Public Sans" w:cs="Arial"/>
        </w:rPr>
        <w:t xml:space="preserve"> (Cth) s 29; </w:t>
      </w:r>
      <w:r w:rsidRPr="00410DAB">
        <w:rPr>
          <w:rFonts w:ascii="Public Sans" w:hAnsi="Public Sans" w:cs="Arial"/>
          <w:i/>
          <w:iCs/>
        </w:rPr>
        <w:t>Sex Discrimination Act 1984</w:t>
      </w:r>
      <w:r w:rsidRPr="00410DAB">
        <w:rPr>
          <w:rFonts w:ascii="Public Sans" w:hAnsi="Public Sans" w:cs="Arial"/>
        </w:rPr>
        <w:t xml:space="preserve"> (Cth) s 26; </w:t>
      </w:r>
      <w:r w:rsidRPr="00410DAB">
        <w:rPr>
          <w:rFonts w:ascii="Public Sans" w:hAnsi="Public Sans" w:cs="Arial"/>
          <w:i/>
          <w:iCs/>
        </w:rPr>
        <w:t>Age Discrimination Act 2004</w:t>
      </w:r>
      <w:r w:rsidRPr="00410DAB">
        <w:rPr>
          <w:rFonts w:ascii="Public Sans" w:hAnsi="Public Sans" w:cs="Arial"/>
        </w:rPr>
        <w:t xml:space="preserve"> (Cth) s 31. See also Law Reform Commission of Western Australia, </w:t>
      </w:r>
      <w:r w:rsidRPr="00410DAB">
        <w:rPr>
          <w:rFonts w:ascii="Public Sans" w:hAnsi="Public Sans" w:cs="Arial"/>
          <w:i/>
          <w:iCs/>
        </w:rPr>
        <w:t>Review of the Equal Opportunity Act 1984 (WA)</w:t>
      </w:r>
      <w:r w:rsidRPr="00410DAB">
        <w:rPr>
          <w:rFonts w:ascii="Public Sans" w:hAnsi="Public Sans" w:cs="Arial"/>
        </w:rPr>
        <w:t>, Project 111, Final Report (2022) rec 60.</w:t>
      </w:r>
    </w:p>
  </w:footnote>
  <w:footnote w:id="573">
    <w:p w14:paraId="1823972F"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22J.</w:t>
      </w:r>
    </w:p>
  </w:footnote>
  <w:footnote w:id="574">
    <w:p w14:paraId="286BA218" w14:textId="77777777" w:rsidR="000835D9" w:rsidRPr="00410DAB" w:rsidRDefault="000835D9" w:rsidP="000835D9">
      <w:pPr>
        <w:pStyle w:val="FootnoteText"/>
        <w:rPr>
          <w:rFonts w:ascii="Public Sans" w:hAnsi="Public Sans" w:cs="Arial"/>
          <w:color w:val="000000" w:themeColor="text1"/>
          <w:highlight w:val="yellow"/>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NSW Law Reform Commission, </w:t>
      </w:r>
      <w:r w:rsidRPr="00410DAB">
        <w:rPr>
          <w:rFonts w:ascii="Public Sans" w:hAnsi="Public Sans" w:cs="Arial"/>
          <w:i/>
          <w:iCs/>
          <w:color w:val="000000" w:themeColor="text1"/>
        </w:rPr>
        <w:t>Review of the Anti-Discrimination Act 1977 (NSW)</w:t>
      </w:r>
      <w:r w:rsidRPr="00410DAB">
        <w:rPr>
          <w:rFonts w:ascii="Public Sans" w:hAnsi="Public Sans" w:cs="Arial"/>
          <w:color w:val="000000" w:themeColor="text1"/>
        </w:rPr>
        <w:t>, Report 92 (1999) rec 29, [4.302]–[4.303].</w:t>
      </w:r>
    </w:p>
  </w:footnote>
  <w:footnote w:id="575">
    <w:p w14:paraId="44363927"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i/>
          <w:iCs/>
        </w:rPr>
        <w:t>Anti-Discrimination Act 1991</w:t>
      </w:r>
      <w:r w:rsidRPr="00410DAB">
        <w:rPr>
          <w:rFonts w:ascii="Public Sans" w:hAnsi="Public Sans" w:cs="Arial"/>
        </w:rPr>
        <w:t xml:space="preserve"> (Qld) s 124(1); </w:t>
      </w:r>
      <w:r w:rsidRPr="00410DAB">
        <w:rPr>
          <w:rFonts w:ascii="Public Sans" w:hAnsi="Public Sans" w:cs="Arial"/>
          <w:i/>
          <w:iCs/>
        </w:rPr>
        <w:t>Discrimination Act 1991</w:t>
      </w:r>
      <w:r w:rsidRPr="00410DAB">
        <w:rPr>
          <w:rFonts w:ascii="Public Sans" w:hAnsi="Public Sans" w:cs="Arial"/>
        </w:rPr>
        <w:t xml:space="preserve"> (ACT) s 23; </w:t>
      </w:r>
      <w:r w:rsidRPr="00410DAB">
        <w:rPr>
          <w:rFonts w:ascii="Public Sans" w:hAnsi="Public Sans" w:cs="Arial"/>
          <w:i/>
          <w:iCs/>
        </w:rPr>
        <w:t>Anti-Discrimination Act 1992</w:t>
      </w:r>
      <w:r w:rsidRPr="00410DAB">
        <w:rPr>
          <w:rFonts w:ascii="Public Sans" w:hAnsi="Public Sans" w:cs="Arial"/>
        </w:rPr>
        <w:t xml:space="preserve"> (NT) s 26.  </w:t>
      </w:r>
    </w:p>
  </w:footnote>
  <w:footnote w:id="576">
    <w:p w14:paraId="6F3B5D1D"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282" w:name="_Hlk191905567"/>
      <w:r w:rsidRPr="00410DAB">
        <w:rPr>
          <w:rFonts w:ascii="Public Sans" w:hAnsi="Public Sans" w:cs="Arial"/>
          <w:i/>
          <w:iCs/>
        </w:rPr>
        <w:t>Willmott v Woolworths Ltd</w:t>
      </w:r>
      <w:r w:rsidRPr="00410DAB">
        <w:rPr>
          <w:rFonts w:ascii="Public Sans" w:hAnsi="Public Sans" w:cs="Arial"/>
        </w:rPr>
        <w:t xml:space="preserve"> [2014] QCAT 601 </w:t>
      </w:r>
      <w:bookmarkEnd w:id="282"/>
      <w:r w:rsidRPr="00410DAB">
        <w:rPr>
          <w:rFonts w:ascii="Public Sans" w:hAnsi="Public Sans" w:cs="Arial"/>
        </w:rPr>
        <w:t>[37].</w:t>
      </w:r>
    </w:p>
  </w:footnote>
  <w:footnote w:id="577">
    <w:p w14:paraId="53701A78" w14:textId="77777777" w:rsidR="000835D9" w:rsidRPr="00410DAB" w:rsidRDefault="000835D9" w:rsidP="000835D9">
      <w:pPr>
        <w:pStyle w:val="FootnoteText"/>
        <w:rPr>
          <w:rFonts w:ascii="Public Sans" w:hAnsi="Public Sans" w:cs="Arial"/>
          <w:color w:val="000000" w:themeColor="text1"/>
          <w:highlight w:val="yellow"/>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Age Discrimination Act 2004</w:t>
      </w:r>
      <w:r w:rsidRPr="00410DAB">
        <w:rPr>
          <w:rFonts w:ascii="Public Sans" w:hAnsi="Public Sans" w:cs="Arial"/>
          <w:color w:val="000000" w:themeColor="text1"/>
        </w:rPr>
        <w:t xml:space="preserve"> (Cth) s 32; </w:t>
      </w:r>
      <w:r w:rsidRPr="00410DAB">
        <w:rPr>
          <w:rFonts w:ascii="Public Sans" w:hAnsi="Public Sans" w:cs="Arial"/>
          <w:i/>
          <w:iCs/>
          <w:color w:val="000000" w:themeColor="text1"/>
        </w:rPr>
        <w:t>Sex Discrimination Act 1984</w:t>
      </w:r>
      <w:r w:rsidRPr="00410DAB">
        <w:rPr>
          <w:rFonts w:ascii="Public Sans" w:hAnsi="Public Sans" w:cs="Arial"/>
          <w:color w:val="000000" w:themeColor="text1"/>
        </w:rPr>
        <w:t xml:space="preserve"> (Cth) s 27(1); </w:t>
      </w:r>
      <w:r w:rsidRPr="00410DAB">
        <w:rPr>
          <w:rFonts w:ascii="Public Sans" w:hAnsi="Public Sans" w:cs="Arial"/>
          <w:i/>
          <w:iCs/>
          <w:color w:val="000000" w:themeColor="text1"/>
        </w:rPr>
        <w:t>Disability Discrimination Act 1992</w:t>
      </w:r>
      <w:r w:rsidRPr="00410DAB">
        <w:rPr>
          <w:rFonts w:ascii="Public Sans" w:hAnsi="Public Sans" w:cs="Arial"/>
          <w:color w:val="000000" w:themeColor="text1"/>
        </w:rPr>
        <w:t xml:space="preserve"> (Cth) s 30(1)–(2).</w:t>
      </w:r>
    </w:p>
  </w:footnote>
  <w:footnote w:id="578">
    <w:p w14:paraId="0EB44E08" w14:textId="77777777" w:rsidR="000835D9" w:rsidRPr="00410DAB" w:rsidRDefault="000835D9" w:rsidP="000835D9">
      <w:pPr>
        <w:pStyle w:val="FootnoteText"/>
        <w:rPr>
          <w:rFonts w:ascii="Public Sans" w:hAnsi="Public Sans" w:cs="Arial"/>
          <w:color w:val="70AD47" w:themeColor="accent6"/>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23. See also </w:t>
      </w:r>
      <w:r w:rsidRPr="00410DAB">
        <w:rPr>
          <w:rFonts w:ascii="Public Sans" w:hAnsi="Public Sans" w:cs="Arial"/>
          <w:i/>
          <w:iCs/>
        </w:rPr>
        <w:t>Anti-Discrimination Act 1992</w:t>
      </w:r>
      <w:r w:rsidRPr="00410DAB">
        <w:rPr>
          <w:rFonts w:ascii="Public Sans" w:hAnsi="Public Sans" w:cs="Arial"/>
        </w:rPr>
        <w:t xml:space="preserve"> (NT) s 26(1).</w:t>
      </w:r>
    </w:p>
  </w:footnote>
  <w:footnote w:id="579">
    <w:p w14:paraId="3622339E"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1991</w:t>
      </w:r>
      <w:r w:rsidRPr="00410DAB">
        <w:rPr>
          <w:rFonts w:ascii="Public Sans" w:hAnsi="Public Sans" w:cs="Arial"/>
        </w:rPr>
        <w:t xml:space="preserve"> (Qld) s 124(1), s 124(3).</w:t>
      </w:r>
    </w:p>
  </w:footnote>
  <w:footnote w:id="580">
    <w:p w14:paraId="5922FC67"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Law Reform Commission of Western Australia, </w:t>
      </w:r>
      <w:r w:rsidRPr="00410DAB">
        <w:rPr>
          <w:rFonts w:ascii="Public Sans" w:hAnsi="Public Sans" w:cs="Arial"/>
          <w:i/>
          <w:iCs/>
        </w:rPr>
        <w:t>Review of the Equal Opportunity Act 1984 (WA),</w:t>
      </w:r>
      <w:r w:rsidRPr="00410DAB">
        <w:rPr>
          <w:rFonts w:ascii="Public Sans" w:hAnsi="Public Sans" w:cs="Arial"/>
        </w:rPr>
        <w:t xml:space="preserve"> Project 111, Final Report (2022) rec 65, 144–145</w:t>
      </w:r>
      <w:r w:rsidRPr="00091D91">
        <w:rPr>
          <w:rFonts w:ascii="Public Sans" w:hAnsi="Public Sans" w:cs="Arial"/>
        </w:rPr>
        <w:t>.</w:t>
      </w:r>
    </w:p>
  </w:footnote>
  <w:footnote w:id="581">
    <w:p w14:paraId="2E39EA9D"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1977</w:t>
      </w:r>
      <w:r w:rsidRPr="00410DAB">
        <w:rPr>
          <w:rFonts w:ascii="Public Sans" w:hAnsi="Public Sans" w:cs="Arial"/>
        </w:rPr>
        <w:t xml:space="preserve"> (NSW) s 22I.</w:t>
      </w:r>
    </w:p>
  </w:footnote>
  <w:footnote w:id="582">
    <w:p w14:paraId="7EEA51C9" w14:textId="77777777" w:rsidR="000835D9" w:rsidRPr="00410DAB" w:rsidRDefault="000835D9" w:rsidP="000835D9">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NSW Law Reform Commission, </w:t>
      </w:r>
      <w:r w:rsidRPr="00410DAB">
        <w:rPr>
          <w:rFonts w:ascii="Public Sans" w:hAnsi="Public Sans" w:cs="Arial"/>
          <w:i/>
          <w:iCs/>
          <w:color w:val="000000" w:themeColor="text1"/>
        </w:rPr>
        <w:t>Review of the Anti-Discrimination Act 1977 (NSW)</w:t>
      </w:r>
      <w:r w:rsidRPr="00410DAB">
        <w:rPr>
          <w:rFonts w:ascii="Public Sans" w:hAnsi="Public Sans" w:cs="Arial"/>
          <w:color w:val="000000" w:themeColor="text1"/>
        </w:rPr>
        <w:t xml:space="preserve">, Report 92 (1999) [4.236]. See, eg, </w:t>
      </w:r>
      <w:r w:rsidRPr="00410DAB">
        <w:rPr>
          <w:rFonts w:ascii="Public Sans" w:hAnsi="Public Sans" w:cs="Arial"/>
          <w:i/>
          <w:iCs/>
          <w:color w:val="000000" w:themeColor="text1"/>
          <w:szCs w:val="18"/>
          <w:lang w:eastAsia="en-AU"/>
        </w:rPr>
        <w:t>Umina Beach Bowling Club v Ryan</w:t>
      </w:r>
      <w:r w:rsidRPr="00410DAB">
        <w:rPr>
          <w:rFonts w:ascii="Public Sans" w:hAnsi="Public Sans" w:cs="Arial"/>
          <w:color w:val="000000" w:themeColor="text1"/>
          <w:szCs w:val="18"/>
          <w:lang w:eastAsia="en-AU"/>
        </w:rPr>
        <w:t xml:space="preserve"> [1984] 2 NSWLR 61.</w:t>
      </w:r>
    </w:p>
  </w:footnote>
  <w:footnote w:id="583">
    <w:p w14:paraId="7E509A88" w14:textId="77777777" w:rsidR="000835D9" w:rsidRPr="00410DAB" w:rsidRDefault="000835D9" w:rsidP="000835D9">
      <w:pPr>
        <w:pStyle w:val="FootnoteText"/>
        <w:rPr>
          <w:rFonts w:ascii="Public Sans" w:hAnsi="Public Sans" w:cs="Arial"/>
          <w:color w:val="000000" w:themeColor="text1"/>
          <w:highlight w:val="yellow"/>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Anti-Discrimination Act 1977</w:t>
      </w:r>
      <w:r w:rsidRPr="00410DAB">
        <w:rPr>
          <w:rFonts w:ascii="Public Sans" w:hAnsi="Public Sans" w:cs="Arial"/>
          <w:color w:val="000000" w:themeColor="text1"/>
        </w:rPr>
        <w:t xml:space="preserve"> (NSW) s 4(1) definition of “services”.</w:t>
      </w:r>
    </w:p>
  </w:footnote>
  <w:footnote w:id="584">
    <w:p w14:paraId="75453FD3"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285" w:name="_Hlk195701827"/>
      <w:r w:rsidRPr="00410DAB">
        <w:rPr>
          <w:rFonts w:ascii="Public Sans" w:hAnsi="Public Sans" w:cs="Arial"/>
          <w:i/>
          <w:iCs/>
        </w:rPr>
        <w:t>Coady v Yachting Victoria Inc</w:t>
      </w:r>
      <w:r w:rsidRPr="00410DAB">
        <w:rPr>
          <w:rFonts w:ascii="Public Sans" w:hAnsi="Public Sans" w:cs="Arial"/>
        </w:rPr>
        <w:t xml:space="preserve"> [2019] FCCA 2095 [160]</w:t>
      </w:r>
      <w:bookmarkEnd w:id="285"/>
      <w:r w:rsidRPr="00410DAB">
        <w:rPr>
          <w:rFonts w:ascii="Public Sans" w:hAnsi="Public Sans" w:cs="Arial"/>
        </w:rPr>
        <w:t>.</w:t>
      </w:r>
    </w:p>
  </w:footnote>
  <w:footnote w:id="585">
    <w:p w14:paraId="7CAE7B8F"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1992</w:t>
      </w:r>
      <w:r w:rsidRPr="00410DAB">
        <w:rPr>
          <w:rFonts w:ascii="Public Sans" w:hAnsi="Public Sans" w:cs="Arial"/>
        </w:rPr>
        <w:t xml:space="preserve"> (NT) s 4(1) definition of “services”, s 41; </w:t>
      </w:r>
      <w:r w:rsidRPr="00410DAB">
        <w:rPr>
          <w:rFonts w:ascii="Public Sans" w:hAnsi="Public Sans" w:cs="Arial"/>
          <w:i/>
          <w:iCs/>
        </w:rPr>
        <w:t>Anti-Discrimination Act 1991</w:t>
      </w:r>
      <w:r w:rsidRPr="00410DAB">
        <w:rPr>
          <w:rFonts w:ascii="Public Sans" w:hAnsi="Public Sans" w:cs="Arial"/>
        </w:rPr>
        <w:t xml:space="preserve"> (Qld) sch 1 definition of “services”, s 46.</w:t>
      </w:r>
    </w:p>
  </w:footnote>
  <w:footnote w:id="586">
    <w:p w14:paraId="4CC70B2B"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23A; </w:t>
      </w:r>
      <w:r w:rsidRPr="00410DAB">
        <w:rPr>
          <w:rFonts w:ascii="Public Sans" w:hAnsi="Public Sans" w:cs="Arial"/>
          <w:i/>
          <w:iCs/>
        </w:rPr>
        <w:t>Equal Opportunity Act 2010</w:t>
      </w:r>
      <w:r w:rsidRPr="00410DAB">
        <w:rPr>
          <w:rFonts w:ascii="Public Sans" w:hAnsi="Public Sans" w:cs="Arial"/>
        </w:rPr>
        <w:t xml:space="preserve"> (Vic) s 71; </w:t>
      </w:r>
      <w:r w:rsidRPr="00410DAB">
        <w:rPr>
          <w:rFonts w:ascii="Public Sans" w:hAnsi="Public Sans" w:cs="Arial"/>
          <w:i/>
          <w:iCs/>
        </w:rPr>
        <w:t>Disability Discrimination Act 1992</w:t>
      </w:r>
      <w:r w:rsidRPr="00410DAB">
        <w:rPr>
          <w:rFonts w:ascii="Public Sans" w:hAnsi="Public Sans" w:cs="Arial"/>
        </w:rPr>
        <w:t xml:space="preserve"> (Cth) s 28.</w:t>
      </w:r>
    </w:p>
  </w:footnote>
  <w:footnote w:id="587">
    <w:p w14:paraId="0B0451F5"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23A.</w:t>
      </w:r>
    </w:p>
  </w:footnote>
  <w:footnote w:id="588">
    <w:p w14:paraId="3FC8D59B"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71.</w:t>
      </w:r>
    </w:p>
  </w:footnote>
  <w:footnote w:id="589">
    <w:p w14:paraId="16B77E97"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23B.</w:t>
      </w:r>
    </w:p>
  </w:footnote>
  <w:footnote w:id="590">
    <w:p w14:paraId="1880342F"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22, s 38, s 38P(1), s 49R, s 49ZYW(1).</w:t>
      </w:r>
      <w:r w:rsidRPr="00410DAB">
        <w:rPr>
          <w:rFonts w:ascii="Public Sans" w:hAnsi="Public Sans" w:cs="Arial"/>
          <w:highlight w:val="yellow"/>
        </w:rPr>
        <w:t xml:space="preserve"> </w:t>
      </w:r>
    </w:p>
  </w:footnote>
  <w:footnote w:id="591">
    <w:p w14:paraId="095EB3F0" w14:textId="77777777" w:rsidR="000835D9" w:rsidRPr="00410DAB" w:rsidRDefault="000835D9" w:rsidP="000835D9">
      <w:pPr>
        <w:pStyle w:val="FootnoteText"/>
        <w:rPr>
          <w:rFonts w:ascii="Public Sans" w:hAnsi="Public Sans" w:cs="Arial"/>
          <w:color w:val="000000" w:themeColor="text1"/>
          <w:highlight w:val="yellow"/>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C Sherry, </w:t>
      </w:r>
      <w:r w:rsidRPr="00410DAB">
        <w:rPr>
          <w:rFonts w:ascii="Public Sans" w:hAnsi="Public Sans" w:cs="Arial"/>
          <w:i/>
          <w:iCs/>
          <w:color w:val="000000" w:themeColor="text1"/>
        </w:rPr>
        <w:t>Preliminary Submission PAD01</w:t>
      </w:r>
      <w:r w:rsidRPr="00410DAB">
        <w:rPr>
          <w:rFonts w:ascii="Public Sans" w:hAnsi="Public Sans" w:cs="Arial"/>
          <w:color w:val="000000" w:themeColor="text1"/>
        </w:rPr>
        <w:t>, 1.</w:t>
      </w:r>
    </w:p>
  </w:footnote>
  <w:footnote w:id="592">
    <w:p w14:paraId="1129AEE5"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C Sherry, “Does Discrimination Law Apply to Residential Strata Schemes?” (2020) 43 </w:t>
      </w:r>
      <w:r w:rsidRPr="00410DAB">
        <w:rPr>
          <w:rFonts w:ascii="Public Sans" w:hAnsi="Public Sans" w:cs="Arial"/>
          <w:i/>
          <w:iCs/>
        </w:rPr>
        <w:t xml:space="preserve">UNSW Law Journal </w:t>
      </w:r>
      <w:r w:rsidRPr="00410DAB">
        <w:rPr>
          <w:rFonts w:ascii="Public Sans" w:hAnsi="Public Sans" w:cs="Arial"/>
        </w:rPr>
        <w:t xml:space="preserve">307, 333; </w:t>
      </w:r>
      <w:r w:rsidRPr="00410DAB">
        <w:rPr>
          <w:rFonts w:ascii="Public Sans" w:hAnsi="Public Sans" w:cs="Arial"/>
          <w:i/>
          <w:iCs/>
        </w:rPr>
        <w:t>Hulena v Owners Corporation Strata Plan 13672</w:t>
      </w:r>
      <w:r w:rsidRPr="00410DAB">
        <w:rPr>
          <w:rFonts w:ascii="Public Sans" w:hAnsi="Public Sans" w:cs="Arial"/>
        </w:rPr>
        <w:t xml:space="preserve"> [2009] NSWADT 119.</w:t>
      </w:r>
    </w:p>
  </w:footnote>
  <w:footnote w:id="593">
    <w:p w14:paraId="07273D38" w14:textId="2D20CE5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288" w:name="_Hlk196743533"/>
      <w:r w:rsidRPr="00410DAB">
        <w:rPr>
          <w:rFonts w:ascii="Public Sans" w:hAnsi="Public Sans" w:cs="Arial"/>
          <w:i/>
          <w:iCs/>
        </w:rPr>
        <w:t>Strata Schemes Management Act 2015</w:t>
      </w:r>
      <w:r w:rsidRPr="00410DAB">
        <w:rPr>
          <w:rFonts w:ascii="Public Sans" w:hAnsi="Public Sans" w:cs="Arial"/>
        </w:rPr>
        <w:t xml:space="preserve"> </w:t>
      </w:r>
      <w:bookmarkEnd w:id="288"/>
      <w:r w:rsidRPr="00410DAB">
        <w:rPr>
          <w:rFonts w:ascii="Public Sans" w:hAnsi="Public Sans" w:cs="Arial"/>
        </w:rPr>
        <w:t xml:space="preserve">(NSW) s 108(1)–(2), s 5(1)(b)(i). An amendment to the Act will, upon commencement, lower the threshold for passing a special resolution in relation to accessibility infrastructure. Such a resolution will pass if less than 50% of votes cast are against it: </w:t>
      </w:r>
      <w:r w:rsidRPr="00410DAB">
        <w:rPr>
          <w:rFonts w:ascii="Public Sans" w:hAnsi="Public Sans" w:cs="Arial"/>
          <w:i/>
          <w:iCs/>
        </w:rPr>
        <w:t>Strata Schemes Legislation Amendment Act 2025</w:t>
      </w:r>
      <w:r w:rsidRPr="00410DAB">
        <w:rPr>
          <w:rFonts w:ascii="Public Sans" w:hAnsi="Public Sans" w:cs="Arial"/>
        </w:rPr>
        <w:t xml:space="preserve"> (NSW) sch 1 [2]</w:t>
      </w:r>
      <w:r w:rsidR="006D08DB">
        <w:rPr>
          <w:rFonts w:ascii="Public Sans" w:hAnsi="Public Sans" w:cs="Arial"/>
        </w:rPr>
        <w:t>.</w:t>
      </w:r>
    </w:p>
  </w:footnote>
  <w:footnote w:id="594">
    <w:p w14:paraId="07643F66" w14:textId="77777777" w:rsidR="000835D9" w:rsidRPr="00410DAB" w:rsidRDefault="000835D9" w:rsidP="000835D9">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56(1)–(2). </w:t>
      </w:r>
    </w:p>
  </w:footnote>
  <w:footnote w:id="595">
    <w:p w14:paraId="2BE0EC6B"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C Sherry, “Does Discrimination Law Apply to Residential Strata Schemes?” (2020) 43 </w:t>
      </w:r>
      <w:r w:rsidRPr="00410DAB">
        <w:rPr>
          <w:rFonts w:ascii="Public Sans" w:hAnsi="Public Sans" w:cs="Arial"/>
          <w:i/>
          <w:iCs/>
        </w:rPr>
        <w:t xml:space="preserve">UNSW Law Journal </w:t>
      </w:r>
      <w:r w:rsidRPr="00410DAB">
        <w:rPr>
          <w:rFonts w:ascii="Public Sans" w:hAnsi="Public Sans" w:cs="Arial"/>
        </w:rPr>
        <w:t>307, 338.</w:t>
      </w:r>
    </w:p>
  </w:footnote>
  <w:footnote w:id="596">
    <w:p w14:paraId="6EDA9FD5" w14:textId="77777777" w:rsidR="000835D9" w:rsidRPr="00410DAB" w:rsidRDefault="000835D9" w:rsidP="000835D9">
      <w:pPr>
        <w:pStyle w:val="FootnoteText"/>
        <w:rPr>
          <w:rFonts w:ascii="Public Sans" w:hAnsi="Public Sans" w:cs="Arial"/>
          <w:highlight w:val="yellow"/>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C Sherry, “Does Discrimination Law Apply to Residential Strata Schemes?” (2020) 43 </w:t>
      </w:r>
      <w:r w:rsidRPr="00410DAB">
        <w:rPr>
          <w:rFonts w:ascii="Public Sans" w:hAnsi="Public Sans" w:cs="Arial"/>
          <w:i/>
          <w:iCs/>
        </w:rPr>
        <w:t xml:space="preserve">UNSW Law Journal </w:t>
      </w:r>
      <w:r w:rsidRPr="00410DAB">
        <w:rPr>
          <w:rFonts w:ascii="Public Sans" w:hAnsi="Public Sans" w:cs="Arial"/>
        </w:rPr>
        <w:t>307, 336.</w:t>
      </w:r>
    </w:p>
  </w:footnote>
  <w:footnote w:id="597">
    <w:p w14:paraId="57675913"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w:t>
      </w:r>
      <w:r w:rsidRPr="00410DAB">
        <w:rPr>
          <w:rFonts w:ascii="Public Sans" w:hAnsi="Public Sans" w:cs="Arial"/>
          <w:i/>
          <w:iCs/>
        </w:rPr>
        <w:t>International Covenant on Civil and Political Rights</w:t>
      </w:r>
      <w:r w:rsidRPr="00410DAB">
        <w:rPr>
          <w:rFonts w:ascii="Public Sans" w:hAnsi="Public Sans" w:cs="Arial"/>
        </w:rPr>
        <w:t xml:space="preserve">, 999 UNTS 171 (entered into force 23 March 1976) art 18(1); </w:t>
      </w:r>
      <w:r w:rsidRPr="00410DAB">
        <w:rPr>
          <w:rFonts w:ascii="Public Sans" w:hAnsi="Public Sans" w:cs="Arial"/>
          <w:i/>
          <w:iCs/>
        </w:rPr>
        <w:t>International Convention on the Elimination of All Forms of Racial Discrimination</w:t>
      </w:r>
      <w:r w:rsidRPr="00410DAB">
        <w:rPr>
          <w:rFonts w:ascii="Public Sans" w:hAnsi="Public Sans" w:cs="Arial"/>
        </w:rPr>
        <w:t>, 660 UNTS 195 (entered into force 4 January 1969) art 5(d)(vii).</w:t>
      </w:r>
    </w:p>
  </w:footnote>
  <w:footnote w:id="598">
    <w:p w14:paraId="32D1021F"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 xml:space="preserve">. </w:t>
      </w:r>
      <w:r w:rsidRPr="00410DAB">
        <w:rPr>
          <w:rFonts w:ascii="Public Sans" w:hAnsi="Public Sans" w:cs="Arial"/>
        </w:rPr>
        <w:tab/>
      </w:r>
      <w:bookmarkStart w:id="293" w:name="_Hlk193893443"/>
      <w:bookmarkStart w:id="294" w:name="_Hlk193965588"/>
      <w:r w:rsidRPr="00410DAB">
        <w:rPr>
          <w:rFonts w:ascii="Public Sans" w:hAnsi="Public Sans" w:cs="Arial"/>
        </w:rPr>
        <w:t xml:space="preserve">OHCHR and Equal Rights Trust, </w:t>
      </w:r>
      <w:bookmarkEnd w:id="293"/>
      <w:r w:rsidRPr="00410DAB">
        <w:rPr>
          <w:rFonts w:ascii="Public Sans" w:hAnsi="Public Sans" w:cs="Arial"/>
          <w:i/>
          <w:iCs/>
        </w:rPr>
        <w:t>Protecting Minority Rights: A Practical Guide to Developing Comprehensive Anti-Discrimination Legislation</w:t>
      </w:r>
      <w:r w:rsidRPr="00410DAB">
        <w:rPr>
          <w:rFonts w:ascii="Public Sans" w:hAnsi="Public Sans" w:cs="Arial"/>
        </w:rPr>
        <w:t xml:space="preserve"> (2023) 51.</w:t>
      </w:r>
    </w:p>
    <w:bookmarkEnd w:id="294"/>
  </w:footnote>
  <w:footnote w:id="599">
    <w:p w14:paraId="174B3F66"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Human Rights Committee, </w:t>
      </w:r>
      <w:r w:rsidRPr="00410DAB">
        <w:rPr>
          <w:rFonts w:ascii="Public Sans" w:hAnsi="Public Sans" w:cs="Arial"/>
          <w:i/>
          <w:iCs/>
        </w:rPr>
        <w:t>General Comment No 22: Article 18: Freedom of Thought, Conscience or Religion</w:t>
      </w:r>
      <w:r w:rsidRPr="00410DAB">
        <w:rPr>
          <w:rFonts w:ascii="Public Sans" w:hAnsi="Public Sans" w:cs="Arial"/>
        </w:rPr>
        <w:t>, UN Doc CCPR/C/21/ Rev 1/Add 4 (30 July 1993) [3].</w:t>
      </w:r>
    </w:p>
  </w:footnote>
  <w:footnote w:id="600">
    <w:p w14:paraId="3CCBE141"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Human Rights Committee, </w:t>
      </w:r>
      <w:r w:rsidRPr="00410DAB">
        <w:rPr>
          <w:rFonts w:ascii="Public Sans" w:hAnsi="Public Sans" w:cs="Arial"/>
          <w:i/>
          <w:iCs/>
        </w:rPr>
        <w:t>General Comment No 22: Article 18: Freedom of Thought, Conscience or Religion</w:t>
      </w:r>
      <w:r w:rsidRPr="00410DAB">
        <w:rPr>
          <w:rFonts w:ascii="Public Sans" w:hAnsi="Public Sans" w:cs="Arial"/>
        </w:rPr>
        <w:t>, UN Doc CCPR/C/21/ Rev 1/Add 4 (30 July 1993) [4].</w:t>
      </w:r>
    </w:p>
  </w:footnote>
  <w:footnote w:id="601">
    <w:p w14:paraId="748D531A"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International Covenant on Civil and Political Rights</w:t>
      </w:r>
      <w:r w:rsidRPr="00410DAB">
        <w:rPr>
          <w:rFonts w:ascii="Public Sans" w:hAnsi="Public Sans" w:cs="Arial"/>
        </w:rPr>
        <w:t>, 999 UNTS 171 (entered into force 23 March 1976) art 18(3).</w:t>
      </w:r>
    </w:p>
  </w:footnote>
  <w:footnote w:id="602">
    <w:p w14:paraId="6CB9FA23"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 Shaheed, </w:t>
      </w:r>
      <w:r w:rsidRPr="00410DAB">
        <w:rPr>
          <w:rFonts w:ascii="Public Sans" w:hAnsi="Public Sans" w:cs="Arial"/>
          <w:i/>
          <w:iCs/>
        </w:rPr>
        <w:t>Report of the Special Rapporteur on Freedom of Religion or Belief:</w:t>
      </w:r>
      <w:r w:rsidRPr="00410DAB">
        <w:rPr>
          <w:rFonts w:ascii="Public Sans" w:hAnsi="Public Sans" w:cs="Arial"/>
        </w:rPr>
        <w:t xml:space="preserve"> </w:t>
      </w:r>
      <w:r w:rsidRPr="00410DAB">
        <w:rPr>
          <w:rFonts w:ascii="Public Sans" w:hAnsi="Public Sans" w:cs="Arial"/>
          <w:i/>
          <w:iCs/>
        </w:rPr>
        <w:t>Gender-Based Violence and Discrimination in the Name of Religion or Belief</w:t>
      </w:r>
      <w:r w:rsidRPr="00410DAB">
        <w:rPr>
          <w:rFonts w:ascii="Public Sans" w:hAnsi="Public Sans" w:cs="Arial"/>
        </w:rPr>
        <w:t>, UN Doc A/HRC/43/48 (24 August 2020) [60].</w:t>
      </w:r>
    </w:p>
  </w:footnote>
  <w:footnote w:id="603">
    <w:p w14:paraId="35BE0DEC"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Presbyterian Church of Australia in New South Wales, </w:t>
      </w:r>
      <w:r w:rsidRPr="00410DAB">
        <w:rPr>
          <w:rFonts w:ascii="Public Sans" w:hAnsi="Public Sans" w:cs="Arial"/>
          <w:i/>
          <w:iCs/>
        </w:rPr>
        <w:t>Preliminary Submission PAD56</w:t>
      </w:r>
      <w:r w:rsidRPr="00410DAB">
        <w:rPr>
          <w:rFonts w:ascii="Public Sans" w:hAnsi="Public Sans" w:cs="Arial"/>
        </w:rPr>
        <w:t xml:space="preserve">, 3, 6; Catholic Archdiocese of Sydney, </w:t>
      </w:r>
      <w:r w:rsidRPr="00410DAB">
        <w:rPr>
          <w:rFonts w:ascii="Public Sans" w:hAnsi="Public Sans" w:cs="Arial"/>
          <w:i/>
          <w:iCs/>
        </w:rPr>
        <w:t>Preliminary Submission PAD37</w:t>
      </w:r>
      <w:r w:rsidRPr="00410DAB">
        <w:rPr>
          <w:rFonts w:ascii="Public Sans" w:hAnsi="Public Sans" w:cs="Arial"/>
        </w:rPr>
        <w:t xml:space="preserve">, 2; Catholic Schools NSW, </w:t>
      </w:r>
      <w:r w:rsidRPr="00410DAB">
        <w:rPr>
          <w:rFonts w:ascii="Public Sans" w:hAnsi="Public Sans" w:cs="Arial"/>
          <w:i/>
          <w:iCs/>
        </w:rPr>
        <w:t>Preliminary Submission PAD80</w:t>
      </w:r>
      <w:r w:rsidRPr="00410DAB">
        <w:rPr>
          <w:rFonts w:ascii="Public Sans" w:hAnsi="Public Sans" w:cs="Arial"/>
        </w:rPr>
        <w:t>, 3.</w:t>
      </w:r>
    </w:p>
  </w:footnote>
  <w:footnote w:id="604">
    <w:p w14:paraId="5728DE4A"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56(a)–(b).</w:t>
      </w:r>
    </w:p>
  </w:footnote>
  <w:footnote w:id="605">
    <w:p w14:paraId="55E4A8A1"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Sex Discrimination Act 1984</w:t>
      </w:r>
      <w:r w:rsidRPr="00410DAB">
        <w:rPr>
          <w:rFonts w:ascii="Public Sans" w:hAnsi="Public Sans" w:cs="Arial"/>
        </w:rPr>
        <w:t xml:space="preserve"> (Cth) s 37(1)(a)–(b); </w:t>
      </w:r>
      <w:r w:rsidRPr="00410DAB">
        <w:rPr>
          <w:rFonts w:ascii="Public Sans" w:hAnsi="Public Sans" w:cs="Arial"/>
          <w:i/>
          <w:iCs/>
        </w:rPr>
        <w:t>Equal Opportunity Act 2010</w:t>
      </w:r>
      <w:r w:rsidRPr="00410DAB">
        <w:rPr>
          <w:rFonts w:ascii="Public Sans" w:hAnsi="Public Sans" w:cs="Arial"/>
        </w:rPr>
        <w:t xml:space="preserve"> (Vic) s 82(1); </w:t>
      </w:r>
      <w:r w:rsidRPr="00410DAB">
        <w:rPr>
          <w:rFonts w:ascii="Public Sans" w:hAnsi="Public Sans" w:cs="Arial"/>
          <w:i/>
          <w:iCs/>
        </w:rPr>
        <w:t>Anti-Discrimination Act 1998</w:t>
      </w:r>
      <w:r w:rsidRPr="00410DAB">
        <w:rPr>
          <w:rFonts w:ascii="Public Sans" w:hAnsi="Public Sans" w:cs="Arial"/>
        </w:rPr>
        <w:t xml:space="preserve"> (Tas) s 52(a)–(c); </w:t>
      </w:r>
      <w:r w:rsidRPr="00410DAB">
        <w:rPr>
          <w:rFonts w:ascii="Public Sans" w:hAnsi="Public Sans" w:cs="Arial"/>
          <w:i/>
          <w:iCs/>
        </w:rPr>
        <w:t>Discrimination Act 1991</w:t>
      </w:r>
      <w:r w:rsidRPr="00410DAB">
        <w:rPr>
          <w:rFonts w:ascii="Public Sans" w:hAnsi="Public Sans" w:cs="Arial"/>
        </w:rPr>
        <w:t xml:space="preserve"> (ACT) s 32(1)(a)–(c);</w:t>
      </w:r>
      <w:r w:rsidRPr="00410DAB">
        <w:rPr>
          <w:rFonts w:ascii="Public Sans" w:hAnsi="Public Sans" w:cs="Arial"/>
          <w:i/>
          <w:iCs/>
        </w:rPr>
        <w:t xml:space="preserve"> Anti-Discrimination Act 1992</w:t>
      </w:r>
      <w:r w:rsidRPr="00410DAB">
        <w:rPr>
          <w:rFonts w:ascii="Public Sans" w:hAnsi="Public Sans" w:cs="Arial"/>
        </w:rPr>
        <w:t xml:space="preserve"> (NT) s 51(a)–(c); </w:t>
      </w:r>
      <w:r w:rsidRPr="00410DAB">
        <w:rPr>
          <w:rFonts w:ascii="Public Sans" w:hAnsi="Public Sans" w:cs="Arial"/>
          <w:i/>
          <w:iCs/>
        </w:rPr>
        <w:t>Equal Opportunity Act 1984</w:t>
      </w:r>
      <w:r w:rsidRPr="00410DAB">
        <w:rPr>
          <w:rFonts w:ascii="Public Sans" w:hAnsi="Public Sans" w:cs="Arial"/>
        </w:rPr>
        <w:t xml:space="preserve"> (WA) s 72(a)–(c); </w:t>
      </w:r>
      <w:r w:rsidRPr="00410DAB">
        <w:rPr>
          <w:rFonts w:ascii="Public Sans" w:hAnsi="Public Sans" w:cs="Arial"/>
          <w:i/>
          <w:iCs/>
        </w:rPr>
        <w:t>Anti-Discrimination Act 1991</w:t>
      </w:r>
      <w:r w:rsidRPr="00410DAB">
        <w:rPr>
          <w:rFonts w:ascii="Public Sans" w:hAnsi="Public Sans" w:cs="Arial"/>
        </w:rPr>
        <w:t xml:space="preserve"> (Qld) s 109(1)(a)–(c</w:t>
      </w:r>
      <w:r w:rsidRPr="00410DAB">
        <w:rPr>
          <w:rFonts w:ascii="Public Sans" w:hAnsi="Public Sans" w:cs="Arial"/>
          <w:i/>
          <w:iCs/>
        </w:rPr>
        <w:t>)</w:t>
      </w:r>
      <w:r w:rsidRPr="00410DAB">
        <w:rPr>
          <w:rFonts w:ascii="Public Sans" w:hAnsi="Public Sans" w:cs="Arial"/>
        </w:rPr>
        <w:t>;</w:t>
      </w:r>
      <w:r w:rsidRPr="00410DAB">
        <w:rPr>
          <w:rFonts w:ascii="Public Sans" w:hAnsi="Public Sans" w:cs="Arial"/>
          <w:i/>
          <w:iCs/>
        </w:rPr>
        <w:t xml:space="preserve"> Equal Opportunity Act 1984</w:t>
      </w:r>
      <w:r w:rsidRPr="00410DAB">
        <w:rPr>
          <w:rFonts w:ascii="Public Sans" w:hAnsi="Public Sans" w:cs="Arial"/>
        </w:rPr>
        <w:t xml:space="preserve"> (SA) s 50(1)(a)–(b).</w:t>
      </w:r>
    </w:p>
  </w:footnote>
  <w:footnote w:id="606">
    <w:p w14:paraId="402609F8"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Public Interest Advocacy Centre, </w:t>
      </w:r>
      <w:r w:rsidRPr="00410DAB">
        <w:rPr>
          <w:rFonts w:ascii="Public Sans" w:hAnsi="Public Sans" w:cs="Arial"/>
          <w:i/>
          <w:iCs/>
        </w:rPr>
        <w:t>Preliminary Submission PAD82</w:t>
      </w:r>
      <w:r w:rsidRPr="00410DAB">
        <w:rPr>
          <w:rFonts w:ascii="Public Sans" w:hAnsi="Public Sans" w:cs="Arial"/>
        </w:rPr>
        <w:t xml:space="preserve">, 15. See also Anonymous, </w:t>
      </w:r>
      <w:r w:rsidRPr="00410DAB">
        <w:rPr>
          <w:rFonts w:ascii="Public Sans" w:hAnsi="Public Sans" w:cs="Arial"/>
          <w:i/>
          <w:iCs/>
        </w:rPr>
        <w:t>Preliminary Submission PAD89</w:t>
      </w:r>
      <w:r w:rsidRPr="00410DAB">
        <w:rPr>
          <w:rFonts w:ascii="Public Sans" w:hAnsi="Public Sans" w:cs="Arial"/>
        </w:rPr>
        <w:t xml:space="preserve">, 27; NSW, Office of the Advocate for Children and Young People, </w:t>
      </w:r>
      <w:r w:rsidRPr="00410DAB">
        <w:rPr>
          <w:rFonts w:ascii="Public Sans" w:hAnsi="Public Sans" w:cs="Arial"/>
          <w:i/>
          <w:iCs/>
        </w:rPr>
        <w:t>Preliminary Submission PAD78</w:t>
      </w:r>
      <w:r w:rsidRPr="00410DAB">
        <w:rPr>
          <w:rFonts w:ascii="Public Sans" w:hAnsi="Public Sans" w:cs="Arial"/>
        </w:rPr>
        <w:t xml:space="preserve">, 17; Rainbow Families, </w:t>
      </w:r>
      <w:r w:rsidRPr="00410DAB">
        <w:rPr>
          <w:rFonts w:ascii="Public Sans" w:hAnsi="Public Sans" w:cs="Arial"/>
          <w:i/>
          <w:iCs/>
        </w:rPr>
        <w:t>Preliminary Submission PAD36</w:t>
      </w:r>
      <w:r w:rsidRPr="00410DAB">
        <w:rPr>
          <w:rFonts w:ascii="Public Sans" w:hAnsi="Public Sans" w:cs="Arial"/>
        </w:rPr>
        <w:t>, 15–16.</w:t>
      </w:r>
    </w:p>
  </w:footnote>
  <w:footnote w:id="607">
    <w:p w14:paraId="0E595500"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Law Reform Commission, </w:t>
      </w:r>
      <w:r w:rsidRPr="00410DAB">
        <w:rPr>
          <w:rFonts w:ascii="Public Sans" w:hAnsi="Public Sans" w:cs="Arial"/>
          <w:i/>
          <w:iCs/>
        </w:rPr>
        <w:t>Maximising the Realisation of Human Rights: Religious Educational Institutions and Anti-Discrimination Laws</w:t>
      </w:r>
      <w:r w:rsidRPr="00410DAB">
        <w:rPr>
          <w:rFonts w:ascii="Public Sans" w:hAnsi="Public Sans" w:cs="Arial"/>
        </w:rPr>
        <w:t xml:space="preserve">, Report 142 (2023) rec 2. See also NSW Law Reform Commission, </w:t>
      </w:r>
      <w:r w:rsidRPr="00410DAB">
        <w:rPr>
          <w:rFonts w:ascii="Public Sans" w:hAnsi="Public Sans" w:cs="Arial"/>
          <w:i/>
          <w:iCs/>
        </w:rPr>
        <w:t>Review of the Anti-Discrimination Act 1977 (NSW)</w:t>
      </w:r>
      <w:r w:rsidRPr="00410DAB">
        <w:rPr>
          <w:rFonts w:ascii="Public Sans" w:hAnsi="Public Sans" w:cs="Arial"/>
        </w:rPr>
        <w:t>, Report 92 (1999) rec 46.</w:t>
      </w:r>
    </w:p>
  </w:footnote>
  <w:footnote w:id="608">
    <w:p w14:paraId="141E95AD"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[6.70], Appendix A: Draft Anti-Discrimination Bill 1999, cl 66.</w:t>
      </w:r>
    </w:p>
  </w:footnote>
  <w:footnote w:id="609">
    <w:p w14:paraId="7460DBEC"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OV v QZ (No 2)</w:t>
      </w:r>
      <w:r w:rsidRPr="00410DAB">
        <w:rPr>
          <w:rFonts w:ascii="Public Sans" w:hAnsi="Public Sans" w:cs="Arial"/>
        </w:rPr>
        <w:t xml:space="preserve"> [2008] NSWADT 115 [69]–[70].</w:t>
      </w:r>
    </w:p>
  </w:footnote>
  <w:footnote w:id="610">
    <w:p w14:paraId="42E1D0EA"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Law Reform Commission, </w:t>
      </w:r>
      <w:r w:rsidRPr="00410DAB">
        <w:rPr>
          <w:rFonts w:ascii="Public Sans" w:hAnsi="Public Sans" w:cs="Arial"/>
          <w:i/>
          <w:iCs/>
        </w:rPr>
        <w:t>Maximising the Realisation of Human Rights: Religious Educational Institutions and Anti-Discrimination Laws</w:t>
      </w:r>
      <w:r w:rsidRPr="00410DAB">
        <w:rPr>
          <w:rFonts w:ascii="Public Sans" w:hAnsi="Public Sans" w:cs="Arial"/>
        </w:rPr>
        <w:t>, Report 142 (2023) [4.166].</w:t>
      </w:r>
    </w:p>
  </w:footnote>
  <w:footnote w:id="611">
    <w:p w14:paraId="6C18754D"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OV v Wesley Mission Council</w:t>
      </w:r>
      <w:r w:rsidRPr="00410DAB">
        <w:rPr>
          <w:rFonts w:ascii="Public Sans" w:hAnsi="Public Sans" w:cs="Arial"/>
        </w:rPr>
        <w:t xml:space="preserve"> [2010] NSWCA 155, 79 NSWLR 606 [70].</w:t>
      </w:r>
    </w:p>
  </w:footnote>
  <w:footnote w:id="612">
    <w:p w14:paraId="0158F214" w14:textId="77777777" w:rsidR="006A1316" w:rsidRPr="00410DAB" w:rsidRDefault="006A1316" w:rsidP="006A1316">
      <w:pPr>
        <w:pStyle w:val="FootnoteText"/>
        <w:rPr>
          <w:rFonts w:ascii="Public Sans" w:hAnsi="Public Sans" w:cs="Arial"/>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NSW Law Reform Commission,</w:t>
      </w:r>
      <w:r w:rsidRPr="00410DAB">
        <w:rPr>
          <w:rFonts w:ascii="Public Sans" w:hAnsi="Public Sans" w:cs="Arial"/>
          <w:i/>
          <w:iCs/>
          <w:color w:val="000000" w:themeColor="text1"/>
        </w:rPr>
        <w:t xml:space="preserve"> Review of the Anti-Discrimination Act 1977 (NSW)</w:t>
      </w:r>
      <w:r w:rsidRPr="00410DAB">
        <w:rPr>
          <w:rFonts w:ascii="Public Sans" w:hAnsi="Public Sans" w:cs="Arial"/>
          <w:color w:val="000000" w:themeColor="text1"/>
        </w:rPr>
        <w:t>, Report 92 (1999) rec 84.</w:t>
      </w:r>
    </w:p>
  </w:footnote>
  <w:footnote w:id="613">
    <w:p w14:paraId="4C4B9A58"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Equality Australia, </w:t>
      </w:r>
      <w:r w:rsidRPr="00410DAB">
        <w:rPr>
          <w:rFonts w:ascii="Public Sans" w:hAnsi="Public Sans" w:cs="Arial"/>
          <w:i/>
          <w:iCs/>
        </w:rPr>
        <w:t>Dismissed, Denied and Demeaned: A National Report on LGBTQ+ Discrimination in Faith-Based Schools and Organisation</w:t>
      </w:r>
      <w:r w:rsidRPr="00410DAB">
        <w:rPr>
          <w:rFonts w:ascii="Public Sans" w:hAnsi="Public Sans" w:cs="Arial"/>
        </w:rPr>
        <w:t xml:space="preserve">s (2024) 76–77, reforms 12, 13. </w:t>
      </w:r>
    </w:p>
  </w:footnote>
  <w:footnote w:id="614">
    <w:p w14:paraId="0B6CFAD7" w14:textId="77777777" w:rsidR="006A1316" w:rsidRPr="00410DAB" w:rsidRDefault="006A1316" w:rsidP="006A1316">
      <w:pPr>
        <w:pStyle w:val="FootnoteText"/>
        <w:rPr>
          <w:rFonts w:ascii="Public Sans" w:hAnsi="Public Sans" w:cs="Arial"/>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rPr>
        <w:t>Equal Opportunity Act 2010</w:t>
      </w:r>
      <w:r w:rsidRPr="00410DAB">
        <w:rPr>
          <w:rFonts w:ascii="Public Sans" w:hAnsi="Public Sans" w:cs="Arial"/>
        </w:rPr>
        <w:t xml:space="preserve"> (Vic) s 82A(1). See also </w:t>
      </w:r>
      <w:r w:rsidRPr="00410DAB">
        <w:rPr>
          <w:rFonts w:ascii="Public Sans" w:hAnsi="Public Sans" w:cs="Arial"/>
          <w:i/>
          <w:iCs/>
        </w:rPr>
        <w:t>Discrimination Act 1991</w:t>
      </w:r>
      <w:r w:rsidRPr="00410DAB">
        <w:rPr>
          <w:rFonts w:ascii="Public Sans" w:hAnsi="Public Sans" w:cs="Arial"/>
        </w:rPr>
        <w:t xml:space="preserve"> (ACT) s 33C.</w:t>
      </w:r>
    </w:p>
  </w:footnote>
  <w:footnote w:id="615">
    <w:p w14:paraId="6EDFB304"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szCs w:val="18"/>
        </w:rPr>
        <w:t>Queensland Human Rights Commission,</w:t>
      </w:r>
      <w:r w:rsidRPr="00410DAB">
        <w:rPr>
          <w:rFonts w:ascii="Public Sans" w:hAnsi="Public Sans" w:cs="Arial"/>
          <w:i/>
          <w:iCs/>
          <w:szCs w:val="18"/>
        </w:rPr>
        <w:t xml:space="preserve"> Building Belonging: Review of Queensland’s Anti-Discrimination Act 1991</w:t>
      </w:r>
      <w:r w:rsidRPr="00410DAB">
        <w:rPr>
          <w:rFonts w:ascii="Public Sans" w:hAnsi="Public Sans" w:cs="Arial"/>
          <w:szCs w:val="18"/>
        </w:rPr>
        <w:t xml:space="preserve"> (2022) </w:t>
      </w:r>
      <w:r w:rsidRPr="00410DAB">
        <w:rPr>
          <w:rFonts w:ascii="Public Sans" w:hAnsi="Public Sans" w:cs="Arial"/>
        </w:rPr>
        <w:t>rec 39.1–39.2.</w:t>
      </w:r>
    </w:p>
  </w:footnote>
  <w:footnote w:id="616">
    <w:p w14:paraId="16E3810A"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S C Derrington, “Of Shields and Swords: Let the Jousting Begin!” (Paper presented at Freedom19 Conference, Sydney, 4 September 2019) 8–9.</w:t>
      </w:r>
    </w:p>
  </w:footnote>
  <w:footnote w:id="617">
    <w:p w14:paraId="30DA155B"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S C Derrington, “Of Shields and Swords: Let the Jousting Begin!” (Paper presented at Freedom19 Conference, Sydney, 4 September 2019) 8–9.</w:t>
      </w:r>
    </w:p>
  </w:footnote>
  <w:footnote w:id="618">
    <w:p w14:paraId="39720ACB"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32(1)(e). </w:t>
      </w:r>
    </w:p>
  </w:footnote>
  <w:footnote w:id="619">
    <w:p w14:paraId="6714D334"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Discrimination Act 1991</w:t>
      </w:r>
      <w:r w:rsidRPr="00410DAB">
        <w:rPr>
          <w:rFonts w:ascii="Public Sans" w:hAnsi="Public Sans" w:cs="Arial"/>
          <w:color w:val="000000" w:themeColor="text1"/>
        </w:rPr>
        <w:t xml:space="preserve"> (ACT) s 32(2)–(3). </w:t>
      </w:r>
    </w:p>
  </w:footnote>
  <w:footnote w:id="620">
    <w:p w14:paraId="24F75A58"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ACT Law Reform Advisory Council, </w:t>
      </w:r>
      <w:r w:rsidRPr="00410DAB">
        <w:rPr>
          <w:rFonts w:ascii="Public Sans" w:hAnsi="Public Sans" w:cs="Arial"/>
          <w:i/>
          <w:iCs/>
        </w:rPr>
        <w:t>Review of the Discrimination Act 1991 (ACT)</w:t>
      </w:r>
      <w:r w:rsidRPr="00410DAB">
        <w:rPr>
          <w:rFonts w:ascii="Public Sans" w:hAnsi="Public Sans" w:cs="Arial"/>
        </w:rPr>
        <w:t>, Final Report (2015) rec 19.2.</w:t>
      </w:r>
    </w:p>
  </w:footnote>
  <w:footnote w:id="621">
    <w:p w14:paraId="40519D63"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Sex Discrimination Act 1984</w:t>
      </w:r>
      <w:r w:rsidRPr="00410DAB">
        <w:rPr>
          <w:rFonts w:ascii="Public Sans" w:hAnsi="Public Sans" w:cs="Arial"/>
          <w:color w:val="000000" w:themeColor="text1"/>
        </w:rPr>
        <w:t xml:space="preserve"> (Cth) s 37(1)(c); </w:t>
      </w:r>
      <w:r w:rsidRPr="00410DAB">
        <w:rPr>
          <w:rFonts w:ascii="Public Sans" w:hAnsi="Public Sans" w:cs="Arial"/>
          <w:i/>
          <w:iCs/>
          <w:color w:val="000000" w:themeColor="text1"/>
        </w:rPr>
        <w:t>Equal Opportunity Act 2010</w:t>
      </w:r>
      <w:r w:rsidRPr="00410DAB">
        <w:rPr>
          <w:rFonts w:ascii="Public Sans" w:hAnsi="Public Sans" w:cs="Arial"/>
          <w:color w:val="000000" w:themeColor="text1"/>
        </w:rPr>
        <w:t xml:space="preserve"> (Vic) s 82(1)(c); </w:t>
      </w:r>
      <w:r w:rsidRPr="00410DAB">
        <w:rPr>
          <w:rFonts w:ascii="Public Sans" w:hAnsi="Public Sans" w:cs="Arial"/>
          <w:i/>
          <w:iCs/>
          <w:color w:val="000000" w:themeColor="text1"/>
        </w:rPr>
        <w:t>Anti-Discrimination Act 1998</w:t>
      </w:r>
      <w:r w:rsidRPr="00410DAB">
        <w:rPr>
          <w:rFonts w:ascii="Public Sans" w:hAnsi="Public Sans" w:cs="Arial"/>
          <w:color w:val="000000" w:themeColor="text1"/>
        </w:rPr>
        <w:t xml:space="preserve"> (Tas) s 52(c); </w:t>
      </w:r>
      <w:r w:rsidRPr="00410DAB">
        <w:rPr>
          <w:rFonts w:ascii="Public Sans" w:hAnsi="Public Sans" w:cs="Arial"/>
          <w:i/>
          <w:iCs/>
          <w:color w:val="000000" w:themeColor="text1"/>
        </w:rPr>
        <w:t>Discrimination Act 1991</w:t>
      </w:r>
      <w:r w:rsidRPr="00410DAB">
        <w:rPr>
          <w:rFonts w:ascii="Public Sans" w:hAnsi="Public Sans" w:cs="Arial"/>
          <w:color w:val="000000" w:themeColor="text1"/>
        </w:rPr>
        <w:t xml:space="preserve"> (ACT) s 32(1)(c); </w:t>
      </w:r>
      <w:r w:rsidRPr="00410DAB">
        <w:rPr>
          <w:rFonts w:ascii="Public Sans" w:hAnsi="Public Sans" w:cs="Arial"/>
          <w:i/>
          <w:iCs/>
          <w:color w:val="000000" w:themeColor="text1"/>
        </w:rPr>
        <w:t xml:space="preserve">Anti-Discrimination Act 1992 </w:t>
      </w:r>
      <w:r w:rsidRPr="00410DAB">
        <w:rPr>
          <w:rFonts w:ascii="Public Sans" w:hAnsi="Public Sans" w:cs="Arial"/>
          <w:color w:val="000000" w:themeColor="text1"/>
        </w:rPr>
        <w:t xml:space="preserve">(NT) s 51(c); </w:t>
      </w:r>
      <w:r w:rsidRPr="00410DAB">
        <w:rPr>
          <w:rFonts w:ascii="Public Sans" w:hAnsi="Public Sans" w:cs="Arial"/>
          <w:i/>
          <w:iCs/>
          <w:color w:val="000000" w:themeColor="text1"/>
        </w:rPr>
        <w:t>Equal Opportunity Act 1984</w:t>
      </w:r>
      <w:r w:rsidRPr="00410DAB">
        <w:rPr>
          <w:rFonts w:ascii="Public Sans" w:hAnsi="Public Sans" w:cs="Arial"/>
          <w:color w:val="000000" w:themeColor="text1"/>
        </w:rPr>
        <w:t xml:space="preserve"> (WA) s 72(c); </w:t>
      </w:r>
      <w:r w:rsidRPr="00410DAB">
        <w:rPr>
          <w:rFonts w:ascii="Public Sans" w:hAnsi="Public Sans" w:cs="Arial"/>
          <w:i/>
          <w:iCs/>
          <w:color w:val="000000" w:themeColor="text1"/>
        </w:rPr>
        <w:t>Anti-Discrimination Act 1991</w:t>
      </w:r>
      <w:r w:rsidRPr="00410DAB">
        <w:rPr>
          <w:rFonts w:ascii="Public Sans" w:hAnsi="Public Sans" w:cs="Arial"/>
          <w:color w:val="000000" w:themeColor="text1"/>
        </w:rPr>
        <w:t xml:space="preserve"> (Qld) s 109(1)(c).</w:t>
      </w:r>
    </w:p>
  </w:footnote>
  <w:footnote w:id="622">
    <w:p w14:paraId="160FBA61"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Equality Legislation Amendment (LGBTIQA+) Bill 2023 (NSW), First Print, sch 1 [40].</w:t>
      </w:r>
    </w:p>
  </w:footnote>
  <w:footnote w:id="623">
    <w:p w14:paraId="746DE5CA"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56(d).</w:t>
      </w:r>
    </w:p>
  </w:footnote>
  <w:footnote w:id="624">
    <w:p w14:paraId="37156C52"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OV v QZ (No 2)</w:t>
      </w:r>
      <w:r w:rsidRPr="00410DAB">
        <w:rPr>
          <w:rFonts w:ascii="Public Sans" w:hAnsi="Public Sans" w:cs="Arial"/>
        </w:rPr>
        <w:t xml:space="preserve"> [2008] NSWADT 115 [69]–[70].</w:t>
      </w:r>
    </w:p>
  </w:footnote>
  <w:footnote w:id="625">
    <w:p w14:paraId="4BE95C08"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OW v Wesley Mission</w:t>
      </w:r>
      <w:r w:rsidRPr="00410DAB">
        <w:rPr>
          <w:rFonts w:ascii="Public Sans" w:hAnsi="Public Sans" w:cs="Arial"/>
        </w:rPr>
        <w:t xml:space="preserve"> Council [2010] NSWADT 293 [35].</w:t>
      </w:r>
    </w:p>
  </w:footnote>
  <w:footnote w:id="626">
    <w:p w14:paraId="527C7B5E"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302" w:name="_Hlk193937712"/>
      <w:r w:rsidRPr="00410DAB">
        <w:rPr>
          <w:rFonts w:ascii="Public Sans" w:hAnsi="Public Sans" w:cs="Arial"/>
        </w:rPr>
        <w:t xml:space="preserve">Australia, Attorney-General’s Department, </w:t>
      </w:r>
      <w:r w:rsidRPr="00410DAB">
        <w:rPr>
          <w:rFonts w:ascii="Public Sans" w:hAnsi="Public Sans" w:cs="Arial"/>
          <w:i/>
          <w:iCs/>
        </w:rPr>
        <w:t>Consolidation of Commonwealth Anti-Discrimination Laws:</w:t>
      </w:r>
      <w:r w:rsidRPr="00410DAB">
        <w:rPr>
          <w:rFonts w:ascii="Public Sans" w:hAnsi="Public Sans" w:cs="Arial"/>
        </w:rPr>
        <w:t xml:space="preserve"> </w:t>
      </w:r>
      <w:r w:rsidRPr="00410DAB">
        <w:rPr>
          <w:rFonts w:ascii="Public Sans" w:hAnsi="Public Sans" w:cs="Arial"/>
          <w:i/>
          <w:iCs/>
        </w:rPr>
        <w:t>Human Rights and Anti-Discrimination Bill 2012</w:t>
      </w:r>
      <w:r w:rsidRPr="00410DAB">
        <w:rPr>
          <w:rFonts w:ascii="Public Sans" w:hAnsi="Public Sans" w:cs="Arial"/>
        </w:rPr>
        <w:t>,</w:t>
      </w:r>
      <w:r w:rsidRPr="00410DAB">
        <w:rPr>
          <w:rFonts w:ascii="Public Sans" w:hAnsi="Public Sans" w:cs="Arial"/>
          <w:i/>
          <w:iCs/>
        </w:rPr>
        <w:t xml:space="preserve"> </w:t>
      </w:r>
      <w:r w:rsidRPr="00410DAB">
        <w:rPr>
          <w:rFonts w:ascii="Public Sans" w:hAnsi="Public Sans" w:cs="Arial"/>
        </w:rPr>
        <w:t xml:space="preserve">Explanatory Notes, Exposure Draft (2012) [190]; </w:t>
      </w:r>
      <w:r w:rsidRPr="00410DAB">
        <w:rPr>
          <w:rFonts w:ascii="Public Sans" w:hAnsi="Public Sans" w:cs="Arial"/>
          <w:i/>
          <w:iCs/>
        </w:rPr>
        <w:t xml:space="preserve">Sex Discrimination Act 1984 </w:t>
      </w:r>
      <w:r w:rsidRPr="00410DAB">
        <w:rPr>
          <w:rFonts w:ascii="Public Sans" w:hAnsi="Public Sans" w:cs="Arial"/>
        </w:rPr>
        <w:t>(Cth)</w:t>
      </w:r>
      <w:r w:rsidRPr="00410DAB">
        <w:rPr>
          <w:rFonts w:ascii="Public Sans" w:hAnsi="Public Sans" w:cs="Arial"/>
          <w:i/>
          <w:iCs/>
        </w:rPr>
        <w:t xml:space="preserve"> </w:t>
      </w:r>
      <w:r w:rsidRPr="00410DAB">
        <w:rPr>
          <w:rFonts w:ascii="Public Sans" w:hAnsi="Public Sans" w:cs="Arial"/>
        </w:rPr>
        <w:t>s 37(1)(d), s 37(2)(a). This exception was amended in 2013 to no longer apply to Commonwealth-funded aged care</w:t>
      </w:r>
      <w:bookmarkEnd w:id="302"/>
      <w:r w:rsidRPr="00410DAB">
        <w:rPr>
          <w:rFonts w:ascii="Public Sans" w:hAnsi="Public Sans" w:cs="Arial"/>
        </w:rPr>
        <w:t>.</w:t>
      </w:r>
    </w:p>
  </w:footnote>
  <w:footnote w:id="627">
    <w:p w14:paraId="0C95A489"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Law Reform Commission, </w:t>
      </w:r>
      <w:r w:rsidRPr="00410DAB">
        <w:rPr>
          <w:rFonts w:ascii="Public Sans" w:hAnsi="Public Sans" w:cs="Arial"/>
          <w:i/>
          <w:iCs/>
        </w:rPr>
        <w:t>Maximising the Realisation of Human Rights: Religious Educational Institutions and Anti-Discrimination Laws</w:t>
      </w:r>
      <w:r w:rsidRPr="00410DAB">
        <w:rPr>
          <w:rFonts w:ascii="Public Sans" w:hAnsi="Public Sans" w:cs="Arial"/>
        </w:rPr>
        <w:t>, Report 142 (2023) rec 1, [4.165]–[4.166].</w:t>
      </w:r>
    </w:p>
  </w:footnote>
  <w:footnote w:id="628">
    <w:p w14:paraId="63D5D803"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Fair Work Act 2009</w:t>
      </w:r>
      <w:r w:rsidRPr="00410DAB">
        <w:rPr>
          <w:rFonts w:ascii="Public Sans" w:hAnsi="Public Sans" w:cs="Arial"/>
        </w:rPr>
        <w:t xml:space="preserve"> (Cth) s 772(2)(b). See also </w:t>
      </w:r>
      <w:r w:rsidRPr="00410DAB">
        <w:rPr>
          <w:rFonts w:ascii="Public Sans" w:hAnsi="Public Sans" w:cs="Arial"/>
          <w:i/>
          <w:iCs/>
        </w:rPr>
        <w:t>Fair Work Act 2009</w:t>
      </w:r>
      <w:r w:rsidRPr="00410DAB">
        <w:rPr>
          <w:rFonts w:ascii="Public Sans" w:hAnsi="Public Sans" w:cs="Arial"/>
        </w:rPr>
        <w:t xml:space="preserve"> (Cth) s 351(2)(c).</w:t>
      </w:r>
    </w:p>
  </w:footnote>
  <w:footnote w:id="629">
    <w:p w14:paraId="1DCCC66E"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Law Reform Commission, </w:t>
      </w:r>
      <w:r w:rsidRPr="00410DAB">
        <w:rPr>
          <w:rFonts w:ascii="Public Sans" w:hAnsi="Public Sans" w:cs="Arial"/>
          <w:i/>
          <w:iCs/>
        </w:rPr>
        <w:t>Maximising the Realisation of Human Rights: Religious Educational Institutions and Anti-Discrimination Laws</w:t>
      </w:r>
      <w:r w:rsidRPr="00410DAB">
        <w:rPr>
          <w:rFonts w:ascii="Public Sans" w:hAnsi="Public Sans" w:cs="Arial"/>
        </w:rPr>
        <w:t>, Report 142 (2023) rec 5.</w:t>
      </w:r>
    </w:p>
  </w:footnote>
  <w:footnote w:id="630">
    <w:p w14:paraId="53E52D8C"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Catholic Archdiocese of Sydney, </w:t>
      </w:r>
      <w:r w:rsidRPr="00410DAB">
        <w:rPr>
          <w:rFonts w:ascii="Public Sans" w:hAnsi="Public Sans" w:cs="Arial"/>
          <w:i/>
          <w:iCs/>
        </w:rPr>
        <w:t>Preliminary Submission PAD37</w:t>
      </w:r>
      <w:r w:rsidRPr="00410DAB">
        <w:rPr>
          <w:rFonts w:ascii="Public Sans" w:hAnsi="Public Sans" w:cs="Arial"/>
        </w:rPr>
        <w:t>, 4.</w:t>
      </w:r>
    </w:p>
  </w:footnote>
  <w:footnote w:id="631">
    <w:p w14:paraId="1A11278F" w14:textId="77777777" w:rsidR="006A1316" w:rsidRPr="00410DAB" w:rsidRDefault="006A1316" w:rsidP="006A13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NSW Council for Civil Liberties Inc, </w:t>
      </w:r>
      <w:r w:rsidRPr="00410DAB">
        <w:rPr>
          <w:rFonts w:ascii="Public Sans" w:hAnsi="Public Sans" w:cs="Arial"/>
          <w:i/>
          <w:iCs/>
          <w:szCs w:val="18"/>
        </w:rPr>
        <w:t>Preliminary Submission PAD21</w:t>
      </w:r>
      <w:r w:rsidRPr="00410DAB">
        <w:rPr>
          <w:rFonts w:ascii="Public Sans" w:hAnsi="Public Sans" w:cs="Arial"/>
          <w:szCs w:val="18"/>
        </w:rPr>
        <w:t xml:space="preserve"> [104]; Australian Lawyers for Human Rights, </w:t>
      </w:r>
      <w:r w:rsidRPr="00410DAB">
        <w:rPr>
          <w:rFonts w:ascii="Public Sans" w:hAnsi="Public Sans" w:cs="Arial"/>
          <w:i/>
          <w:iCs/>
          <w:szCs w:val="18"/>
        </w:rPr>
        <w:t>Preliminary Submission PAD62</w:t>
      </w:r>
      <w:r w:rsidRPr="00410DAB">
        <w:rPr>
          <w:rFonts w:ascii="Public Sans" w:hAnsi="Public Sans" w:cs="Arial"/>
          <w:szCs w:val="18"/>
        </w:rPr>
        <w:t xml:space="preserve">, 7; Public Interest Advocacy Centre, </w:t>
      </w:r>
      <w:r w:rsidRPr="00410DAB">
        <w:rPr>
          <w:rFonts w:ascii="Public Sans" w:hAnsi="Public Sans" w:cs="Arial"/>
          <w:i/>
          <w:iCs/>
          <w:szCs w:val="18"/>
        </w:rPr>
        <w:t>Preliminary Submission PAD82</w:t>
      </w:r>
      <w:r w:rsidRPr="00410DAB">
        <w:rPr>
          <w:rFonts w:ascii="Public Sans" w:hAnsi="Public Sans" w:cs="Arial"/>
          <w:szCs w:val="18"/>
        </w:rPr>
        <w:t xml:space="preserve">, 15; New South Wales Bar Association, </w:t>
      </w:r>
      <w:r w:rsidRPr="00410DAB">
        <w:rPr>
          <w:rFonts w:ascii="Public Sans" w:hAnsi="Public Sans" w:cs="Arial"/>
          <w:i/>
          <w:iCs/>
          <w:szCs w:val="18"/>
        </w:rPr>
        <w:t>Preliminary Submission PAD86</w:t>
      </w:r>
      <w:r w:rsidRPr="00410DAB">
        <w:rPr>
          <w:rFonts w:ascii="Public Sans" w:hAnsi="Public Sans" w:cs="Arial"/>
          <w:szCs w:val="18"/>
        </w:rPr>
        <w:t xml:space="preserve"> [40].</w:t>
      </w:r>
    </w:p>
  </w:footnote>
  <w:footnote w:id="632">
    <w:p w14:paraId="1F27484E"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82(2).</w:t>
      </w:r>
    </w:p>
  </w:footnote>
  <w:footnote w:id="633">
    <w:p w14:paraId="410DAA62" w14:textId="77777777" w:rsidR="006A1316" w:rsidRPr="00410DAB" w:rsidRDefault="006A1316" w:rsidP="006A13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P Ruddock, </w:t>
      </w:r>
      <w:r w:rsidRPr="00410DAB">
        <w:rPr>
          <w:rFonts w:ascii="Public Sans" w:hAnsi="Public Sans" w:cs="Arial"/>
          <w:i/>
          <w:iCs/>
          <w:szCs w:val="18"/>
        </w:rPr>
        <w:t>Religious Freedom Review: Report of the Expert Panel</w:t>
      </w:r>
      <w:r w:rsidRPr="00410DAB">
        <w:rPr>
          <w:rFonts w:ascii="Public Sans" w:hAnsi="Public Sans" w:cs="Arial"/>
          <w:szCs w:val="18"/>
        </w:rPr>
        <w:t xml:space="preserve"> (2018) rec 1.</w:t>
      </w:r>
    </w:p>
  </w:footnote>
  <w:footnote w:id="634">
    <w:p w14:paraId="444E4778" w14:textId="77777777" w:rsidR="006A1316" w:rsidRPr="00410DAB" w:rsidRDefault="006A1316" w:rsidP="006A1316">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Queensland Human Rights Commission,</w:t>
      </w:r>
      <w:r w:rsidRPr="00410DAB">
        <w:rPr>
          <w:rFonts w:ascii="Public Sans" w:hAnsi="Public Sans" w:cs="Arial"/>
          <w:i/>
          <w:iCs/>
          <w:szCs w:val="18"/>
        </w:rPr>
        <w:t xml:space="preserve"> Building Belonging: Review of Queensland’s Anti-Discrimination Act 1991</w:t>
      </w:r>
      <w:r w:rsidRPr="00410DAB">
        <w:rPr>
          <w:rFonts w:ascii="Public Sans" w:hAnsi="Public Sans" w:cs="Arial"/>
          <w:szCs w:val="18"/>
        </w:rPr>
        <w:t xml:space="preserve"> (2022) rec 38.1.</w:t>
      </w:r>
    </w:p>
  </w:footnote>
  <w:footnote w:id="635">
    <w:p w14:paraId="0A18A695"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82(2).</w:t>
      </w:r>
    </w:p>
  </w:footnote>
  <w:footnote w:id="636">
    <w:p w14:paraId="6EBB4964" w14:textId="77777777" w:rsidR="006A1316" w:rsidRPr="00410DAB" w:rsidRDefault="006A1316" w:rsidP="006A1316">
      <w:pPr>
        <w:pStyle w:val="FootnoteText"/>
        <w:rPr>
          <w:rFonts w:ascii="Public Sans" w:hAnsi="Public Sans" w:cs="Arial"/>
          <w:color w:val="0070C0"/>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Law Reform Commission of Western Australia, </w:t>
      </w:r>
      <w:r w:rsidRPr="00410DAB">
        <w:rPr>
          <w:rFonts w:ascii="Public Sans" w:hAnsi="Public Sans" w:cs="Arial"/>
          <w:i/>
          <w:iCs/>
        </w:rPr>
        <w:t>Review of the Equal Opportunity Act 1984 (WA)</w:t>
      </w:r>
      <w:r w:rsidRPr="00410DAB">
        <w:rPr>
          <w:rFonts w:ascii="Public Sans" w:hAnsi="Public Sans" w:cs="Arial"/>
        </w:rPr>
        <w:t xml:space="preserve">, Project 111, Final Report (2022) rec 75–76; </w:t>
      </w:r>
      <w:r w:rsidRPr="00410DAB">
        <w:rPr>
          <w:rFonts w:ascii="Public Sans" w:hAnsi="Public Sans" w:cs="Arial"/>
          <w:szCs w:val="18"/>
        </w:rPr>
        <w:t>Queensland Human Rights Commission,</w:t>
      </w:r>
      <w:r w:rsidRPr="00410DAB">
        <w:rPr>
          <w:rFonts w:ascii="Public Sans" w:hAnsi="Public Sans" w:cs="Arial"/>
          <w:i/>
          <w:iCs/>
          <w:szCs w:val="18"/>
        </w:rPr>
        <w:t xml:space="preserve"> Building Belonging: Review of Queensland’s Anti-Discrimination Act 1991</w:t>
      </w:r>
      <w:r w:rsidRPr="00410DAB">
        <w:rPr>
          <w:rFonts w:ascii="Public Sans" w:hAnsi="Public Sans" w:cs="Arial"/>
          <w:szCs w:val="18"/>
        </w:rPr>
        <w:t xml:space="preserve"> (2022) </w:t>
      </w:r>
      <w:r w:rsidRPr="00410DAB">
        <w:rPr>
          <w:rFonts w:ascii="Public Sans" w:hAnsi="Public Sans" w:cs="Arial"/>
        </w:rPr>
        <w:t>rec 38.1.</w:t>
      </w:r>
    </w:p>
  </w:footnote>
  <w:footnote w:id="637">
    <w:p w14:paraId="21FB6210"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color w:val="000000" w:themeColor="text1"/>
          <w:szCs w:val="18"/>
        </w:rPr>
        <w:t>Queensland Human Rights Commission,</w:t>
      </w:r>
      <w:r w:rsidRPr="00410DAB">
        <w:rPr>
          <w:rFonts w:ascii="Public Sans" w:hAnsi="Public Sans" w:cs="Arial"/>
          <w:i/>
          <w:iCs/>
          <w:color w:val="000000" w:themeColor="text1"/>
          <w:szCs w:val="18"/>
        </w:rPr>
        <w:t xml:space="preserve"> Building Belonging: Review of Queensland’s Anti-Discrimination Act 1991</w:t>
      </w:r>
      <w:r w:rsidRPr="00410DAB">
        <w:rPr>
          <w:rFonts w:ascii="Public Sans" w:hAnsi="Public Sans" w:cs="Arial"/>
          <w:color w:val="000000" w:themeColor="text1"/>
          <w:szCs w:val="18"/>
        </w:rPr>
        <w:t xml:space="preserve"> (2022) </w:t>
      </w:r>
      <w:r w:rsidRPr="00410DAB">
        <w:rPr>
          <w:rFonts w:ascii="Public Sans" w:hAnsi="Public Sans" w:cs="Arial"/>
          <w:color w:val="000000" w:themeColor="text1"/>
        </w:rPr>
        <w:t>rec 38.2.</w:t>
      </w:r>
    </w:p>
  </w:footnote>
  <w:footnote w:id="638">
    <w:p w14:paraId="43EDC678"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Presbyterian Church of Australia in New South Wales, </w:t>
      </w:r>
      <w:r w:rsidRPr="00410DAB">
        <w:rPr>
          <w:rFonts w:ascii="Public Sans" w:hAnsi="Public Sans" w:cs="Arial"/>
          <w:i/>
          <w:iCs/>
        </w:rPr>
        <w:t>Preliminary Submission PAD56</w:t>
      </w:r>
      <w:r w:rsidRPr="00410DAB">
        <w:rPr>
          <w:rFonts w:ascii="Public Sans" w:hAnsi="Public Sans" w:cs="Arial"/>
        </w:rPr>
        <w:t>, 6.</w:t>
      </w:r>
    </w:p>
  </w:footnote>
  <w:footnote w:id="639">
    <w:p w14:paraId="13E3CE73"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NSW Council for Civil Liberties Inc, </w:t>
      </w:r>
      <w:r w:rsidRPr="00410DAB">
        <w:rPr>
          <w:rFonts w:ascii="Public Sans" w:hAnsi="Public Sans" w:cs="Arial"/>
          <w:i/>
          <w:iCs/>
        </w:rPr>
        <w:t>Preliminary Submission PAD21</w:t>
      </w:r>
      <w:r w:rsidRPr="00410DAB">
        <w:rPr>
          <w:rFonts w:ascii="Public Sans" w:hAnsi="Public Sans" w:cs="Arial"/>
        </w:rPr>
        <w:t xml:space="preserve"> [105]; Australian Lawyers for Human Rights, </w:t>
      </w:r>
      <w:r w:rsidRPr="00410DAB">
        <w:rPr>
          <w:rFonts w:ascii="Public Sans" w:hAnsi="Public Sans" w:cs="Arial"/>
          <w:i/>
          <w:iCs/>
        </w:rPr>
        <w:t>Preliminary Submission PAD62</w:t>
      </w:r>
      <w:r w:rsidRPr="00410DAB">
        <w:rPr>
          <w:rFonts w:ascii="Public Sans" w:hAnsi="Public Sans" w:cs="Arial"/>
        </w:rPr>
        <w:t>,</w:t>
      </w:r>
      <w:r w:rsidRPr="00410DAB">
        <w:rPr>
          <w:rFonts w:ascii="Public Sans" w:hAnsi="Public Sans" w:cs="Arial"/>
          <w:i/>
          <w:iCs/>
        </w:rPr>
        <w:t xml:space="preserve"> </w:t>
      </w:r>
      <w:r w:rsidRPr="00410DAB">
        <w:rPr>
          <w:rFonts w:ascii="Public Sans" w:hAnsi="Public Sans" w:cs="Arial"/>
        </w:rPr>
        <w:t xml:space="preserve">7; Anti-Discrimination NSW, </w:t>
      </w:r>
      <w:r w:rsidRPr="00410DAB">
        <w:rPr>
          <w:rFonts w:ascii="Public Sans" w:hAnsi="Public Sans" w:cs="Arial"/>
          <w:i/>
          <w:iCs/>
        </w:rPr>
        <w:t>Preliminary Submission PAD83</w:t>
      </w:r>
      <w:r w:rsidRPr="00410DAB">
        <w:rPr>
          <w:rFonts w:ascii="Public Sans" w:hAnsi="Public Sans" w:cs="Arial"/>
        </w:rPr>
        <w:t xml:space="preserve">, 13; Legal Aid NSW, </w:t>
      </w:r>
      <w:r w:rsidRPr="00410DAB">
        <w:rPr>
          <w:rFonts w:ascii="Public Sans" w:hAnsi="Public Sans" w:cs="Arial"/>
          <w:i/>
          <w:iCs/>
        </w:rPr>
        <w:t>Preliminary Submission PAD87</w:t>
      </w:r>
      <w:r w:rsidRPr="00410DAB">
        <w:rPr>
          <w:rFonts w:ascii="Public Sans" w:hAnsi="Public Sans" w:cs="Arial"/>
        </w:rPr>
        <w:t xml:space="preserve">, 12. </w:t>
      </w:r>
    </w:p>
  </w:footnote>
  <w:footnote w:id="640">
    <w:p w14:paraId="2573D7FD"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w:t>
      </w:r>
      <w:r w:rsidRPr="00410DAB">
        <w:rPr>
          <w:rFonts w:ascii="Public Sans" w:hAnsi="Public Sans" w:cs="Arial"/>
          <w:i/>
          <w:iCs/>
        </w:rPr>
        <w:t>International Covenant on Civil and Political Rights</w:t>
      </w:r>
      <w:r w:rsidRPr="00410DAB">
        <w:rPr>
          <w:rFonts w:ascii="Public Sans" w:hAnsi="Public Sans" w:cs="Arial"/>
        </w:rPr>
        <w:t>, 999 UNTS 171 (entered into force 23 March 1976) art 25(c).</w:t>
      </w:r>
    </w:p>
  </w:footnote>
  <w:footnote w:id="641">
    <w:p w14:paraId="6831BFF4" w14:textId="77777777" w:rsidR="006A1316" w:rsidRPr="00410DAB" w:rsidRDefault="006A1316" w:rsidP="006A1316">
      <w:pPr>
        <w:pStyle w:val="FootnoteText"/>
        <w:rPr>
          <w:rFonts w:ascii="Public Sans" w:hAnsi="Public Sans" w:cs="Arial"/>
          <w:color w:val="0070C0"/>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South Australian Law Reform Institute, </w:t>
      </w:r>
      <w:r w:rsidRPr="00410DAB">
        <w:rPr>
          <w:rFonts w:ascii="Public Sans" w:hAnsi="Public Sans" w:cs="Arial"/>
          <w:i/>
          <w:iCs/>
        </w:rPr>
        <w:t>“Lawful Discrimination”: Exceptions under the Equal Opportunity Act 1984 (SA) to Unlawful Discrimination on the Grounds of Gender Identity, Sexual Orientation and Intersex Status</w:t>
      </w:r>
      <w:r w:rsidRPr="00410DAB">
        <w:rPr>
          <w:rFonts w:ascii="Public Sans" w:hAnsi="Public Sans" w:cs="Arial"/>
        </w:rPr>
        <w:t>,</w:t>
      </w:r>
      <w:r w:rsidRPr="00410DAB">
        <w:rPr>
          <w:rFonts w:ascii="Public Sans" w:hAnsi="Public Sans" w:cs="Arial"/>
          <w:i/>
          <w:iCs/>
        </w:rPr>
        <w:t xml:space="preserve"> </w:t>
      </w:r>
      <w:r w:rsidRPr="00410DAB">
        <w:rPr>
          <w:rFonts w:ascii="Public Sans" w:hAnsi="Public Sans" w:cs="Arial"/>
        </w:rPr>
        <w:t>Report (2016) rec 2.</w:t>
      </w:r>
    </w:p>
  </w:footnote>
  <w:footnote w:id="642">
    <w:p w14:paraId="579DD293" w14:textId="77777777" w:rsidR="006A1316" w:rsidRPr="00410DAB" w:rsidRDefault="006A1316" w:rsidP="006A1316">
      <w:pPr>
        <w:pStyle w:val="FootnoteText"/>
        <w:rPr>
          <w:rFonts w:ascii="Public Sans" w:hAnsi="Public Sans" w:cs="Arial"/>
          <w:color w:val="0070C0"/>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82(2), s 82B. See also </w:t>
      </w:r>
      <w:r w:rsidRPr="00410DAB">
        <w:rPr>
          <w:rFonts w:ascii="Public Sans" w:hAnsi="Public Sans" w:cs="Arial"/>
          <w:i/>
          <w:iCs/>
        </w:rPr>
        <w:t>Discrimination Act 1991</w:t>
      </w:r>
      <w:r w:rsidRPr="00410DAB">
        <w:rPr>
          <w:rFonts w:ascii="Public Sans" w:hAnsi="Public Sans" w:cs="Arial"/>
        </w:rPr>
        <w:t xml:space="preserve"> (ACT) s 32(1).</w:t>
      </w:r>
    </w:p>
  </w:footnote>
  <w:footnote w:id="643">
    <w:p w14:paraId="5CA4308F" w14:textId="77777777" w:rsidR="006A1316" w:rsidRPr="00410DAB" w:rsidRDefault="006A1316" w:rsidP="006A1316">
      <w:pPr>
        <w:pStyle w:val="FootnoteText"/>
        <w:rPr>
          <w:rFonts w:ascii="Public Sans" w:hAnsi="Public Sans" w:cs="Arial"/>
          <w:color w:val="0070C0"/>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szCs w:val="18"/>
        </w:rPr>
        <w:t>Queensland Human Rights Commission,</w:t>
      </w:r>
      <w:r w:rsidRPr="00410DAB">
        <w:rPr>
          <w:rFonts w:ascii="Public Sans" w:hAnsi="Public Sans" w:cs="Arial"/>
          <w:i/>
          <w:iCs/>
          <w:szCs w:val="18"/>
        </w:rPr>
        <w:t xml:space="preserve"> Building Belonging: Review of Queensland’s Anti-Discrimination Act 1991</w:t>
      </w:r>
      <w:r w:rsidRPr="00410DAB">
        <w:rPr>
          <w:rFonts w:ascii="Public Sans" w:hAnsi="Public Sans" w:cs="Arial"/>
          <w:szCs w:val="18"/>
        </w:rPr>
        <w:t xml:space="preserve"> (2022) </w:t>
      </w:r>
      <w:r w:rsidRPr="00410DAB">
        <w:rPr>
          <w:rFonts w:ascii="Public Sans" w:hAnsi="Public Sans" w:cs="Arial"/>
        </w:rPr>
        <w:t>rec 38.2.</w:t>
      </w:r>
    </w:p>
  </w:footnote>
  <w:footnote w:id="644">
    <w:p w14:paraId="21E7D204"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Sex Discrimination Act 1984</w:t>
      </w:r>
      <w:r w:rsidRPr="00410DAB">
        <w:rPr>
          <w:rFonts w:ascii="Public Sans" w:hAnsi="Public Sans" w:cs="Arial"/>
        </w:rPr>
        <w:t xml:space="preserve"> (Cth) s 37(2).</w:t>
      </w:r>
    </w:p>
  </w:footnote>
  <w:footnote w:id="645">
    <w:p w14:paraId="5570A4CA"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szCs w:val="18"/>
        </w:rPr>
        <w:t xml:space="preserve">NSW Law Reform Commission, </w:t>
      </w:r>
      <w:r w:rsidRPr="00410DAB">
        <w:rPr>
          <w:rFonts w:ascii="Public Sans" w:hAnsi="Public Sans" w:cs="Arial"/>
          <w:i/>
          <w:iCs/>
          <w:szCs w:val="18"/>
        </w:rPr>
        <w:t>Review of the Anti-Discrimination Act 1977 (NSW</w:t>
      </w:r>
      <w:r w:rsidRPr="00410DAB">
        <w:rPr>
          <w:rFonts w:ascii="Public Sans" w:hAnsi="Public Sans" w:cs="Arial"/>
          <w:szCs w:val="18"/>
        </w:rPr>
        <w:t xml:space="preserve">), Report 92 (1999) [6.72], rec 16, rec 46, rec 84–85, rec 87. </w:t>
      </w:r>
    </w:p>
  </w:footnote>
  <w:footnote w:id="646">
    <w:p w14:paraId="5D6EC235"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xml:space="preserve"> Review of the Anti-Discrimination Act 1977 (NSW)</w:t>
      </w:r>
      <w:r w:rsidRPr="00410DAB">
        <w:rPr>
          <w:rFonts w:ascii="Public Sans" w:hAnsi="Public Sans" w:cs="Arial"/>
        </w:rPr>
        <w:t>, Report 92 (1999) rec 87.</w:t>
      </w:r>
    </w:p>
  </w:footnote>
  <w:footnote w:id="647">
    <w:p w14:paraId="7D1D4983"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1991</w:t>
      </w:r>
      <w:r w:rsidRPr="00410DAB">
        <w:rPr>
          <w:rFonts w:ascii="Public Sans" w:hAnsi="Public Sans" w:cs="Arial"/>
        </w:rPr>
        <w:t xml:space="preserve"> (Qld) s 90.</w:t>
      </w:r>
    </w:p>
  </w:footnote>
  <w:footnote w:id="648">
    <w:p w14:paraId="679A13C2"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Law Reform Commission, </w:t>
      </w:r>
      <w:r w:rsidRPr="00410DAB">
        <w:rPr>
          <w:rFonts w:ascii="Public Sans" w:hAnsi="Public Sans" w:cs="Arial"/>
          <w:i/>
          <w:iCs/>
        </w:rPr>
        <w:t>Maximising the Realisation of Human Rights: Religious Educational Institutions and Anti-Discrimination Laws</w:t>
      </w:r>
      <w:r w:rsidRPr="00410DAB">
        <w:rPr>
          <w:rFonts w:ascii="Public Sans" w:hAnsi="Public Sans" w:cs="Arial"/>
        </w:rPr>
        <w:t>, Report 142 (2023) rec 1.</w:t>
      </w:r>
    </w:p>
  </w:footnote>
  <w:footnote w:id="649">
    <w:p w14:paraId="1CF4EC58"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xml:space="preserve"> Review of the Anti-Discrimination Act 1977 (NSW)</w:t>
      </w:r>
      <w:r w:rsidRPr="00410DAB">
        <w:rPr>
          <w:rFonts w:ascii="Public Sans" w:hAnsi="Public Sans" w:cs="Arial"/>
        </w:rPr>
        <w:t>, Report 92 (1999) rec 88.</w:t>
      </w:r>
    </w:p>
  </w:footnote>
  <w:footnote w:id="650">
    <w:p w14:paraId="7B1BB0E6"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1992</w:t>
      </w:r>
      <w:r w:rsidRPr="00410DAB">
        <w:rPr>
          <w:rFonts w:ascii="Public Sans" w:hAnsi="Public Sans" w:cs="Arial"/>
        </w:rPr>
        <w:t xml:space="preserve"> (NT) s 43(1).</w:t>
      </w:r>
    </w:p>
  </w:footnote>
  <w:footnote w:id="651">
    <w:p w14:paraId="705E6BF3"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Anti-Discrimination Act 1991</w:t>
      </w:r>
      <w:r w:rsidRPr="00410DAB">
        <w:rPr>
          <w:rFonts w:ascii="Public Sans" w:hAnsi="Public Sans"/>
        </w:rPr>
        <w:t xml:space="preserve"> (Qld) s 48, s </w:t>
      </w:r>
      <w:r w:rsidRPr="00410DAB">
        <w:rPr>
          <w:rFonts w:ascii="Public Sans" w:hAnsi="Public Sans" w:cs="Arial"/>
        </w:rPr>
        <w:t>80.</w:t>
      </w:r>
    </w:p>
  </w:footnote>
  <w:footnote w:id="652">
    <w:p w14:paraId="716047FA"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[6.71].</w:t>
      </w:r>
    </w:p>
  </w:footnote>
  <w:footnote w:id="653">
    <w:p w14:paraId="15B64805"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OHCHR and Equal Rights Trust, </w:t>
      </w:r>
      <w:r w:rsidRPr="00410DAB">
        <w:rPr>
          <w:rFonts w:ascii="Public Sans" w:hAnsi="Public Sans" w:cs="Arial"/>
          <w:i/>
          <w:iCs/>
        </w:rPr>
        <w:t>Protecting Minority Rights: A Practical Guide to Developing Comprehensive Anti-Discrimination Legislation</w:t>
      </w:r>
      <w:r w:rsidRPr="00410DAB">
        <w:rPr>
          <w:rFonts w:ascii="Public Sans" w:hAnsi="Public Sans" w:cs="Arial"/>
        </w:rPr>
        <w:t xml:space="preserve"> (2023) 53.</w:t>
      </w:r>
    </w:p>
  </w:footnote>
  <w:footnote w:id="654">
    <w:p w14:paraId="0CF5A795"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1992</w:t>
      </w:r>
      <w:r w:rsidRPr="00410DAB">
        <w:rPr>
          <w:rFonts w:ascii="Public Sans" w:hAnsi="Public Sans" w:cs="Arial"/>
        </w:rPr>
        <w:t xml:space="preserve"> (NT) s 51; </w:t>
      </w:r>
      <w:r w:rsidRPr="00410DAB">
        <w:rPr>
          <w:rFonts w:ascii="Public Sans" w:hAnsi="Public Sans" w:cs="Arial"/>
          <w:i/>
          <w:iCs/>
        </w:rPr>
        <w:t>Equal Opportunity Act 1984 (</w:t>
      </w:r>
      <w:r w:rsidRPr="00410DAB">
        <w:rPr>
          <w:rFonts w:ascii="Public Sans" w:hAnsi="Public Sans" w:cs="Arial"/>
        </w:rPr>
        <w:t xml:space="preserve">WA) s 72; </w:t>
      </w:r>
      <w:r w:rsidRPr="00410DAB">
        <w:rPr>
          <w:rFonts w:ascii="Public Sans" w:hAnsi="Public Sans" w:cs="Arial"/>
          <w:i/>
          <w:iCs/>
        </w:rPr>
        <w:t>Anti-Discrimination Act 1991</w:t>
      </w:r>
      <w:r w:rsidRPr="00410DAB">
        <w:rPr>
          <w:rFonts w:ascii="Public Sans" w:hAnsi="Public Sans" w:cs="Arial"/>
        </w:rPr>
        <w:t xml:space="preserve"> (Qld) s 109.</w:t>
      </w:r>
    </w:p>
  </w:footnote>
  <w:footnote w:id="655">
    <w:p w14:paraId="472AC8B5"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Law Reform Commission of Western Australia, </w:t>
      </w:r>
      <w:r w:rsidRPr="00410DAB">
        <w:rPr>
          <w:rFonts w:ascii="Public Sans" w:hAnsi="Public Sans" w:cs="Arial"/>
          <w:i/>
          <w:iCs/>
        </w:rPr>
        <w:t>Review of the Equal Opportunity Act 1984 (WA)</w:t>
      </w:r>
      <w:r w:rsidRPr="00410DAB">
        <w:rPr>
          <w:rFonts w:ascii="Public Sans" w:hAnsi="Public Sans" w:cs="Arial"/>
        </w:rPr>
        <w:t>, Project 111, Final Report (2022) rec 74, rec 77.</w:t>
      </w:r>
    </w:p>
  </w:footnote>
  <w:footnote w:id="656">
    <w:p w14:paraId="4F62AFD4"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Anglican Church Diocese of Sydney, </w:t>
      </w:r>
      <w:r w:rsidRPr="00410DAB">
        <w:rPr>
          <w:rFonts w:ascii="Public Sans" w:hAnsi="Public Sans" w:cs="Arial"/>
          <w:i/>
          <w:iCs/>
        </w:rPr>
        <w:t>Submission SV22</w:t>
      </w:r>
      <w:r w:rsidRPr="00410DAB">
        <w:rPr>
          <w:rFonts w:ascii="Public Sans" w:hAnsi="Public Sans" w:cs="Arial"/>
        </w:rPr>
        <w:t xml:space="preserve"> [23], [29]. See also Shia Muslim Council of Australia, </w:t>
      </w:r>
      <w:r w:rsidRPr="00410DAB">
        <w:rPr>
          <w:rFonts w:ascii="Public Sans" w:hAnsi="Public Sans" w:cs="Arial"/>
          <w:i/>
          <w:iCs/>
        </w:rPr>
        <w:t>Submission SV53</w:t>
      </w:r>
      <w:r w:rsidRPr="00410DAB">
        <w:rPr>
          <w:rFonts w:ascii="Public Sans" w:hAnsi="Public Sans" w:cs="Arial"/>
        </w:rPr>
        <w:t xml:space="preserve"> [59].</w:t>
      </w:r>
    </w:p>
  </w:footnote>
  <w:footnote w:id="657">
    <w:p w14:paraId="18003D52"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306" w:name="_Hlk193271427"/>
      <w:r w:rsidRPr="00410DAB">
        <w:rPr>
          <w:rFonts w:ascii="Public Sans" w:hAnsi="Public Sans" w:cs="Arial"/>
          <w:i/>
          <w:iCs/>
        </w:rPr>
        <w:t>Anti-Discrimination Act 1991</w:t>
      </w:r>
      <w:r w:rsidRPr="00410DAB">
        <w:rPr>
          <w:rFonts w:ascii="Public Sans" w:hAnsi="Public Sans" w:cs="Arial"/>
        </w:rPr>
        <w:t xml:space="preserve"> (Qld) s 109; </w:t>
      </w:r>
      <w:r w:rsidRPr="00410DAB">
        <w:rPr>
          <w:rFonts w:ascii="Public Sans" w:hAnsi="Public Sans" w:cs="Arial"/>
          <w:i/>
          <w:iCs/>
        </w:rPr>
        <w:t>Anti-Discrimination Act 1992</w:t>
      </w:r>
      <w:r w:rsidRPr="00410DAB">
        <w:rPr>
          <w:rFonts w:ascii="Public Sans" w:hAnsi="Public Sans" w:cs="Arial"/>
        </w:rPr>
        <w:t xml:space="preserve"> (NT) s 51.</w:t>
      </w:r>
    </w:p>
    <w:bookmarkEnd w:id="306"/>
  </w:footnote>
  <w:footnote w:id="658">
    <w:p w14:paraId="5C3D3C71"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Racial and Religious Tolerance Act 2001 </w:t>
      </w:r>
      <w:r w:rsidRPr="00410DAB">
        <w:rPr>
          <w:rFonts w:ascii="Public Sans" w:hAnsi="Public Sans" w:cs="Arial"/>
        </w:rPr>
        <w:t>(Vic) s 11(1)(b)(i), s 11(2).</w:t>
      </w:r>
    </w:p>
  </w:footnote>
  <w:footnote w:id="659">
    <w:p w14:paraId="3444AA18"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59A(3) definition of “faith-based organisation”.</w:t>
      </w:r>
    </w:p>
  </w:footnote>
  <w:footnote w:id="660">
    <w:p w14:paraId="493E3BE7"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59A(1)–(2).</w:t>
      </w:r>
    </w:p>
  </w:footnote>
  <w:footnote w:id="661">
    <w:p w14:paraId="738CD6F2"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Freedom for Faith, </w:t>
      </w:r>
      <w:r w:rsidRPr="00410DAB">
        <w:rPr>
          <w:rFonts w:ascii="Public Sans" w:hAnsi="Public Sans" w:cs="Arial"/>
          <w:i/>
          <w:iCs/>
        </w:rPr>
        <w:t>Preliminary Submission PAD25</w:t>
      </w:r>
      <w:r w:rsidRPr="00410DAB">
        <w:rPr>
          <w:rFonts w:ascii="Public Sans" w:hAnsi="Public Sans" w:cs="Arial"/>
        </w:rPr>
        <w:t>, 6–7.</w:t>
      </w:r>
    </w:p>
  </w:footnote>
  <w:footnote w:id="662">
    <w:p w14:paraId="7D1EED6F" w14:textId="77777777" w:rsidR="006A1316" w:rsidRPr="00410DAB" w:rsidRDefault="006A1316" w:rsidP="006A1316">
      <w:pPr>
        <w:pStyle w:val="FootnoteText"/>
        <w:rPr>
          <w:rFonts w:ascii="Public Sans" w:hAnsi="Public Sans" w:cs="Arial"/>
          <w:color w:val="70AD47" w:themeColor="accent6"/>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Rainbow Labor NSW, </w:t>
      </w:r>
      <w:r w:rsidRPr="00410DAB">
        <w:rPr>
          <w:rFonts w:ascii="Public Sans" w:hAnsi="Public Sans" w:cs="Arial"/>
          <w:i/>
          <w:iCs/>
        </w:rPr>
        <w:t>Preliminary Submission PAD30</w:t>
      </w:r>
      <w:r w:rsidRPr="00410DAB">
        <w:rPr>
          <w:rFonts w:ascii="Public Sans" w:hAnsi="Public Sans" w:cs="Arial"/>
        </w:rPr>
        <w:t xml:space="preserve">, 2; Rainbow Families, </w:t>
      </w:r>
      <w:r w:rsidRPr="00410DAB">
        <w:rPr>
          <w:rFonts w:ascii="Public Sans" w:hAnsi="Public Sans" w:cs="Arial"/>
          <w:i/>
          <w:iCs/>
        </w:rPr>
        <w:t>Preliminary Submission PAD36</w:t>
      </w:r>
      <w:r w:rsidRPr="00410DAB">
        <w:rPr>
          <w:rFonts w:ascii="Public Sans" w:hAnsi="Public Sans" w:cs="Arial"/>
        </w:rPr>
        <w:t>,</w:t>
      </w:r>
      <w:r w:rsidRPr="00410DAB">
        <w:rPr>
          <w:rFonts w:ascii="Public Sans" w:hAnsi="Public Sans" w:cs="Arial"/>
          <w:i/>
          <w:iCs/>
        </w:rPr>
        <w:t xml:space="preserve"> </w:t>
      </w:r>
      <w:r w:rsidRPr="00410DAB">
        <w:rPr>
          <w:rFonts w:ascii="Public Sans" w:hAnsi="Public Sans" w:cs="Arial"/>
        </w:rPr>
        <w:t xml:space="preserve">16. </w:t>
      </w:r>
    </w:p>
  </w:footnote>
  <w:footnote w:id="663">
    <w:p w14:paraId="2687AE57" w14:textId="77777777" w:rsidR="006A1316" w:rsidRPr="00410DAB" w:rsidRDefault="006A1316" w:rsidP="006A1316">
      <w:pPr>
        <w:pStyle w:val="FootnoteText"/>
        <w:rPr>
          <w:rFonts w:ascii="Public Sans" w:hAnsi="Public Sans" w:cs="Arial"/>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rPr>
        <w:t>Anti-Discrimination Act 1977</w:t>
      </w:r>
      <w:r w:rsidRPr="00410DAB">
        <w:rPr>
          <w:rFonts w:ascii="Public Sans" w:hAnsi="Public Sans" w:cs="Arial"/>
        </w:rPr>
        <w:t xml:space="preserve"> (NSW) </w:t>
      </w:r>
      <w:r w:rsidRPr="00410DAB">
        <w:rPr>
          <w:rFonts w:ascii="Public Sans" w:hAnsi="Public Sans" w:cs="Arial"/>
          <w:color w:val="000000" w:themeColor="text1"/>
        </w:rPr>
        <w:t xml:space="preserve">s 56(d); </w:t>
      </w:r>
      <w:r w:rsidRPr="00410DAB">
        <w:rPr>
          <w:rFonts w:ascii="Public Sans" w:hAnsi="Public Sans" w:cs="Arial"/>
          <w:i/>
          <w:iCs/>
          <w:color w:val="000000" w:themeColor="text1"/>
        </w:rPr>
        <w:t>OW v Wesley Mission Council</w:t>
      </w:r>
      <w:r w:rsidRPr="00410DAB">
        <w:rPr>
          <w:rFonts w:ascii="Public Sans" w:hAnsi="Public Sans" w:cs="Arial"/>
          <w:color w:val="000000" w:themeColor="text1"/>
        </w:rPr>
        <w:t xml:space="preserve"> [2010] NSWADT 293 [35].</w:t>
      </w:r>
    </w:p>
  </w:footnote>
  <w:footnote w:id="664">
    <w:p w14:paraId="3E38128D" w14:textId="010D59AE"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Equality Australia, </w:t>
      </w:r>
      <w:r w:rsidRPr="00410DAB">
        <w:rPr>
          <w:rFonts w:ascii="Public Sans" w:hAnsi="Public Sans" w:cs="Arial"/>
          <w:i/>
          <w:iCs/>
        </w:rPr>
        <w:t>Dismissed, Denied and Demeaned: A National Report on LGBTQ+ Discrimination in Faith-Based Schools and Organisation</w:t>
      </w:r>
      <w:r w:rsidRPr="00410DAB">
        <w:rPr>
          <w:rFonts w:ascii="Public Sans" w:hAnsi="Public Sans" w:cs="Arial"/>
        </w:rPr>
        <w:t xml:space="preserve">s (2024) 85, referring to the </w:t>
      </w:r>
      <w:r w:rsidRPr="00410DAB">
        <w:rPr>
          <w:rFonts w:ascii="Public Sans" w:hAnsi="Public Sans" w:cs="Arial"/>
          <w:i/>
          <w:iCs/>
        </w:rPr>
        <w:t>Anti-Discrimination Act 1977</w:t>
      </w:r>
      <w:r w:rsidRPr="00410DAB">
        <w:rPr>
          <w:rFonts w:ascii="Public Sans" w:hAnsi="Public Sans" w:cs="Arial"/>
        </w:rPr>
        <w:t xml:space="preserve"> (NSW) s 56(d), s</w:t>
      </w:r>
      <w:r w:rsidR="00F23DFE">
        <w:rPr>
          <w:rFonts w:ascii="Public Sans" w:hAnsi="Public Sans" w:cs="Arial"/>
        </w:rPr>
        <w:t> </w:t>
      </w:r>
      <w:r w:rsidRPr="00410DAB">
        <w:rPr>
          <w:rFonts w:ascii="Public Sans" w:hAnsi="Public Sans" w:cs="Arial"/>
        </w:rPr>
        <w:t>59A(2).</w:t>
      </w:r>
    </w:p>
  </w:footnote>
  <w:footnote w:id="665">
    <w:p w14:paraId="082C87FD"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[4.104]–[4.105], [4.178], [4.181].</w:t>
      </w:r>
    </w:p>
  </w:footnote>
  <w:footnote w:id="666">
    <w:p w14:paraId="2F69A371"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Christian Lobby, </w:t>
      </w:r>
      <w:r w:rsidRPr="00410DAB">
        <w:rPr>
          <w:rFonts w:ascii="Public Sans" w:hAnsi="Public Sans" w:cs="Arial"/>
          <w:i/>
          <w:iCs/>
        </w:rPr>
        <w:t>Preliminary Submission PAD12</w:t>
      </w:r>
      <w:r w:rsidRPr="00410DAB">
        <w:rPr>
          <w:rFonts w:ascii="Public Sans" w:hAnsi="Public Sans" w:cs="Arial"/>
        </w:rPr>
        <w:t>, 8.</w:t>
      </w:r>
    </w:p>
  </w:footnote>
  <w:footnote w:id="667">
    <w:p w14:paraId="02AFF82D" w14:textId="77777777" w:rsidR="006A1316" w:rsidRPr="00410DAB" w:rsidRDefault="006A1316" w:rsidP="006A1316">
      <w:pPr>
        <w:pStyle w:val="FootnoteText"/>
        <w:rPr>
          <w:rFonts w:ascii="Public Sans" w:hAnsi="Public Sans"/>
        </w:rPr>
      </w:pPr>
      <w:r w:rsidRPr="00410DAB">
        <w:rPr>
          <w:rStyle w:val="FootnoteReference"/>
          <w:rFonts w:cs="Arial"/>
          <w:vertAlign w:val="baseline"/>
        </w:rPr>
        <w:footnoteRef/>
      </w:r>
      <w:r w:rsidRPr="00410DAB">
        <w:rPr>
          <w:rFonts w:ascii="Public Sans" w:hAnsi="Public Sans" w:cs="Arial"/>
        </w:rPr>
        <w:t>.</w:t>
      </w:r>
      <w:r w:rsidRPr="00410DAB">
        <w:rPr>
          <w:rStyle w:val="FootnoteReference"/>
          <w:rFonts w:cs="Arial"/>
          <w:vertAlign w:val="baseline"/>
        </w:rPr>
        <w:t xml:space="preserve"> </w:t>
      </w:r>
      <w:r w:rsidRPr="00410DAB">
        <w:rPr>
          <w:rFonts w:ascii="Public Sans" w:hAnsi="Public Sans"/>
        </w:rPr>
        <w:tab/>
      </w:r>
      <w:r w:rsidRPr="00410DAB">
        <w:rPr>
          <w:rFonts w:ascii="Public Sans" w:hAnsi="Public Sans" w:cs="Arial"/>
        </w:rPr>
        <w:t xml:space="preserve">See, eg, David A W Miller, </w:t>
      </w:r>
      <w:r w:rsidRPr="00410DAB">
        <w:rPr>
          <w:rFonts w:ascii="Public Sans" w:hAnsi="Public Sans" w:cs="Arial"/>
          <w:i/>
          <w:iCs/>
        </w:rPr>
        <w:t>Preliminary Submission PAD15</w:t>
      </w:r>
      <w:r w:rsidRPr="00410DAB">
        <w:rPr>
          <w:rFonts w:ascii="Public Sans" w:hAnsi="Public Sans" w:cs="Arial"/>
        </w:rPr>
        <w:t xml:space="preserve">, 3; Freedom for Faith, </w:t>
      </w:r>
      <w:r w:rsidRPr="00410DAB">
        <w:rPr>
          <w:rFonts w:ascii="Public Sans" w:hAnsi="Public Sans" w:cs="Arial"/>
          <w:i/>
          <w:iCs/>
        </w:rPr>
        <w:t>Preliminary Submission PAD25</w:t>
      </w:r>
      <w:r w:rsidRPr="00410DAB">
        <w:rPr>
          <w:rFonts w:ascii="Public Sans" w:hAnsi="Public Sans" w:cs="Arial"/>
        </w:rPr>
        <w:t xml:space="preserve">, 5; Adventist Schools Australia, Australian Association of Christian Schools, Christian Schools Australia, </w:t>
      </w:r>
      <w:r w:rsidRPr="00410DAB">
        <w:rPr>
          <w:rFonts w:ascii="Public Sans" w:hAnsi="Public Sans" w:cs="Arial"/>
          <w:i/>
          <w:iCs/>
        </w:rPr>
        <w:t>Preliminary Submission PAD26</w:t>
      </w:r>
      <w:r w:rsidRPr="00410DAB">
        <w:rPr>
          <w:rFonts w:ascii="Public Sans" w:hAnsi="Public Sans" w:cs="Arial"/>
        </w:rPr>
        <w:t xml:space="preserve">, 4; Presbyterian Church of Australia in New South Wales, </w:t>
      </w:r>
      <w:r w:rsidRPr="00410DAB">
        <w:rPr>
          <w:rFonts w:ascii="Public Sans" w:hAnsi="Public Sans" w:cs="Arial"/>
          <w:i/>
          <w:iCs/>
        </w:rPr>
        <w:t>Preliminary Submission PAD56</w:t>
      </w:r>
      <w:r w:rsidRPr="00410DAB">
        <w:rPr>
          <w:rFonts w:ascii="Public Sans" w:hAnsi="Public Sans" w:cs="Arial"/>
        </w:rPr>
        <w:t xml:space="preserve">, 3, 7; Family First Party Australia, </w:t>
      </w:r>
      <w:r w:rsidRPr="00410DAB">
        <w:rPr>
          <w:rFonts w:ascii="Public Sans" w:hAnsi="Public Sans" w:cs="Arial"/>
          <w:i/>
          <w:iCs/>
        </w:rPr>
        <w:t>Preliminary Submission PAD65</w:t>
      </w:r>
      <w:r w:rsidRPr="00410DAB">
        <w:rPr>
          <w:rFonts w:ascii="Public Sans" w:hAnsi="Public Sans" w:cs="Arial"/>
        </w:rPr>
        <w:t xml:space="preserve"> [5.3.2]; Catholic Schools NSW, </w:t>
      </w:r>
      <w:r w:rsidRPr="00410DAB">
        <w:rPr>
          <w:rFonts w:ascii="Public Sans" w:hAnsi="Public Sans" w:cs="Arial"/>
          <w:i/>
          <w:iCs/>
        </w:rPr>
        <w:t>Preliminary Submission PAD80</w:t>
      </w:r>
      <w:r w:rsidRPr="00410DAB">
        <w:rPr>
          <w:rFonts w:ascii="Public Sans" w:hAnsi="Public Sans" w:cs="Arial"/>
        </w:rPr>
        <w:t>, 3.</w:t>
      </w:r>
    </w:p>
  </w:footnote>
  <w:footnote w:id="668">
    <w:p w14:paraId="33D08CD2"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color w:val="000000" w:themeColor="text1"/>
        </w:rPr>
        <w:t xml:space="preserve">Respect Inc, </w:t>
      </w:r>
      <w:r w:rsidRPr="00410DAB">
        <w:rPr>
          <w:rFonts w:ascii="Public Sans" w:hAnsi="Public Sans" w:cs="Arial"/>
          <w:i/>
          <w:iCs/>
          <w:color w:val="000000" w:themeColor="text1"/>
        </w:rPr>
        <w:t>Preliminary Submission PAD57</w:t>
      </w:r>
      <w:r w:rsidRPr="00410DAB">
        <w:rPr>
          <w:rFonts w:ascii="Public Sans" w:hAnsi="Public Sans" w:cs="Arial"/>
          <w:color w:val="000000" w:themeColor="text1"/>
        </w:rPr>
        <w:t xml:space="preserve">, 7; Equality Australia, </w:t>
      </w:r>
      <w:r w:rsidRPr="00410DAB">
        <w:rPr>
          <w:rFonts w:ascii="Public Sans" w:hAnsi="Public Sans" w:cs="Arial"/>
          <w:i/>
          <w:iCs/>
          <w:color w:val="000000" w:themeColor="text1"/>
        </w:rPr>
        <w:t>Preliminary Submission PAD07</w:t>
      </w:r>
      <w:r w:rsidRPr="00410DAB">
        <w:rPr>
          <w:rFonts w:ascii="Public Sans" w:hAnsi="Public Sans" w:cs="Arial"/>
          <w:color w:val="000000" w:themeColor="text1"/>
        </w:rPr>
        <w:t xml:space="preserve">, 12; Independent Education Union of Australia NSW/ACT Branch, </w:t>
      </w:r>
      <w:r w:rsidRPr="00410DAB">
        <w:rPr>
          <w:rFonts w:ascii="Public Sans" w:hAnsi="Public Sans" w:cs="Arial"/>
          <w:i/>
          <w:iCs/>
          <w:color w:val="000000" w:themeColor="text1"/>
        </w:rPr>
        <w:t>Preliminary Submission PAD19</w:t>
      </w:r>
      <w:r w:rsidRPr="00410DAB">
        <w:rPr>
          <w:rFonts w:ascii="Public Sans" w:hAnsi="Public Sans" w:cs="Arial"/>
          <w:color w:val="000000" w:themeColor="text1"/>
        </w:rPr>
        <w:t xml:space="preserve">, 1; HIV/AIDS Legal Centre, Positive Life NSW, </w:t>
      </w:r>
      <w:r w:rsidRPr="00410DAB">
        <w:rPr>
          <w:rFonts w:ascii="Public Sans" w:hAnsi="Public Sans" w:cs="Arial"/>
          <w:i/>
          <w:iCs/>
          <w:color w:val="000000" w:themeColor="text1"/>
        </w:rPr>
        <w:t>Preliminary Submission PAD60</w:t>
      </w:r>
      <w:r w:rsidRPr="00410DAB">
        <w:rPr>
          <w:rFonts w:ascii="Public Sans" w:hAnsi="Public Sans" w:cs="Arial"/>
          <w:color w:val="000000" w:themeColor="text1"/>
        </w:rPr>
        <w:t xml:space="preserve">, 18; Australian Lawyers for Human Rights, </w:t>
      </w:r>
      <w:r w:rsidRPr="00410DAB">
        <w:rPr>
          <w:rFonts w:ascii="Public Sans" w:hAnsi="Public Sans" w:cs="Arial"/>
          <w:i/>
          <w:iCs/>
          <w:color w:val="000000" w:themeColor="text1"/>
        </w:rPr>
        <w:t>Preliminary Submission PAD62</w:t>
      </w:r>
      <w:r w:rsidRPr="00410DAB">
        <w:rPr>
          <w:rFonts w:ascii="Public Sans" w:hAnsi="Public Sans" w:cs="Arial"/>
          <w:color w:val="000000" w:themeColor="text1"/>
        </w:rPr>
        <w:t xml:space="preserve">, 7; Sex Workers Outreach Project NSW, </w:t>
      </w:r>
      <w:r w:rsidRPr="00410DAB">
        <w:rPr>
          <w:rFonts w:ascii="Public Sans" w:hAnsi="Public Sans" w:cs="Arial"/>
          <w:i/>
          <w:iCs/>
          <w:color w:val="000000" w:themeColor="text1"/>
        </w:rPr>
        <w:t>Preliminary Submission PAD77</w:t>
      </w:r>
      <w:r w:rsidRPr="00410DAB">
        <w:rPr>
          <w:rFonts w:ascii="Public Sans" w:hAnsi="Public Sans" w:cs="Arial"/>
          <w:color w:val="000000" w:themeColor="text1"/>
        </w:rPr>
        <w:t xml:space="preserve">, 3; Unions NSW, </w:t>
      </w:r>
      <w:r w:rsidRPr="00410DAB">
        <w:rPr>
          <w:rFonts w:ascii="Public Sans" w:hAnsi="Public Sans" w:cs="Arial"/>
          <w:i/>
          <w:iCs/>
          <w:color w:val="000000" w:themeColor="text1"/>
        </w:rPr>
        <w:t>Preliminary Submission PAD90</w:t>
      </w:r>
      <w:r w:rsidRPr="00410DAB">
        <w:rPr>
          <w:rFonts w:ascii="Public Sans" w:hAnsi="Public Sans" w:cs="Arial"/>
          <w:color w:val="000000" w:themeColor="text1"/>
        </w:rPr>
        <w:t>, 12.</w:t>
      </w:r>
    </w:p>
  </w:footnote>
  <w:footnote w:id="669">
    <w:p w14:paraId="62B73027"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Equality Australia, </w:t>
      </w:r>
      <w:r w:rsidRPr="00410DAB">
        <w:rPr>
          <w:rFonts w:ascii="Public Sans" w:hAnsi="Public Sans" w:cs="Arial"/>
          <w:i/>
          <w:iCs/>
        </w:rPr>
        <w:t>Dismissed, Denied and Demeaned: A National Report on LGBTQ+ Discrimination in Faith-Based Schools and Organisation</w:t>
      </w:r>
      <w:r w:rsidRPr="00410DAB">
        <w:rPr>
          <w:rFonts w:ascii="Public Sans" w:hAnsi="Public Sans" w:cs="Arial"/>
        </w:rPr>
        <w:t>s (2024) 61, 68.</w:t>
      </w:r>
    </w:p>
  </w:footnote>
  <w:footnote w:id="670">
    <w:p w14:paraId="28BF2D2C"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color w:val="000000" w:themeColor="text1"/>
        </w:rPr>
        <w:t xml:space="preserve">Equality Australia, </w:t>
      </w:r>
      <w:r w:rsidRPr="00410DAB">
        <w:rPr>
          <w:rFonts w:ascii="Public Sans" w:hAnsi="Public Sans" w:cs="Arial"/>
          <w:i/>
          <w:iCs/>
          <w:color w:val="000000" w:themeColor="text1"/>
        </w:rPr>
        <w:t>Preliminary Submission PAD07</w:t>
      </w:r>
      <w:r w:rsidRPr="00410DAB">
        <w:rPr>
          <w:rFonts w:ascii="Public Sans" w:hAnsi="Public Sans" w:cs="Arial"/>
          <w:color w:val="000000" w:themeColor="text1"/>
        </w:rPr>
        <w:t xml:space="preserve">, </w:t>
      </w:r>
      <w:r w:rsidRPr="00410DAB">
        <w:rPr>
          <w:rFonts w:ascii="Public Sans" w:hAnsi="Public Sans"/>
          <w:color w:val="000000" w:themeColor="text1"/>
        </w:rPr>
        <w:t>3.</w:t>
      </w:r>
    </w:p>
  </w:footnote>
  <w:footnote w:id="671">
    <w:p w14:paraId="4934C521"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Independent Education Union of Australia NSW/ACT Branch, </w:t>
      </w:r>
      <w:r w:rsidRPr="00410DAB">
        <w:rPr>
          <w:rFonts w:ascii="Public Sans" w:hAnsi="Public Sans" w:cs="Arial"/>
          <w:i/>
          <w:iCs/>
        </w:rPr>
        <w:t>Preliminary Submission PAD19</w:t>
      </w:r>
      <w:r w:rsidRPr="00410DAB">
        <w:rPr>
          <w:rFonts w:ascii="Public Sans" w:hAnsi="Public Sans" w:cs="Arial"/>
        </w:rPr>
        <w:t>, 1.</w:t>
      </w:r>
    </w:p>
  </w:footnote>
  <w:footnote w:id="672">
    <w:p w14:paraId="087B5C28"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Lawyers for Human Rights, </w:t>
      </w:r>
      <w:r w:rsidRPr="00410DAB">
        <w:rPr>
          <w:rFonts w:ascii="Public Sans" w:hAnsi="Public Sans" w:cs="Arial"/>
          <w:i/>
          <w:iCs/>
        </w:rPr>
        <w:t>Preliminary Submission PAD62</w:t>
      </w:r>
      <w:r w:rsidRPr="00410DAB">
        <w:rPr>
          <w:rFonts w:ascii="Public Sans" w:hAnsi="Public Sans" w:cs="Arial"/>
        </w:rPr>
        <w:t>, 3.</w:t>
      </w:r>
    </w:p>
  </w:footnote>
  <w:footnote w:id="673">
    <w:p w14:paraId="7F8B23D9"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Style w:val="normaltextrun"/>
          <w:rFonts w:ascii="Public Sans" w:hAnsi="Public Sans" w:cs="Arial"/>
          <w:color w:val="000000"/>
          <w:szCs w:val="18"/>
          <w:shd w:val="clear" w:color="auto" w:fill="FFFFFF"/>
        </w:rPr>
        <w:t xml:space="preserve">NSW, </w:t>
      </w:r>
      <w:r w:rsidRPr="00410DAB">
        <w:rPr>
          <w:rStyle w:val="findhit"/>
          <w:rFonts w:ascii="Public Sans" w:hAnsi="Public Sans" w:cs="Arial"/>
          <w:color w:val="000000"/>
          <w:szCs w:val="18"/>
          <w:shd w:val="clear" w:color="auto" w:fill="FFFFFF"/>
        </w:rPr>
        <w:t>Legislative Council</w:t>
      </w:r>
      <w:r w:rsidRPr="00410DAB">
        <w:rPr>
          <w:rStyle w:val="normaltextrun"/>
          <w:rFonts w:ascii="Public Sans" w:hAnsi="Public Sans" w:cs="Arial"/>
          <w:color w:val="000000"/>
          <w:szCs w:val="18"/>
          <w:shd w:val="clear" w:color="auto" w:fill="FFFFFF"/>
        </w:rPr>
        <w:t xml:space="preserve"> Portfolio Committee No 3, </w:t>
      </w:r>
      <w:r w:rsidRPr="00410DAB">
        <w:rPr>
          <w:rStyle w:val="normaltextrun"/>
          <w:rFonts w:ascii="Public Sans" w:hAnsi="Public Sans" w:cs="Arial"/>
          <w:i/>
          <w:iCs/>
          <w:color w:val="000000"/>
          <w:szCs w:val="18"/>
          <w:shd w:val="clear" w:color="auto" w:fill="FFFFFF"/>
        </w:rPr>
        <w:t>Children and Young People with Disability in New South Wales Educational Settings</w:t>
      </w:r>
      <w:r w:rsidRPr="00410DAB">
        <w:rPr>
          <w:rStyle w:val="normaltextrun"/>
          <w:rFonts w:ascii="Public Sans" w:hAnsi="Public Sans" w:cs="Arial"/>
          <w:color w:val="000000"/>
          <w:szCs w:val="18"/>
          <w:shd w:val="clear" w:color="auto" w:fill="FFFFFF"/>
        </w:rPr>
        <w:t xml:space="preserve">, Report 52 (2024) rec 24, [3.75]. </w:t>
      </w:r>
    </w:p>
  </w:footnote>
  <w:footnote w:id="674">
    <w:p w14:paraId="17EB3A50"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NSW Law Reform Commission, </w:t>
      </w:r>
      <w:r w:rsidRPr="00410DAB">
        <w:rPr>
          <w:rFonts w:ascii="Public Sans" w:hAnsi="Public Sans" w:cs="Arial"/>
          <w:i/>
          <w:iCs/>
        </w:rPr>
        <w:t>Review of the Anti-Discrimination Act 1977 (NSW</w:t>
      </w:r>
      <w:r w:rsidRPr="00410DAB">
        <w:rPr>
          <w:rFonts w:ascii="Public Sans" w:hAnsi="Public Sans" w:cs="Arial"/>
        </w:rPr>
        <w:t xml:space="preserve">), Report 92 (1999) [4.119]; Australian Law Reform Commission, </w:t>
      </w:r>
      <w:r w:rsidRPr="00410DAB">
        <w:rPr>
          <w:rFonts w:ascii="Public Sans" w:hAnsi="Public Sans" w:cs="Arial"/>
          <w:i/>
          <w:iCs/>
        </w:rPr>
        <w:t>Maximising the Realisation of Human Rights: Religious Educational Institutions and Anti-Discrimination Laws</w:t>
      </w:r>
      <w:r w:rsidRPr="00410DAB">
        <w:rPr>
          <w:rFonts w:ascii="Public Sans" w:hAnsi="Public Sans" w:cs="Arial"/>
        </w:rPr>
        <w:t>, Report 142 (2023) [2.23].</w:t>
      </w:r>
    </w:p>
  </w:footnote>
  <w:footnote w:id="675">
    <w:p w14:paraId="3628D9EB"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56(c)–(d).</w:t>
      </w:r>
    </w:p>
  </w:footnote>
  <w:footnote w:id="676">
    <w:p w14:paraId="583CD174"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rec 16, [4.104]–[4.106].</w:t>
      </w:r>
    </w:p>
  </w:footnote>
  <w:footnote w:id="677">
    <w:p w14:paraId="303C3B1D"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4(1) definition of “private educational authority”. </w:t>
      </w:r>
    </w:p>
  </w:footnote>
  <w:footnote w:id="678">
    <w:p w14:paraId="11B49790"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xml:space="preserve"> Review of the Anti-Discrimination Act 1977 (NSW)</w:t>
      </w:r>
      <w:r w:rsidRPr="00410DAB">
        <w:rPr>
          <w:rFonts w:ascii="Public Sans" w:hAnsi="Public Sans" w:cs="Arial"/>
        </w:rPr>
        <w:t>, Report 92 (1999) [4.106].</w:t>
      </w:r>
    </w:p>
  </w:footnote>
  <w:footnote w:id="679">
    <w:p w14:paraId="5827227D"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315" w:name="_Hlk193290113"/>
      <w:r w:rsidRPr="00410DAB">
        <w:rPr>
          <w:rFonts w:ascii="Public Sans" w:hAnsi="Public Sans" w:cs="Arial"/>
        </w:rPr>
        <w:t xml:space="preserve">NSW, Centre for Education Statistics and Evaluation, </w:t>
      </w:r>
      <w:r w:rsidRPr="00410DAB">
        <w:rPr>
          <w:rFonts w:ascii="Public Sans" w:hAnsi="Public Sans" w:cs="Arial"/>
          <w:i/>
          <w:iCs/>
        </w:rPr>
        <w:t>Schools and Students: 2023 Statistical Bulletin</w:t>
      </w:r>
      <w:r w:rsidRPr="00410DAB">
        <w:rPr>
          <w:rFonts w:ascii="Public Sans" w:hAnsi="Public Sans" w:cs="Arial"/>
        </w:rPr>
        <w:t xml:space="preserve"> (2024) 2.</w:t>
      </w:r>
      <w:bookmarkEnd w:id="315"/>
    </w:p>
  </w:footnote>
  <w:footnote w:id="680">
    <w:p w14:paraId="7062F192"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Association of Independent Schools of NSW, </w:t>
      </w:r>
      <w:r w:rsidRPr="00410DAB">
        <w:rPr>
          <w:rFonts w:ascii="Public Sans" w:hAnsi="Public Sans" w:cs="Arial"/>
          <w:i/>
          <w:iCs/>
        </w:rPr>
        <w:t>Independent Schools in NSW Snapshot</w:t>
      </w:r>
      <w:r w:rsidRPr="00410DAB">
        <w:rPr>
          <w:rFonts w:ascii="Public Sans" w:hAnsi="Public Sans" w:cs="Arial"/>
        </w:rPr>
        <w:t xml:space="preserve"> (2024) 2–3.</w:t>
      </w:r>
    </w:p>
  </w:footnote>
  <w:footnote w:id="681">
    <w:p w14:paraId="1EDA57EA"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 Productivity Commission, </w:t>
      </w:r>
      <w:r w:rsidRPr="00410DAB">
        <w:rPr>
          <w:rFonts w:ascii="Public Sans" w:hAnsi="Public Sans" w:cs="Arial"/>
          <w:i/>
          <w:iCs/>
        </w:rPr>
        <w:t>Report on Government Services 2025: Child Care, Education and Training</w:t>
      </w:r>
      <w:r w:rsidRPr="00410DAB">
        <w:rPr>
          <w:rFonts w:ascii="Public Sans" w:hAnsi="Public Sans" w:cs="Arial"/>
        </w:rPr>
        <w:t xml:space="preserve">, (part B) (2025) table 4A.2. </w:t>
      </w:r>
    </w:p>
  </w:footnote>
  <w:footnote w:id="682">
    <w:p w14:paraId="396B78CF"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25(3)(c), s 38C(3)(c), s 40(3)(c), s 49D(3)(c), s 49ZH(3)(c).</w:t>
      </w:r>
    </w:p>
  </w:footnote>
  <w:footnote w:id="683">
    <w:p w14:paraId="6B067E01" w14:textId="77777777" w:rsidR="006A1316" w:rsidRPr="00410DAB" w:rsidRDefault="006A1316" w:rsidP="006A1316">
      <w:pPr>
        <w:pStyle w:val="FootnoteText"/>
        <w:rPr>
          <w:rFonts w:ascii="Public Sans" w:hAnsi="Public Sans" w:cs="Arial"/>
          <w:color w:val="0070C0"/>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i/>
          <w:iCs/>
        </w:rPr>
        <w:t>Anti-Discrimination Act 1977</w:t>
      </w:r>
      <w:r w:rsidRPr="00410DAB">
        <w:rPr>
          <w:rFonts w:ascii="Public Sans" w:hAnsi="Public Sans" w:cs="Arial"/>
        </w:rPr>
        <w:t xml:space="preserve"> (NSW) s 25(2), s 25(3)(c).</w:t>
      </w:r>
    </w:p>
  </w:footnote>
  <w:footnote w:id="684">
    <w:p w14:paraId="731CE046"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Sex Discrimination Act 1984</w:t>
      </w:r>
      <w:r w:rsidRPr="00410DAB">
        <w:rPr>
          <w:rFonts w:ascii="Public Sans" w:hAnsi="Public Sans" w:cs="Arial"/>
        </w:rPr>
        <w:t xml:space="preserve"> (Cth) s 38(1); </w:t>
      </w:r>
      <w:r w:rsidRPr="00410DAB">
        <w:rPr>
          <w:rFonts w:ascii="Public Sans" w:hAnsi="Public Sans" w:cs="Arial"/>
          <w:i/>
          <w:iCs/>
        </w:rPr>
        <w:t>Anti-Discrimination Act 1998</w:t>
      </w:r>
      <w:r w:rsidRPr="00410DAB">
        <w:rPr>
          <w:rFonts w:ascii="Public Sans" w:hAnsi="Public Sans" w:cs="Arial"/>
        </w:rPr>
        <w:t xml:space="preserve"> (Tas) s 51(2); </w:t>
      </w:r>
      <w:r w:rsidRPr="00410DAB">
        <w:rPr>
          <w:rFonts w:ascii="Public Sans" w:hAnsi="Public Sans" w:cs="Arial"/>
          <w:i/>
          <w:iCs/>
        </w:rPr>
        <w:t>Discrimination Act 1991</w:t>
      </w:r>
      <w:r w:rsidRPr="00410DAB">
        <w:rPr>
          <w:rFonts w:ascii="Public Sans" w:hAnsi="Public Sans" w:cs="Arial"/>
        </w:rPr>
        <w:t xml:space="preserve"> (ACT) s 46(2); </w:t>
      </w:r>
      <w:r w:rsidRPr="00410DAB">
        <w:rPr>
          <w:rFonts w:ascii="Public Sans" w:hAnsi="Public Sans" w:cs="Arial"/>
          <w:i/>
          <w:iCs/>
        </w:rPr>
        <w:t>Equal Opportunity Act 2010</w:t>
      </w:r>
      <w:r w:rsidRPr="00410DAB">
        <w:rPr>
          <w:rFonts w:ascii="Public Sans" w:hAnsi="Public Sans" w:cs="Arial"/>
        </w:rPr>
        <w:t xml:space="preserve"> (Vic) s 83A; </w:t>
      </w:r>
      <w:r w:rsidRPr="00410DAB">
        <w:rPr>
          <w:rFonts w:ascii="Public Sans" w:hAnsi="Public Sans" w:cs="Arial"/>
          <w:i/>
          <w:iCs/>
        </w:rPr>
        <w:t>Equal Opportunity Act</w:t>
      </w:r>
      <w:r w:rsidRPr="00410DAB">
        <w:rPr>
          <w:rFonts w:ascii="Public Sans" w:hAnsi="Public Sans" w:cs="Arial"/>
        </w:rPr>
        <w:t xml:space="preserve"> 1984 (SA) s 34(3); </w:t>
      </w:r>
      <w:r w:rsidRPr="00410DAB">
        <w:rPr>
          <w:rFonts w:ascii="Public Sans" w:hAnsi="Public Sans" w:cs="Arial"/>
          <w:i/>
          <w:iCs/>
        </w:rPr>
        <w:t>Equal Opportunity Act 1984</w:t>
      </w:r>
      <w:r w:rsidRPr="00410DAB">
        <w:rPr>
          <w:rFonts w:ascii="Public Sans" w:hAnsi="Public Sans" w:cs="Arial"/>
        </w:rPr>
        <w:t xml:space="preserve"> (WA) s 73(1)–(2); </w:t>
      </w:r>
      <w:r w:rsidRPr="00410DAB">
        <w:rPr>
          <w:rFonts w:ascii="Public Sans" w:hAnsi="Public Sans" w:cs="Arial"/>
          <w:i/>
          <w:iCs/>
        </w:rPr>
        <w:t>Anti-Discrimination Act 1991</w:t>
      </w:r>
      <w:r w:rsidRPr="00410DAB">
        <w:rPr>
          <w:rFonts w:ascii="Public Sans" w:hAnsi="Public Sans" w:cs="Arial"/>
        </w:rPr>
        <w:t xml:space="preserve"> (Qld) s 25.</w:t>
      </w:r>
    </w:p>
  </w:footnote>
  <w:footnote w:id="685">
    <w:p w14:paraId="35D4DDA2"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Sex Discrimination Act 1984</w:t>
      </w:r>
      <w:r w:rsidRPr="00410DAB">
        <w:rPr>
          <w:rFonts w:ascii="Public Sans" w:hAnsi="Public Sans" w:cs="Arial"/>
        </w:rPr>
        <w:t xml:space="preserve"> (Cth) s 38(1).</w:t>
      </w:r>
    </w:p>
  </w:footnote>
  <w:footnote w:id="686">
    <w:p w14:paraId="42476199"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i/>
          <w:iCs/>
        </w:rPr>
        <w:t xml:space="preserve">Disability Discrimination Act 1992 </w:t>
      </w:r>
      <w:r w:rsidRPr="00410DAB">
        <w:rPr>
          <w:rFonts w:ascii="Public Sans" w:hAnsi="Public Sans" w:cs="Arial"/>
        </w:rPr>
        <w:t xml:space="preserve">(Cth); </w:t>
      </w:r>
      <w:r w:rsidRPr="00410DAB">
        <w:rPr>
          <w:rFonts w:ascii="Public Sans" w:hAnsi="Public Sans" w:cs="Arial"/>
          <w:i/>
          <w:iCs/>
        </w:rPr>
        <w:t xml:space="preserve">Racial Discrimination Act 1975 </w:t>
      </w:r>
      <w:r w:rsidRPr="00410DAB">
        <w:rPr>
          <w:rFonts w:ascii="Public Sans" w:hAnsi="Public Sans" w:cs="Arial"/>
        </w:rPr>
        <w:t xml:space="preserve">(Cth); </w:t>
      </w:r>
      <w:r w:rsidRPr="00410DAB">
        <w:rPr>
          <w:rFonts w:ascii="Public Sans" w:hAnsi="Public Sans" w:cs="Arial"/>
          <w:i/>
          <w:iCs/>
        </w:rPr>
        <w:t>Anti-Discrimination Act 1992</w:t>
      </w:r>
      <w:r w:rsidRPr="00410DAB">
        <w:rPr>
          <w:rFonts w:ascii="Public Sans" w:hAnsi="Public Sans" w:cs="Arial"/>
        </w:rPr>
        <w:t xml:space="preserve"> (NT).</w:t>
      </w:r>
    </w:p>
  </w:footnote>
  <w:footnote w:id="687">
    <w:p w14:paraId="47780AF1"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Amendment Act 2022</w:t>
      </w:r>
      <w:r w:rsidRPr="00410DAB">
        <w:rPr>
          <w:rFonts w:ascii="Public Sans" w:hAnsi="Public Sans" w:cs="Arial"/>
        </w:rPr>
        <w:t xml:space="preserve"> (NT) s 17, repealing </w:t>
      </w:r>
      <w:r w:rsidRPr="00410DAB">
        <w:rPr>
          <w:rFonts w:ascii="Public Sans" w:hAnsi="Public Sans" w:cs="Arial"/>
          <w:i/>
          <w:iCs/>
        </w:rPr>
        <w:t>Anti-Discrimination Act 1992</w:t>
      </w:r>
      <w:r w:rsidRPr="00410DAB">
        <w:rPr>
          <w:rFonts w:ascii="Public Sans" w:hAnsi="Public Sans" w:cs="Arial"/>
        </w:rPr>
        <w:t xml:space="preserve"> (NT) s 37A. </w:t>
      </w:r>
    </w:p>
  </w:footnote>
  <w:footnote w:id="688">
    <w:p w14:paraId="634889A7" w14:textId="3929D3F1" w:rsidR="006A1316" w:rsidRPr="00410DAB" w:rsidRDefault="006A1316" w:rsidP="006A1316">
      <w:pPr>
        <w:pStyle w:val="FootnoteText"/>
        <w:rPr>
          <w:rFonts w:ascii="Public Sans" w:hAnsi="Public Sans" w:cs="Arial"/>
          <w:color w:val="000000" w:themeColor="text1"/>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Northern Territory Attorney-General’s Department, “Modernising the Anti-Discrimination Act 1992” &lt;</w:t>
      </w:r>
      <w:hyperlink r:id="rId19" w:history="1">
        <w:r w:rsidRPr="00410DAB">
          <w:rPr>
            <w:rStyle w:val="Hyperlink"/>
            <w:rFonts w:ascii="Public Sans" w:hAnsi="Public Sans" w:cs="Arial"/>
          </w:rPr>
          <w:t>agd.nt.gov.au/law-reform-reviews/law-reforms/modernising-the-anti-discrimination-act-1992</w:t>
        </w:r>
      </w:hyperlink>
      <w:r w:rsidRPr="00410DAB">
        <w:rPr>
          <w:rFonts w:ascii="Public Sans" w:hAnsi="Public Sans" w:cs="Arial"/>
        </w:rPr>
        <w:t xml:space="preserve">&gt; </w:t>
      </w:r>
      <w:r w:rsidRPr="00410DAB">
        <w:rPr>
          <w:rFonts w:ascii="Public Sans" w:hAnsi="Public Sans" w:cs="Arial"/>
          <w:color w:val="000000" w:themeColor="text1"/>
        </w:rPr>
        <w:t>(retrieved 19 March 2025).</w:t>
      </w:r>
    </w:p>
  </w:footnote>
  <w:footnote w:id="689">
    <w:p w14:paraId="70D5BE28"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1992</w:t>
      </w:r>
      <w:r w:rsidRPr="00410DAB">
        <w:rPr>
          <w:rFonts w:ascii="Public Sans" w:hAnsi="Public Sans" w:cs="Arial"/>
        </w:rPr>
        <w:t xml:space="preserve"> (NT) s 35(1)(b)(i).</w:t>
      </w:r>
    </w:p>
  </w:footnote>
  <w:footnote w:id="690">
    <w:p w14:paraId="52ECF359"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318" w:name="_Hlk195098273"/>
      <w:r w:rsidRPr="00410DAB">
        <w:rPr>
          <w:rFonts w:ascii="Public Sans" w:hAnsi="Public Sans" w:cs="Arial"/>
        </w:rPr>
        <w:t xml:space="preserve">M Garrick, “NT's CLP Government Confirms Plans to Scrap Labor's Hate Speech Changes” (2 March 2025) </w:t>
      </w:r>
      <w:r w:rsidRPr="00410DAB">
        <w:rPr>
          <w:rFonts w:ascii="Public Sans" w:hAnsi="Public Sans" w:cs="Arial"/>
          <w:i/>
          <w:iCs/>
        </w:rPr>
        <w:t>ABC News</w:t>
      </w:r>
      <w:r w:rsidRPr="00410DAB">
        <w:rPr>
          <w:rFonts w:ascii="Public Sans" w:hAnsi="Public Sans" w:cs="Arial"/>
        </w:rPr>
        <w:t xml:space="preserve"> &lt;</w:t>
      </w:r>
      <w:hyperlink r:id="rId20" w:history="1">
        <w:r w:rsidRPr="00410DAB">
          <w:rPr>
            <w:rStyle w:val="Hyperlink"/>
            <w:rFonts w:ascii="Public Sans" w:hAnsi="Public Sans" w:cs="Arial"/>
          </w:rPr>
          <w:t>www.abc.net.au/news/2025-03-02/nt-anti-discrimination-hate-speech-laws-repealed/104991288</w:t>
        </w:r>
      </w:hyperlink>
      <w:r w:rsidRPr="00410DAB">
        <w:rPr>
          <w:rFonts w:ascii="Public Sans" w:hAnsi="Public Sans" w:cs="Arial"/>
        </w:rPr>
        <w:t>&gt; (retrieved 9 April 2025).</w:t>
      </w:r>
      <w:bookmarkEnd w:id="318"/>
    </w:p>
  </w:footnote>
  <w:footnote w:id="691">
    <w:p w14:paraId="6740900C"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1998</w:t>
      </w:r>
      <w:r w:rsidRPr="00410DAB">
        <w:rPr>
          <w:rFonts w:ascii="Public Sans" w:hAnsi="Public Sans" w:cs="Arial"/>
        </w:rPr>
        <w:t xml:space="preserve"> (Tas) s 51(2); </w:t>
      </w:r>
      <w:r w:rsidRPr="00410DAB">
        <w:rPr>
          <w:rFonts w:ascii="Public Sans" w:hAnsi="Public Sans" w:cs="Arial"/>
          <w:i/>
          <w:iCs/>
        </w:rPr>
        <w:t>Discrimination Act 1991</w:t>
      </w:r>
      <w:r w:rsidRPr="00410DAB">
        <w:rPr>
          <w:rFonts w:ascii="Public Sans" w:hAnsi="Public Sans" w:cs="Arial"/>
        </w:rPr>
        <w:t xml:space="preserve"> (ACT) s 46(2); </w:t>
      </w:r>
      <w:r w:rsidRPr="00410DAB">
        <w:rPr>
          <w:rFonts w:ascii="Public Sans" w:hAnsi="Public Sans" w:cs="Arial"/>
          <w:i/>
          <w:iCs/>
        </w:rPr>
        <w:t xml:space="preserve">Equal Opportunity </w:t>
      </w:r>
      <w:r w:rsidRPr="00410DAB">
        <w:rPr>
          <w:rFonts w:ascii="Public Sans" w:hAnsi="Public Sans" w:cs="Arial"/>
          <w:i/>
          <w:iCs/>
          <w:color w:val="000000" w:themeColor="text1"/>
        </w:rPr>
        <w:t>Act 2010</w:t>
      </w:r>
      <w:r w:rsidRPr="00410DAB">
        <w:rPr>
          <w:rFonts w:ascii="Public Sans" w:hAnsi="Public Sans" w:cs="Arial"/>
          <w:color w:val="000000" w:themeColor="text1"/>
        </w:rPr>
        <w:t xml:space="preserve"> (Vic) s 83A.</w:t>
      </w:r>
    </w:p>
  </w:footnote>
  <w:footnote w:id="692">
    <w:p w14:paraId="32E2F9B9"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Law Reform Commission, </w:t>
      </w:r>
      <w:r w:rsidRPr="00410DAB">
        <w:rPr>
          <w:rFonts w:ascii="Public Sans" w:hAnsi="Public Sans" w:cs="Arial"/>
          <w:i/>
          <w:iCs/>
        </w:rPr>
        <w:t>Maximising the Realisation of Human Rights: Religious Educational Institutions and Anti-Discrimination Laws</w:t>
      </w:r>
      <w:r w:rsidRPr="00410DAB">
        <w:rPr>
          <w:rFonts w:ascii="Public Sans" w:hAnsi="Public Sans" w:cs="Arial"/>
        </w:rPr>
        <w:t xml:space="preserve">, Report 142 (2023) rec 7(B). </w:t>
      </w:r>
    </w:p>
  </w:footnote>
  <w:footnote w:id="693">
    <w:p w14:paraId="4892EE1F"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Equality Australia, </w:t>
      </w:r>
      <w:r w:rsidRPr="00410DAB">
        <w:rPr>
          <w:rFonts w:ascii="Public Sans" w:hAnsi="Public Sans" w:cs="Arial"/>
          <w:i/>
          <w:iCs/>
        </w:rPr>
        <w:t>Dismissed, Denied and Demeaned: A National Report on LGBTQ+ Discrimination in Faith-Based Schools and Organisations</w:t>
      </w:r>
      <w:r w:rsidRPr="00410DAB">
        <w:rPr>
          <w:rFonts w:ascii="Public Sans" w:hAnsi="Public Sans" w:cs="Arial"/>
        </w:rPr>
        <w:t xml:space="preserve"> (2024) 9–10.</w:t>
      </w:r>
    </w:p>
  </w:footnote>
  <w:footnote w:id="694">
    <w:p w14:paraId="47C5F2C7"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szCs w:val="18"/>
        </w:rPr>
        <w:t xml:space="preserve">P Ruddock, </w:t>
      </w:r>
      <w:r w:rsidRPr="00410DAB">
        <w:rPr>
          <w:rFonts w:ascii="Public Sans" w:hAnsi="Public Sans" w:cs="Arial"/>
          <w:i/>
          <w:iCs/>
          <w:szCs w:val="18"/>
        </w:rPr>
        <w:t xml:space="preserve">Religious Freedom Review: Report of the Expert Panel </w:t>
      </w:r>
      <w:r w:rsidRPr="00410DAB">
        <w:rPr>
          <w:rFonts w:ascii="Public Sans" w:hAnsi="Public Sans" w:cs="Arial"/>
          <w:szCs w:val="18"/>
        </w:rPr>
        <w:t>(2018</w:t>
      </w:r>
      <w:r w:rsidRPr="00410DAB">
        <w:rPr>
          <w:rFonts w:ascii="Public Sans" w:hAnsi="Public Sans"/>
          <w:szCs w:val="18"/>
        </w:rPr>
        <w:t>)</w:t>
      </w:r>
      <w:r w:rsidRPr="00410DAB">
        <w:rPr>
          <w:rFonts w:ascii="Public Sans" w:hAnsi="Public Sans" w:cs="Arial"/>
        </w:rPr>
        <w:t xml:space="preserve"> rec 5– 6. </w:t>
      </w:r>
    </w:p>
  </w:footnote>
  <w:footnote w:id="695">
    <w:p w14:paraId="0FFF9C21" w14:textId="77777777" w:rsidR="006A1316" w:rsidRPr="00410DAB" w:rsidRDefault="006A1316" w:rsidP="006A1316">
      <w:pPr>
        <w:pStyle w:val="FootnoteText"/>
        <w:rPr>
          <w:rFonts w:ascii="Public Sans" w:hAnsi="Public Sans" w:cs="Arial"/>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NSW Law Reform Commission,</w:t>
      </w:r>
      <w:r w:rsidRPr="00410DAB">
        <w:rPr>
          <w:rFonts w:ascii="Public Sans" w:hAnsi="Public Sans" w:cs="Arial"/>
          <w:i/>
          <w:iCs/>
          <w:color w:val="000000" w:themeColor="text1"/>
        </w:rPr>
        <w:t xml:space="preserve"> Review of the Anti-Discrimination Act 1977 (NSW)</w:t>
      </w:r>
      <w:r w:rsidRPr="00410DAB">
        <w:rPr>
          <w:rFonts w:ascii="Public Sans" w:hAnsi="Public Sans" w:cs="Arial"/>
          <w:color w:val="000000" w:themeColor="text1"/>
        </w:rPr>
        <w:t xml:space="preserve">, Report 92 (1999) rec 16, rec 84, </w:t>
      </w:r>
      <w:r w:rsidRPr="00410DAB">
        <w:rPr>
          <w:rFonts w:ascii="Public Sans" w:hAnsi="Public Sans" w:cs="Arial"/>
        </w:rPr>
        <w:t>appendix A: Draft Anti-Discrimination Bill 1999,</w:t>
      </w:r>
      <w:r w:rsidRPr="00410DAB">
        <w:rPr>
          <w:rFonts w:ascii="Public Sans" w:hAnsi="Public Sans" w:cs="Arial"/>
          <w:color w:val="000000" w:themeColor="text1"/>
        </w:rPr>
        <w:t xml:space="preserve"> cl 28(5).</w:t>
      </w:r>
    </w:p>
  </w:footnote>
  <w:footnote w:id="696">
    <w:p w14:paraId="5C155DAD"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Sex Discrimination Act 1984</w:t>
      </w:r>
      <w:r w:rsidRPr="00410DAB">
        <w:rPr>
          <w:rFonts w:ascii="Public Sans" w:hAnsi="Public Sans" w:cs="Arial"/>
        </w:rPr>
        <w:t xml:space="preserve"> (Cth) s 38(1)–(2).</w:t>
      </w:r>
    </w:p>
  </w:footnote>
  <w:footnote w:id="697">
    <w:p w14:paraId="3AB79ED3"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Australian Law Reform Commission, </w:t>
      </w:r>
      <w:r w:rsidRPr="00410DAB">
        <w:rPr>
          <w:rFonts w:ascii="Public Sans" w:hAnsi="Public Sans" w:cs="Arial"/>
          <w:i/>
          <w:iCs/>
          <w:color w:val="000000" w:themeColor="text1"/>
        </w:rPr>
        <w:t>Maximising the Realisation of Human Rights: Religious Educational Institutions and Anti-Discrimination Laws</w:t>
      </w:r>
      <w:r w:rsidRPr="00410DAB">
        <w:rPr>
          <w:rFonts w:ascii="Public Sans" w:hAnsi="Public Sans" w:cs="Arial"/>
          <w:color w:val="000000" w:themeColor="text1"/>
        </w:rPr>
        <w:t>, Report 142 (2023) rec 1.</w:t>
      </w:r>
    </w:p>
  </w:footnote>
  <w:footnote w:id="698">
    <w:p w14:paraId="3154CA7D"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color w:val="000000" w:themeColor="text1"/>
          <w:szCs w:val="18"/>
        </w:rPr>
        <w:t xml:space="preserve">P Ruddock, </w:t>
      </w:r>
      <w:r w:rsidRPr="00410DAB">
        <w:rPr>
          <w:rFonts w:ascii="Public Sans" w:hAnsi="Public Sans" w:cs="Arial"/>
          <w:i/>
          <w:iCs/>
          <w:color w:val="000000" w:themeColor="text1"/>
          <w:szCs w:val="18"/>
        </w:rPr>
        <w:t xml:space="preserve">Religious Freedom Review: Report of the Expert Panel </w:t>
      </w:r>
      <w:r w:rsidRPr="00410DAB">
        <w:rPr>
          <w:rFonts w:ascii="Public Sans" w:hAnsi="Public Sans" w:cs="Arial"/>
          <w:color w:val="000000" w:themeColor="text1"/>
          <w:szCs w:val="18"/>
        </w:rPr>
        <w:t>(2018</w:t>
      </w:r>
      <w:r w:rsidRPr="00410DAB">
        <w:rPr>
          <w:rFonts w:ascii="Public Sans" w:hAnsi="Public Sans"/>
          <w:color w:val="000000" w:themeColor="text1"/>
          <w:szCs w:val="18"/>
        </w:rPr>
        <w:t>)</w:t>
      </w:r>
      <w:r w:rsidRPr="00410DAB">
        <w:rPr>
          <w:rFonts w:ascii="Public Sans" w:hAnsi="Public Sans" w:cs="Arial"/>
          <w:color w:val="000000" w:themeColor="text1"/>
        </w:rPr>
        <w:t xml:space="preserve"> rec 5(a).</w:t>
      </w:r>
    </w:p>
  </w:footnote>
  <w:footnote w:id="699">
    <w:p w14:paraId="1CE8DBFA"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rec 16.</w:t>
      </w:r>
    </w:p>
  </w:footnote>
  <w:footnote w:id="700">
    <w:p w14:paraId="2C4BD2FF"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 C Derrington, “Of Shields and Swords: Let the Jousting Begin!” (Paper presented at Freedom19 </w:t>
      </w:r>
      <w:r w:rsidRPr="00410DAB">
        <w:rPr>
          <w:rFonts w:ascii="Public Sans" w:hAnsi="Public Sans" w:cs="Arial"/>
          <w:color w:val="000000" w:themeColor="text1"/>
        </w:rPr>
        <w:t>Conference, Sydney, 4 September 2019) 8–9.</w:t>
      </w:r>
    </w:p>
  </w:footnote>
  <w:footnote w:id="701">
    <w:p w14:paraId="73EA5DEB"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S C Derrington, “Of Shields and Swords: Let the Jousting Begin!” (Paper presented at Freedom19 Conference, Sydney, 4 September 2019) 8–9.</w:t>
      </w:r>
    </w:p>
  </w:footnote>
  <w:footnote w:id="702">
    <w:p w14:paraId="0122060C"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46(4)–(5).</w:t>
      </w:r>
    </w:p>
  </w:footnote>
  <w:footnote w:id="703">
    <w:p w14:paraId="114EAFA3"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1984</w:t>
      </w:r>
      <w:r w:rsidRPr="00410DAB">
        <w:rPr>
          <w:rFonts w:ascii="Public Sans" w:hAnsi="Public Sans" w:cs="Arial"/>
        </w:rPr>
        <w:t xml:space="preserve"> (SA) s 34(3).</w:t>
      </w:r>
    </w:p>
  </w:footnote>
  <w:footnote w:id="704">
    <w:p w14:paraId="12B4B951"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color w:val="000000" w:themeColor="text1"/>
          <w:szCs w:val="18"/>
        </w:rPr>
        <w:t xml:space="preserve">P Ruddock, </w:t>
      </w:r>
      <w:r w:rsidRPr="00410DAB">
        <w:rPr>
          <w:rFonts w:ascii="Public Sans" w:hAnsi="Public Sans" w:cs="Arial"/>
          <w:i/>
          <w:iCs/>
          <w:color w:val="000000" w:themeColor="text1"/>
          <w:szCs w:val="18"/>
        </w:rPr>
        <w:t xml:space="preserve">Religious Freedom Review: Report of the Expert Panel </w:t>
      </w:r>
      <w:r w:rsidRPr="00410DAB">
        <w:rPr>
          <w:rFonts w:ascii="Public Sans" w:hAnsi="Public Sans" w:cs="Arial"/>
          <w:color w:val="000000" w:themeColor="text1"/>
          <w:szCs w:val="18"/>
        </w:rPr>
        <w:t>(2018</w:t>
      </w:r>
      <w:r w:rsidRPr="00410DAB">
        <w:rPr>
          <w:rFonts w:ascii="Public Sans" w:hAnsi="Public Sans"/>
          <w:color w:val="000000" w:themeColor="text1"/>
          <w:szCs w:val="18"/>
        </w:rPr>
        <w:t>)</w:t>
      </w:r>
      <w:r w:rsidRPr="00410DAB">
        <w:rPr>
          <w:rFonts w:ascii="Public Sans" w:hAnsi="Public Sans" w:cs="Arial"/>
          <w:color w:val="000000" w:themeColor="text1"/>
        </w:rPr>
        <w:t xml:space="preserve"> rec 5. </w:t>
      </w:r>
    </w:p>
  </w:footnote>
  <w:footnote w:id="705">
    <w:p w14:paraId="3A3600C6"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Equal Opportunity Act 2010</w:t>
      </w:r>
      <w:r w:rsidRPr="00410DAB">
        <w:rPr>
          <w:rFonts w:ascii="Public Sans" w:hAnsi="Public Sans" w:cs="Arial"/>
          <w:color w:val="000000" w:themeColor="text1"/>
        </w:rPr>
        <w:t xml:space="preserve"> (Vic) s 83A(1).</w:t>
      </w:r>
    </w:p>
  </w:footnote>
  <w:footnote w:id="706">
    <w:p w14:paraId="44C891CB"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Equal Opportunity Act 2010</w:t>
      </w:r>
      <w:r w:rsidRPr="00410DAB">
        <w:rPr>
          <w:rFonts w:ascii="Public Sans" w:hAnsi="Public Sans" w:cs="Arial"/>
          <w:color w:val="000000" w:themeColor="text1"/>
        </w:rPr>
        <w:t xml:space="preserve"> (Vic) s 82A(2).</w:t>
      </w:r>
    </w:p>
  </w:footnote>
  <w:footnote w:id="707">
    <w:p w14:paraId="5D8E0371"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Victoria, </w:t>
      </w:r>
      <w:r w:rsidRPr="00410DAB">
        <w:rPr>
          <w:rFonts w:ascii="Public Sans" w:hAnsi="Public Sans" w:cs="Arial"/>
          <w:i/>
          <w:iCs/>
          <w:color w:val="000000" w:themeColor="text1"/>
        </w:rPr>
        <w:t>Parliamentary Debates</w:t>
      </w:r>
      <w:r w:rsidRPr="00410DAB">
        <w:rPr>
          <w:rFonts w:ascii="Public Sans" w:hAnsi="Public Sans" w:cs="Arial"/>
          <w:color w:val="000000" w:themeColor="text1"/>
        </w:rPr>
        <w:t>, Legislative Council, Second Reading Speech, 19 November 2021, 4646.</w:t>
      </w:r>
    </w:p>
  </w:footnote>
  <w:footnote w:id="708">
    <w:p w14:paraId="2C26F911"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Law Reform Commission of Western Australia, </w:t>
      </w:r>
      <w:r w:rsidRPr="00410DAB">
        <w:rPr>
          <w:rFonts w:ascii="Public Sans" w:hAnsi="Public Sans" w:cs="Arial"/>
          <w:i/>
          <w:iCs/>
        </w:rPr>
        <w:t>Review of the Equal Opportunity Act 1984 (WA)</w:t>
      </w:r>
      <w:r w:rsidRPr="00410DAB">
        <w:rPr>
          <w:rFonts w:ascii="Public Sans" w:hAnsi="Public Sans" w:cs="Arial"/>
        </w:rPr>
        <w:t xml:space="preserve">, Project 111, Final Report (2022) rec 79; Queensland Human Rights Commission, </w:t>
      </w:r>
      <w:r w:rsidRPr="00410DAB">
        <w:rPr>
          <w:rFonts w:ascii="Public Sans" w:hAnsi="Public Sans" w:cs="Arial"/>
          <w:i/>
          <w:iCs/>
        </w:rPr>
        <w:t>Building Belonging: Review of Queensland’s Anti-Discrimination Act 1991</w:t>
      </w:r>
      <w:r w:rsidRPr="00410DAB">
        <w:rPr>
          <w:rFonts w:ascii="Public Sans" w:hAnsi="Public Sans" w:cs="Arial"/>
        </w:rPr>
        <w:t xml:space="preserve"> (2022) rec 39.2; South Australian Law Reform Institute,</w:t>
      </w:r>
      <w:r w:rsidRPr="00410DAB">
        <w:rPr>
          <w:rFonts w:ascii="Public Sans" w:hAnsi="Public Sans" w:cs="Arial"/>
          <w:i/>
          <w:iCs/>
        </w:rPr>
        <w:t xml:space="preserve"> “Lawful Discrimination”: Exceptions under the Equal Opportunity Act 1984 (SA) to Unlawful Discrimination on the Grounds of Gender Identity, Sexual Orientation and Intersex </w:t>
      </w:r>
      <w:r w:rsidRPr="00410DAB">
        <w:rPr>
          <w:rFonts w:ascii="Public Sans" w:hAnsi="Public Sans" w:cs="Arial"/>
          <w:i/>
          <w:iCs/>
          <w:color w:val="000000" w:themeColor="text1"/>
        </w:rPr>
        <w:t>Status</w:t>
      </w:r>
      <w:r w:rsidRPr="00410DAB">
        <w:rPr>
          <w:rFonts w:ascii="Public Sans" w:hAnsi="Public Sans" w:cs="Arial"/>
          <w:color w:val="000000" w:themeColor="text1"/>
        </w:rPr>
        <w:t>, Report (2016) rec 3.</w:t>
      </w:r>
    </w:p>
  </w:footnote>
  <w:footnote w:id="709">
    <w:p w14:paraId="6E2DD40B"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Law Reform Commission, </w:t>
      </w:r>
      <w:r w:rsidRPr="00410DAB">
        <w:rPr>
          <w:rFonts w:ascii="Public Sans" w:hAnsi="Public Sans" w:cs="Arial"/>
          <w:i/>
          <w:iCs/>
        </w:rPr>
        <w:t>Maximising the Realisation of Human Rights: Religious Educational Institutions and Anti-Discrimination Laws</w:t>
      </w:r>
      <w:r w:rsidRPr="00410DAB">
        <w:rPr>
          <w:rFonts w:ascii="Public Sans" w:hAnsi="Public Sans" w:cs="Arial"/>
        </w:rPr>
        <w:t>, Report 142 (2023) rec 7B.</w:t>
      </w:r>
    </w:p>
  </w:footnote>
  <w:footnote w:id="710">
    <w:p w14:paraId="6F2CA626" w14:textId="77777777" w:rsidR="006A1316" w:rsidRPr="00410DAB" w:rsidRDefault="006A1316" w:rsidP="006A1316">
      <w:pPr>
        <w:pStyle w:val="FootnoteText"/>
        <w:rPr>
          <w:rFonts w:ascii="Public Sans" w:hAnsi="Public Sans" w:cs="Arial"/>
          <w:color w:val="70AD47" w:themeColor="accent6"/>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31A(3)(a), s 38K(3), s 46A(3), s 49L(3)(a), s 49ZYL(3)(b), s</w:t>
      </w:r>
      <w:r w:rsidRPr="00410DAB">
        <w:rPr>
          <w:rFonts w:ascii="Public Sans" w:hAnsi="Public Sans"/>
        </w:rPr>
        <w:t> </w:t>
      </w:r>
      <w:r w:rsidRPr="00410DAB">
        <w:rPr>
          <w:rFonts w:ascii="Public Sans" w:hAnsi="Public Sans" w:cs="Arial"/>
        </w:rPr>
        <w:t>49ZO(3).</w:t>
      </w:r>
    </w:p>
  </w:footnote>
  <w:footnote w:id="711">
    <w:p w14:paraId="1EEEFF43"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i/>
          <w:iCs/>
        </w:rPr>
        <w:t>Anti-Discrimination Act 1977</w:t>
      </w:r>
      <w:r w:rsidRPr="00410DAB">
        <w:rPr>
          <w:rFonts w:ascii="Public Sans" w:hAnsi="Public Sans" w:cs="Arial"/>
        </w:rPr>
        <w:t xml:space="preserve"> (NSW) s 31A.</w:t>
      </w:r>
    </w:p>
  </w:footnote>
  <w:footnote w:id="712">
    <w:p w14:paraId="51C35FC4"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Style w:val="normaltextrun"/>
          <w:rFonts w:ascii="Public Sans" w:hAnsi="Public Sans" w:cs="Arial"/>
          <w:color w:val="000000"/>
          <w:szCs w:val="18"/>
          <w:shd w:val="clear" w:color="auto" w:fill="FFFFFF"/>
        </w:rPr>
        <w:t xml:space="preserve">NSW, </w:t>
      </w:r>
      <w:r w:rsidRPr="00410DAB">
        <w:rPr>
          <w:rStyle w:val="findhit"/>
          <w:rFonts w:ascii="Public Sans" w:hAnsi="Public Sans" w:cs="Arial"/>
          <w:color w:val="000000"/>
          <w:szCs w:val="18"/>
          <w:shd w:val="clear" w:color="auto" w:fill="FFFFFF"/>
        </w:rPr>
        <w:t>Legislative Council</w:t>
      </w:r>
      <w:r w:rsidRPr="00410DAB">
        <w:rPr>
          <w:rStyle w:val="normaltextrun"/>
          <w:rFonts w:ascii="Public Sans" w:hAnsi="Public Sans" w:cs="Arial"/>
          <w:color w:val="000000"/>
          <w:szCs w:val="18"/>
          <w:shd w:val="clear" w:color="auto" w:fill="FFFFFF"/>
        </w:rPr>
        <w:t xml:space="preserve"> Portfolio Committee No 3, </w:t>
      </w:r>
      <w:r w:rsidRPr="00410DAB">
        <w:rPr>
          <w:rStyle w:val="normaltextrun"/>
          <w:rFonts w:ascii="Public Sans" w:hAnsi="Public Sans" w:cs="Arial"/>
          <w:i/>
          <w:iCs/>
          <w:color w:val="000000"/>
          <w:szCs w:val="18"/>
          <w:shd w:val="clear" w:color="auto" w:fill="FFFFFF"/>
        </w:rPr>
        <w:t>Children and Young People with Disability in New South Wales Educational Settings</w:t>
      </w:r>
      <w:r w:rsidRPr="00410DAB">
        <w:rPr>
          <w:rStyle w:val="normaltextrun"/>
          <w:rFonts w:ascii="Public Sans" w:hAnsi="Public Sans" w:cs="Arial"/>
          <w:color w:val="000000"/>
          <w:szCs w:val="18"/>
          <w:shd w:val="clear" w:color="auto" w:fill="FFFFFF"/>
        </w:rPr>
        <w:t>, Report 52 (2024) ix.</w:t>
      </w:r>
      <w:r w:rsidRPr="00410DAB">
        <w:rPr>
          <w:rStyle w:val="eop"/>
          <w:rFonts w:ascii="Public Sans" w:hAnsi="Public Sans" w:cs="Arial"/>
          <w:color w:val="000000"/>
          <w:szCs w:val="18"/>
          <w:shd w:val="clear" w:color="auto" w:fill="FFFFFF"/>
        </w:rPr>
        <w:t> </w:t>
      </w:r>
    </w:p>
  </w:footnote>
  <w:footnote w:id="713">
    <w:p w14:paraId="4F3DC568"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Sex Discrimination Act 1984</w:t>
      </w:r>
      <w:r w:rsidRPr="00410DAB">
        <w:rPr>
          <w:rFonts w:ascii="Public Sans" w:hAnsi="Public Sans" w:cs="Arial"/>
        </w:rPr>
        <w:t xml:space="preserve"> (Cth) s 38(3); </w:t>
      </w:r>
      <w:r w:rsidRPr="00410DAB">
        <w:rPr>
          <w:rFonts w:ascii="Public Sans" w:hAnsi="Public Sans" w:cs="Arial"/>
          <w:i/>
          <w:iCs/>
        </w:rPr>
        <w:t>Equal Opportunity Act 2010</w:t>
      </w:r>
      <w:r w:rsidRPr="00410DAB">
        <w:rPr>
          <w:rFonts w:ascii="Public Sans" w:hAnsi="Public Sans" w:cs="Arial"/>
        </w:rPr>
        <w:t xml:space="preserve"> (Vic) s 39, s 61; </w:t>
      </w:r>
      <w:r w:rsidRPr="00410DAB">
        <w:rPr>
          <w:rFonts w:ascii="Public Sans" w:hAnsi="Public Sans" w:cs="Arial"/>
          <w:i/>
          <w:iCs/>
        </w:rPr>
        <w:t>Anti-Discrimination Act 1998</w:t>
      </w:r>
      <w:r w:rsidRPr="00410DAB">
        <w:rPr>
          <w:rFonts w:ascii="Public Sans" w:hAnsi="Public Sans" w:cs="Arial"/>
        </w:rPr>
        <w:t xml:space="preserve"> (Tas) s 51A; </w:t>
      </w:r>
      <w:r w:rsidRPr="00410DAB">
        <w:rPr>
          <w:rFonts w:ascii="Public Sans" w:hAnsi="Public Sans" w:cs="Arial"/>
          <w:i/>
          <w:iCs/>
        </w:rPr>
        <w:t>Discrimination Act 1991</w:t>
      </w:r>
      <w:r w:rsidRPr="00410DAB">
        <w:rPr>
          <w:rFonts w:ascii="Public Sans" w:hAnsi="Public Sans" w:cs="Arial"/>
        </w:rPr>
        <w:t xml:space="preserve"> (ACT) s 46(1); </w:t>
      </w:r>
      <w:r w:rsidRPr="00410DAB">
        <w:rPr>
          <w:rFonts w:ascii="Public Sans" w:hAnsi="Public Sans" w:cs="Arial"/>
          <w:i/>
          <w:iCs/>
        </w:rPr>
        <w:t>Equal Opportunity Act 1984</w:t>
      </w:r>
      <w:r w:rsidRPr="00410DAB">
        <w:rPr>
          <w:rFonts w:ascii="Public Sans" w:hAnsi="Public Sans" w:cs="Arial"/>
        </w:rPr>
        <w:t xml:space="preserve"> (SA) s 85ZE(5); </w:t>
      </w:r>
      <w:r w:rsidRPr="00410DAB">
        <w:rPr>
          <w:rFonts w:ascii="Public Sans" w:hAnsi="Public Sans" w:cs="Arial"/>
          <w:i/>
          <w:iCs/>
        </w:rPr>
        <w:t>Equal Opportunity Act</w:t>
      </w:r>
      <w:r w:rsidRPr="00410DAB">
        <w:rPr>
          <w:rFonts w:ascii="Public Sans" w:hAnsi="Public Sans" w:cs="Arial"/>
        </w:rPr>
        <w:t xml:space="preserve"> </w:t>
      </w:r>
      <w:r w:rsidRPr="00410DAB">
        <w:rPr>
          <w:rFonts w:ascii="Public Sans" w:hAnsi="Public Sans" w:cs="Arial"/>
          <w:i/>
          <w:iCs/>
        </w:rPr>
        <w:t>1984</w:t>
      </w:r>
      <w:r w:rsidRPr="00410DAB">
        <w:rPr>
          <w:rFonts w:ascii="Public Sans" w:hAnsi="Public Sans" w:cs="Arial"/>
        </w:rPr>
        <w:t xml:space="preserve"> (WA) s 73(3); </w:t>
      </w:r>
      <w:r w:rsidRPr="00410DAB">
        <w:rPr>
          <w:rFonts w:ascii="Public Sans" w:hAnsi="Public Sans" w:cs="Arial"/>
          <w:i/>
          <w:iCs/>
        </w:rPr>
        <w:t>Anti-Discrimination Act 1991</w:t>
      </w:r>
      <w:r w:rsidRPr="00410DAB">
        <w:rPr>
          <w:rFonts w:ascii="Public Sans" w:hAnsi="Public Sans" w:cs="Arial"/>
        </w:rPr>
        <w:t xml:space="preserve"> (Qld) s 41.</w:t>
      </w:r>
    </w:p>
  </w:footnote>
  <w:footnote w:id="714">
    <w:p w14:paraId="0FCB1381"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Australian Law Reform Commission, </w:t>
      </w:r>
      <w:r w:rsidRPr="00410DAB">
        <w:rPr>
          <w:rFonts w:ascii="Public Sans" w:hAnsi="Public Sans" w:cs="Arial"/>
          <w:i/>
          <w:iCs/>
        </w:rPr>
        <w:t>Maximising the Realisation of Human Rights: Religious Educational Institutions and Anti-Discrimination Laws</w:t>
      </w:r>
      <w:r w:rsidRPr="00410DAB">
        <w:rPr>
          <w:rFonts w:ascii="Public Sans" w:hAnsi="Public Sans" w:cs="Arial"/>
        </w:rPr>
        <w:t xml:space="preserve">, Report 142 (2023) [4.23]. See also NSW Council for Civil Liberties Inc, </w:t>
      </w:r>
      <w:r w:rsidRPr="00410DAB">
        <w:rPr>
          <w:rFonts w:ascii="Public Sans" w:hAnsi="Public Sans" w:cs="Arial"/>
          <w:i/>
          <w:iCs/>
        </w:rPr>
        <w:t>Preliminary Submission PAD21</w:t>
      </w:r>
      <w:r w:rsidRPr="00410DAB">
        <w:rPr>
          <w:rFonts w:ascii="Public Sans" w:hAnsi="Public Sans" w:cs="Arial"/>
        </w:rPr>
        <w:t xml:space="preserve"> [101]–[102]. </w:t>
      </w:r>
    </w:p>
  </w:footnote>
  <w:footnote w:id="715">
    <w:p w14:paraId="7CB804D7"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Law Reform Commission, </w:t>
      </w:r>
      <w:r w:rsidRPr="00410DAB">
        <w:rPr>
          <w:rFonts w:ascii="Public Sans" w:hAnsi="Public Sans" w:cs="Arial"/>
          <w:i/>
          <w:iCs/>
        </w:rPr>
        <w:t>Maximising the Realisation of Human Rights: Religious Educational Institutions and Anti-Discrimination Laws</w:t>
      </w:r>
      <w:r w:rsidRPr="00410DAB">
        <w:rPr>
          <w:rFonts w:ascii="Public Sans" w:hAnsi="Public Sans" w:cs="Arial"/>
        </w:rPr>
        <w:t>, Report 142 (2023) rec 1.</w:t>
      </w:r>
    </w:p>
  </w:footnote>
  <w:footnote w:id="716">
    <w:p w14:paraId="3A9EA929"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39(a); </w:t>
      </w:r>
      <w:r w:rsidRPr="00410DAB">
        <w:rPr>
          <w:rFonts w:ascii="Public Sans" w:hAnsi="Public Sans" w:cs="Arial"/>
          <w:i/>
          <w:iCs/>
        </w:rPr>
        <w:t>Anti-Discrimination Act 1998</w:t>
      </w:r>
      <w:r w:rsidRPr="00410DAB">
        <w:rPr>
          <w:rFonts w:ascii="Public Sans" w:hAnsi="Public Sans" w:cs="Arial"/>
        </w:rPr>
        <w:t xml:space="preserve"> (Tas) s 51A(1), s 51A(4); </w:t>
      </w:r>
      <w:r w:rsidRPr="00410DAB">
        <w:rPr>
          <w:rFonts w:ascii="Public Sans" w:hAnsi="Public Sans" w:cs="Arial"/>
          <w:i/>
          <w:iCs/>
        </w:rPr>
        <w:t>Discrimination Act 1991</w:t>
      </w:r>
      <w:r w:rsidRPr="00410DAB">
        <w:rPr>
          <w:rFonts w:ascii="Public Sans" w:hAnsi="Public Sans" w:cs="Arial"/>
        </w:rPr>
        <w:t xml:space="preserve"> (ACT) s 46(1)–(2); </w:t>
      </w:r>
      <w:r w:rsidRPr="00410DAB">
        <w:rPr>
          <w:rFonts w:ascii="Public Sans" w:hAnsi="Public Sans" w:cs="Arial"/>
          <w:i/>
          <w:iCs/>
        </w:rPr>
        <w:t>Equal Opportunity Act 1984</w:t>
      </w:r>
      <w:r w:rsidRPr="00410DAB">
        <w:rPr>
          <w:rFonts w:ascii="Public Sans" w:hAnsi="Public Sans" w:cs="Arial"/>
        </w:rPr>
        <w:t xml:space="preserve"> (SA) s 85ZE(5); </w:t>
      </w:r>
      <w:r w:rsidRPr="00410DAB">
        <w:rPr>
          <w:rFonts w:ascii="Public Sans" w:hAnsi="Public Sans" w:cs="Arial"/>
          <w:i/>
          <w:iCs/>
        </w:rPr>
        <w:t>Anti-Discrimination Act 1991</w:t>
      </w:r>
      <w:r w:rsidRPr="00410DAB">
        <w:rPr>
          <w:rFonts w:ascii="Public Sans" w:hAnsi="Public Sans" w:cs="Arial"/>
        </w:rPr>
        <w:t xml:space="preserve"> (Qld) s 41(a).</w:t>
      </w:r>
    </w:p>
  </w:footnote>
  <w:footnote w:id="717">
    <w:p w14:paraId="73CC69E0"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 Ruddock, </w:t>
      </w:r>
      <w:r w:rsidRPr="00410DAB">
        <w:rPr>
          <w:rFonts w:ascii="Public Sans" w:hAnsi="Public Sans" w:cs="Arial"/>
          <w:i/>
          <w:iCs/>
        </w:rPr>
        <w:t>Religious Freedom Review: Report of the Expert Panel</w:t>
      </w:r>
      <w:r w:rsidRPr="00410DAB">
        <w:rPr>
          <w:rFonts w:ascii="Public Sans" w:hAnsi="Public Sans" w:cs="Arial"/>
        </w:rPr>
        <w:t xml:space="preserve"> (2018) rec 7; NSW Law Reform Commission,</w:t>
      </w:r>
      <w:r w:rsidRPr="00410DAB">
        <w:rPr>
          <w:rFonts w:ascii="Public Sans" w:hAnsi="Public Sans" w:cs="Arial"/>
          <w:i/>
          <w:iCs/>
        </w:rPr>
        <w:t xml:space="preserve"> Review of the Anti-Discrimination Act 1977 (NSW)</w:t>
      </w:r>
      <w:r w:rsidRPr="00410DAB">
        <w:rPr>
          <w:rFonts w:ascii="Public Sans" w:hAnsi="Public Sans" w:cs="Arial"/>
        </w:rPr>
        <w:t xml:space="preserve">, Report 92 (1999) rec 20, </w:t>
      </w:r>
      <w:r w:rsidRPr="00410DAB">
        <w:rPr>
          <w:rFonts w:ascii="Public Sans" w:hAnsi="Public Sans"/>
        </w:rPr>
        <w:t>rec 22</w:t>
      </w:r>
      <w:r w:rsidRPr="00410DAB">
        <w:rPr>
          <w:rFonts w:ascii="Public Sans" w:hAnsi="Public Sans" w:cs="Arial"/>
        </w:rPr>
        <w:t>.</w:t>
      </w:r>
    </w:p>
  </w:footnote>
  <w:footnote w:id="718">
    <w:p w14:paraId="0406AA5E" w14:textId="77777777" w:rsidR="006A1316" w:rsidRPr="00410DAB" w:rsidRDefault="006A1316" w:rsidP="006A1316">
      <w:pPr>
        <w:pStyle w:val="FootnoteText"/>
        <w:rPr>
          <w:rFonts w:ascii="Public Sans" w:hAnsi="Public Sans" w:cs="Arial"/>
          <w:color w:val="0070C0"/>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1998</w:t>
      </w:r>
      <w:r w:rsidRPr="00410DAB">
        <w:rPr>
          <w:rFonts w:ascii="Public Sans" w:hAnsi="Public Sans" w:cs="Arial"/>
        </w:rPr>
        <w:t xml:space="preserve"> (Tas) s 51A(2); </w:t>
      </w:r>
      <w:r w:rsidRPr="00410DAB">
        <w:rPr>
          <w:rFonts w:ascii="Public Sans" w:hAnsi="Public Sans" w:cs="Arial"/>
          <w:i/>
          <w:iCs/>
        </w:rPr>
        <w:t>Discrimination Act 1991</w:t>
      </w:r>
      <w:r w:rsidRPr="00410DAB">
        <w:rPr>
          <w:rFonts w:ascii="Public Sans" w:hAnsi="Public Sans" w:cs="Arial"/>
        </w:rPr>
        <w:t xml:space="preserve"> (ACT) s 46(1); </w:t>
      </w:r>
      <w:r w:rsidRPr="00410DAB">
        <w:rPr>
          <w:rFonts w:ascii="Public Sans" w:hAnsi="Public Sans" w:cs="Arial"/>
          <w:i/>
          <w:iCs/>
        </w:rPr>
        <w:t>Anti-Discrimination Act 1991</w:t>
      </w:r>
      <w:r w:rsidRPr="00410DAB">
        <w:rPr>
          <w:rFonts w:ascii="Public Sans" w:hAnsi="Public Sans" w:cs="Arial"/>
        </w:rPr>
        <w:t xml:space="preserve"> (Qld) s 41.</w:t>
      </w:r>
    </w:p>
  </w:footnote>
  <w:footnote w:id="719">
    <w:p w14:paraId="0EC29285"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szCs w:val="18"/>
        </w:rPr>
        <w:t>Queensland Human Rights Commission,</w:t>
      </w:r>
      <w:r w:rsidRPr="00410DAB">
        <w:rPr>
          <w:rFonts w:ascii="Public Sans" w:hAnsi="Public Sans" w:cs="Arial"/>
          <w:i/>
          <w:iCs/>
          <w:szCs w:val="18"/>
        </w:rPr>
        <w:t xml:space="preserve"> Building Belonging: Review of Queensland’s Anti-Discrimination Act 1991</w:t>
      </w:r>
      <w:r w:rsidRPr="00410DAB">
        <w:rPr>
          <w:rFonts w:ascii="Public Sans" w:hAnsi="Public Sans" w:cs="Arial"/>
          <w:szCs w:val="18"/>
        </w:rPr>
        <w:t xml:space="preserve"> (2022) </w:t>
      </w:r>
      <w:r w:rsidRPr="00410DAB">
        <w:rPr>
          <w:rFonts w:ascii="Public Sans" w:hAnsi="Public Sans" w:cs="Arial"/>
        </w:rPr>
        <w:t xml:space="preserve">385. </w:t>
      </w:r>
    </w:p>
  </w:footnote>
  <w:footnote w:id="720">
    <w:p w14:paraId="597BBEE6"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xml:space="preserve"> Review of the Anti-Discrimination Act 1977 (NSW)</w:t>
      </w:r>
      <w:r w:rsidRPr="00410DAB">
        <w:rPr>
          <w:rFonts w:ascii="Public Sans" w:hAnsi="Public Sans" w:cs="Arial"/>
        </w:rPr>
        <w:t>, Report 92 (1999) rec 85.</w:t>
      </w:r>
    </w:p>
  </w:footnote>
  <w:footnote w:id="721">
    <w:p w14:paraId="7B575B70"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Sex Discrimination Act 1984</w:t>
      </w:r>
      <w:r w:rsidRPr="00410DAB">
        <w:rPr>
          <w:rFonts w:ascii="Public Sans" w:hAnsi="Public Sans" w:cs="Arial"/>
        </w:rPr>
        <w:t xml:space="preserve"> (Cth) s 38(3). See also </w:t>
      </w:r>
      <w:r w:rsidRPr="00410DAB">
        <w:rPr>
          <w:rFonts w:ascii="Public Sans" w:hAnsi="Public Sans" w:cs="Arial"/>
          <w:i/>
          <w:iCs/>
        </w:rPr>
        <w:t>Anti-Discrimination Act 1977</w:t>
      </w:r>
      <w:r w:rsidRPr="00410DAB">
        <w:rPr>
          <w:rFonts w:ascii="Public Sans" w:hAnsi="Public Sans" w:cs="Arial"/>
        </w:rPr>
        <w:t xml:space="preserve"> (NSW) s 56(d).</w:t>
      </w:r>
    </w:p>
  </w:footnote>
  <w:footnote w:id="722">
    <w:p w14:paraId="615BC861"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Law Reform Commission, </w:t>
      </w:r>
      <w:r w:rsidRPr="00410DAB">
        <w:rPr>
          <w:rFonts w:ascii="Public Sans" w:hAnsi="Public Sans" w:cs="Arial"/>
          <w:i/>
          <w:iCs/>
        </w:rPr>
        <w:t>Maximising the Realisation of Human Rights: Religious Educational Institutions and Anti-Discrimination Laws</w:t>
      </w:r>
      <w:r w:rsidRPr="00410DAB">
        <w:rPr>
          <w:rFonts w:ascii="Public Sans" w:hAnsi="Public Sans" w:cs="Arial"/>
        </w:rPr>
        <w:t>, Report 142 (2023) rec 1.</w:t>
      </w:r>
    </w:p>
  </w:footnote>
  <w:footnote w:id="723">
    <w:p w14:paraId="19231246"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S C Derrington, “Of Shields and Swords: Let the Jousting Begin!” (Paper presented at Freedom19 Conference, Sydney, 4 September 2019) 7.</w:t>
      </w:r>
    </w:p>
  </w:footnote>
  <w:footnote w:id="724">
    <w:p w14:paraId="7180C385"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 Ruddock, </w:t>
      </w:r>
      <w:r w:rsidRPr="00410DAB">
        <w:rPr>
          <w:rFonts w:ascii="Public Sans" w:hAnsi="Public Sans" w:cs="Arial"/>
          <w:i/>
          <w:iCs/>
        </w:rPr>
        <w:t>Religious Freedom Review: Report of the Expert Panel</w:t>
      </w:r>
      <w:r w:rsidRPr="00410DAB">
        <w:rPr>
          <w:rFonts w:ascii="Public Sans" w:hAnsi="Public Sans" w:cs="Arial"/>
        </w:rPr>
        <w:t xml:space="preserve"> (2018) rec 7.</w:t>
      </w:r>
    </w:p>
  </w:footnote>
  <w:footnote w:id="725">
    <w:p w14:paraId="73D9B914"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t xml:space="preserve">P Ruddock, </w:t>
      </w:r>
      <w:r w:rsidRPr="00410DAB">
        <w:rPr>
          <w:rFonts w:ascii="Public Sans" w:hAnsi="Public Sans" w:cs="Arial"/>
          <w:i/>
          <w:iCs/>
          <w:color w:val="000000" w:themeColor="text1"/>
        </w:rPr>
        <w:t>Religious Freedom Review: Report of the Expert Panel</w:t>
      </w:r>
      <w:r w:rsidRPr="00410DAB">
        <w:rPr>
          <w:rFonts w:ascii="Public Sans" w:hAnsi="Public Sans" w:cs="Arial"/>
          <w:color w:val="000000" w:themeColor="text1"/>
        </w:rPr>
        <w:t xml:space="preserve"> (2018) rec 7. </w:t>
      </w:r>
    </w:p>
  </w:footnote>
  <w:footnote w:id="726">
    <w:p w14:paraId="029E2689"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Anti-Discrimination Act 1998</w:t>
      </w:r>
      <w:r w:rsidRPr="00410DAB">
        <w:rPr>
          <w:rFonts w:ascii="Public Sans" w:hAnsi="Public Sans" w:cs="Arial"/>
          <w:color w:val="000000" w:themeColor="text1"/>
        </w:rPr>
        <w:t xml:space="preserve"> (Tas) 51A(4).</w:t>
      </w:r>
    </w:p>
  </w:footnote>
  <w:footnote w:id="727">
    <w:p w14:paraId="08390966"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Discrimination Act 1991</w:t>
      </w:r>
      <w:r w:rsidRPr="00410DAB">
        <w:rPr>
          <w:rFonts w:ascii="Public Sans" w:hAnsi="Public Sans" w:cs="Arial"/>
          <w:color w:val="000000" w:themeColor="text1"/>
        </w:rPr>
        <w:t xml:space="preserve"> (ACT) s 46(3).</w:t>
      </w:r>
    </w:p>
  </w:footnote>
  <w:footnote w:id="728">
    <w:p w14:paraId="0F2A474E"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Equality Australia, </w:t>
      </w:r>
      <w:r w:rsidRPr="00410DAB">
        <w:rPr>
          <w:rFonts w:ascii="Public Sans" w:hAnsi="Public Sans" w:cs="Arial"/>
          <w:i/>
          <w:iCs/>
        </w:rPr>
        <w:t>Dismissed, Denied and Demeaned: A National Report on LGBTQ+ Discrimination in Faith-Based Schools and Organisation</w:t>
      </w:r>
      <w:r w:rsidRPr="00410DAB">
        <w:rPr>
          <w:rFonts w:ascii="Public Sans" w:hAnsi="Public Sans" w:cs="Arial"/>
        </w:rPr>
        <w:t>s (2024) 65, reform 7.</w:t>
      </w:r>
    </w:p>
  </w:footnote>
  <w:footnote w:id="729">
    <w:p w14:paraId="63FE3D1D"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2010</w:t>
      </w:r>
      <w:r w:rsidRPr="00410DAB">
        <w:rPr>
          <w:rFonts w:ascii="Public Sans" w:hAnsi="Public Sans" w:cs="Arial"/>
        </w:rPr>
        <w:t xml:space="preserve"> (Vic) s 83(2). See also </w:t>
      </w:r>
      <w:r w:rsidRPr="00410DAB">
        <w:rPr>
          <w:rFonts w:ascii="Public Sans" w:hAnsi="Public Sans" w:cs="Arial"/>
          <w:i/>
          <w:iCs/>
        </w:rPr>
        <w:t>Equal Opportunity Act 2010</w:t>
      </w:r>
      <w:r w:rsidRPr="00410DAB">
        <w:rPr>
          <w:rFonts w:ascii="Public Sans" w:hAnsi="Public Sans" w:cs="Arial"/>
        </w:rPr>
        <w:t xml:space="preserve"> (Vic) s 39.</w:t>
      </w:r>
    </w:p>
  </w:footnote>
  <w:footnote w:id="730">
    <w:p w14:paraId="2B7B5E8F"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Anti-Discrimination Act 1977</w:t>
      </w:r>
      <w:r w:rsidRPr="00410DAB">
        <w:rPr>
          <w:rFonts w:ascii="Public Sans" w:hAnsi="Public Sans" w:cs="Arial"/>
          <w:color w:val="000000" w:themeColor="text1"/>
        </w:rPr>
        <w:t xml:space="preserve"> (NSW) s 22, s 38, s 38P, s 49R, s 49ZYW. </w:t>
      </w:r>
    </w:p>
  </w:footnote>
  <w:footnote w:id="731">
    <w:p w14:paraId="36E76E04"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38.</w:t>
      </w:r>
    </w:p>
  </w:footnote>
  <w:footnote w:id="732">
    <w:p w14:paraId="67744FAA"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Sex Discrimination Act 1984</w:t>
      </w:r>
      <w:r w:rsidRPr="00410DAB">
        <w:rPr>
          <w:rFonts w:ascii="Public Sans" w:hAnsi="Public Sans" w:cs="Arial"/>
          <w:color w:val="000000" w:themeColor="text1"/>
        </w:rPr>
        <w:t xml:space="preserve"> (Cth) s 42(1);</w:t>
      </w:r>
      <w:r w:rsidRPr="00410DAB">
        <w:rPr>
          <w:rFonts w:ascii="Public Sans" w:hAnsi="Public Sans"/>
          <w:color w:val="000000" w:themeColor="text1"/>
        </w:rPr>
        <w:t xml:space="preserve"> </w:t>
      </w:r>
      <w:r w:rsidRPr="00410DAB">
        <w:rPr>
          <w:rFonts w:ascii="Public Sans" w:hAnsi="Public Sans" w:cs="Arial"/>
          <w:i/>
          <w:iCs/>
          <w:color w:val="000000" w:themeColor="text1"/>
        </w:rPr>
        <w:t>Discrimination Act 1991</w:t>
      </w:r>
      <w:r w:rsidRPr="00410DAB">
        <w:rPr>
          <w:rFonts w:ascii="Public Sans" w:hAnsi="Public Sans" w:cs="Arial"/>
          <w:color w:val="000000" w:themeColor="text1"/>
        </w:rPr>
        <w:t xml:space="preserve"> (ACT) s 41(1); </w:t>
      </w:r>
      <w:r w:rsidRPr="00410DAB">
        <w:rPr>
          <w:rFonts w:ascii="Public Sans" w:hAnsi="Public Sans" w:cs="Arial"/>
          <w:i/>
          <w:iCs/>
          <w:color w:val="000000" w:themeColor="text1"/>
        </w:rPr>
        <w:t>Equal Opportunity Act 2010</w:t>
      </w:r>
      <w:r w:rsidRPr="00410DAB">
        <w:rPr>
          <w:rFonts w:ascii="Public Sans" w:hAnsi="Public Sans" w:cs="Arial"/>
          <w:color w:val="000000" w:themeColor="text1"/>
        </w:rPr>
        <w:t xml:space="preserve"> (Vic) s 72; </w:t>
      </w:r>
      <w:r w:rsidRPr="00410DAB">
        <w:rPr>
          <w:rFonts w:ascii="Public Sans" w:hAnsi="Public Sans" w:cs="Arial"/>
          <w:i/>
          <w:iCs/>
          <w:color w:val="000000" w:themeColor="text1"/>
        </w:rPr>
        <w:t>Anti-Discrimination Act 1992</w:t>
      </w:r>
      <w:r w:rsidRPr="00410DAB">
        <w:rPr>
          <w:rFonts w:ascii="Public Sans" w:hAnsi="Public Sans" w:cs="Arial"/>
          <w:color w:val="000000" w:themeColor="text1"/>
        </w:rPr>
        <w:t xml:space="preserve"> (NT) s 56(1); </w:t>
      </w:r>
      <w:r w:rsidRPr="00410DAB">
        <w:rPr>
          <w:rFonts w:ascii="Public Sans" w:hAnsi="Public Sans" w:cs="Arial"/>
          <w:i/>
          <w:iCs/>
          <w:color w:val="000000" w:themeColor="text1"/>
        </w:rPr>
        <w:t>Anti-Discrimination Act 1991</w:t>
      </w:r>
      <w:r w:rsidRPr="00410DAB">
        <w:rPr>
          <w:rFonts w:ascii="Public Sans" w:hAnsi="Public Sans" w:cs="Arial"/>
          <w:color w:val="000000" w:themeColor="text1"/>
        </w:rPr>
        <w:t xml:space="preserve"> (Qld) s 111(1); </w:t>
      </w:r>
      <w:r w:rsidRPr="00410DAB">
        <w:rPr>
          <w:rFonts w:ascii="Public Sans" w:hAnsi="Public Sans" w:cs="Arial"/>
          <w:i/>
          <w:iCs/>
          <w:color w:val="000000" w:themeColor="text1"/>
        </w:rPr>
        <w:t>Anti-Discrimination Act 1998</w:t>
      </w:r>
      <w:r w:rsidRPr="00410DAB">
        <w:rPr>
          <w:rFonts w:ascii="Public Sans" w:hAnsi="Public Sans" w:cs="Arial"/>
          <w:color w:val="000000" w:themeColor="text1"/>
        </w:rPr>
        <w:t xml:space="preserve"> (Tas) s 29; </w:t>
      </w:r>
      <w:r w:rsidRPr="00410DAB">
        <w:rPr>
          <w:rFonts w:ascii="Public Sans" w:hAnsi="Public Sans" w:cs="Arial"/>
          <w:i/>
          <w:iCs/>
          <w:color w:val="000000" w:themeColor="text1"/>
        </w:rPr>
        <w:t>Equal Opportunity Act 1984</w:t>
      </w:r>
      <w:r w:rsidRPr="00410DAB">
        <w:rPr>
          <w:rFonts w:ascii="Public Sans" w:hAnsi="Public Sans" w:cs="Arial"/>
          <w:color w:val="000000" w:themeColor="text1"/>
        </w:rPr>
        <w:t xml:space="preserve"> (SA) s 48; </w:t>
      </w:r>
      <w:r w:rsidRPr="00410DAB">
        <w:rPr>
          <w:rFonts w:ascii="Public Sans" w:hAnsi="Public Sans" w:cs="Arial"/>
          <w:i/>
          <w:iCs/>
          <w:color w:val="000000" w:themeColor="text1"/>
        </w:rPr>
        <w:t>Equal Opportunity Act 1984</w:t>
      </w:r>
      <w:r w:rsidRPr="00410DAB">
        <w:rPr>
          <w:rFonts w:ascii="Public Sans" w:hAnsi="Public Sans" w:cs="Arial"/>
          <w:color w:val="000000" w:themeColor="text1"/>
        </w:rPr>
        <w:t xml:space="preserve"> (WA) s 35(1).</w:t>
      </w:r>
    </w:p>
  </w:footnote>
  <w:footnote w:id="733">
    <w:p w14:paraId="74212025"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Sex Discrimination Act 1984</w:t>
      </w:r>
      <w:r w:rsidRPr="00410DAB">
        <w:rPr>
          <w:rFonts w:ascii="Public Sans" w:hAnsi="Public Sans" w:cs="Arial"/>
          <w:color w:val="000000" w:themeColor="text1"/>
        </w:rPr>
        <w:t xml:space="preserve"> (Cth) s 42; </w:t>
      </w:r>
      <w:r w:rsidRPr="00410DAB">
        <w:rPr>
          <w:rFonts w:ascii="Public Sans" w:hAnsi="Public Sans" w:cs="Arial"/>
          <w:i/>
          <w:iCs/>
          <w:color w:val="000000" w:themeColor="text1"/>
        </w:rPr>
        <w:t>Discrimination Act 1991</w:t>
      </w:r>
      <w:r w:rsidRPr="00410DAB">
        <w:rPr>
          <w:rFonts w:ascii="Public Sans" w:hAnsi="Public Sans" w:cs="Arial"/>
          <w:color w:val="000000" w:themeColor="text1"/>
        </w:rPr>
        <w:t xml:space="preserve"> (ACT) s 41(a); </w:t>
      </w:r>
      <w:r w:rsidRPr="00410DAB">
        <w:rPr>
          <w:rFonts w:ascii="Public Sans" w:hAnsi="Public Sans" w:cs="Arial"/>
          <w:i/>
          <w:iCs/>
          <w:color w:val="000000" w:themeColor="text1"/>
        </w:rPr>
        <w:t>Equal Opportunity Act 2010</w:t>
      </w:r>
      <w:r w:rsidRPr="00410DAB">
        <w:rPr>
          <w:rFonts w:ascii="Public Sans" w:hAnsi="Public Sans" w:cs="Arial"/>
          <w:color w:val="000000" w:themeColor="text1"/>
        </w:rPr>
        <w:t xml:space="preserve"> (Vic) s 72(1); </w:t>
      </w:r>
      <w:r w:rsidRPr="00410DAB">
        <w:rPr>
          <w:rFonts w:ascii="Public Sans" w:hAnsi="Public Sans" w:cs="Arial"/>
          <w:i/>
          <w:iCs/>
          <w:color w:val="000000" w:themeColor="text1"/>
        </w:rPr>
        <w:t>Anti-Discrimination Act 1992</w:t>
      </w:r>
      <w:r w:rsidRPr="00410DAB">
        <w:rPr>
          <w:rFonts w:ascii="Public Sans" w:hAnsi="Public Sans" w:cs="Arial"/>
          <w:color w:val="000000" w:themeColor="text1"/>
        </w:rPr>
        <w:t xml:space="preserve"> (NT) s 56(1)(a); </w:t>
      </w:r>
      <w:r w:rsidRPr="00410DAB">
        <w:rPr>
          <w:rFonts w:ascii="Public Sans" w:hAnsi="Public Sans" w:cs="Arial"/>
          <w:i/>
          <w:iCs/>
          <w:color w:val="000000" w:themeColor="text1"/>
        </w:rPr>
        <w:t>Anti-Discrimination Act 1991</w:t>
      </w:r>
      <w:r w:rsidRPr="00410DAB">
        <w:rPr>
          <w:rFonts w:ascii="Public Sans" w:hAnsi="Public Sans" w:cs="Arial"/>
          <w:color w:val="000000" w:themeColor="text1"/>
        </w:rPr>
        <w:t xml:space="preserve"> (Qld) s 111(1)(a); </w:t>
      </w:r>
      <w:r w:rsidRPr="00410DAB">
        <w:rPr>
          <w:rFonts w:ascii="Public Sans" w:hAnsi="Public Sans" w:cs="Arial"/>
          <w:i/>
          <w:iCs/>
          <w:color w:val="000000" w:themeColor="text1"/>
        </w:rPr>
        <w:t>Equal Opportunity Act 1984</w:t>
      </w:r>
      <w:r w:rsidRPr="00410DAB">
        <w:rPr>
          <w:rFonts w:ascii="Public Sans" w:hAnsi="Public Sans" w:cs="Arial"/>
          <w:color w:val="000000" w:themeColor="text1"/>
        </w:rPr>
        <w:t xml:space="preserve"> (SA) s 48(a); </w:t>
      </w:r>
      <w:r w:rsidRPr="00410DAB">
        <w:rPr>
          <w:rFonts w:ascii="Public Sans" w:hAnsi="Public Sans" w:cs="Arial"/>
          <w:i/>
          <w:iCs/>
          <w:color w:val="000000" w:themeColor="text1"/>
        </w:rPr>
        <w:t>Equal Opportunity Act 1984</w:t>
      </w:r>
      <w:r w:rsidRPr="00410DAB">
        <w:rPr>
          <w:rFonts w:ascii="Public Sans" w:hAnsi="Public Sans" w:cs="Arial"/>
          <w:color w:val="000000" w:themeColor="text1"/>
        </w:rPr>
        <w:t xml:space="preserve"> (WA) s 35(1).</w:t>
      </w:r>
    </w:p>
  </w:footnote>
  <w:footnote w:id="734">
    <w:p w14:paraId="35DB2128"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Sex Discrimination Act 1984</w:t>
      </w:r>
      <w:r w:rsidRPr="00410DAB">
        <w:rPr>
          <w:rFonts w:ascii="Public Sans" w:hAnsi="Public Sans" w:cs="Arial"/>
          <w:color w:val="000000" w:themeColor="text1"/>
        </w:rPr>
        <w:t xml:space="preserve"> (Cth) s 42; </w:t>
      </w:r>
      <w:r w:rsidRPr="00410DAB">
        <w:rPr>
          <w:rFonts w:ascii="Public Sans" w:hAnsi="Public Sans" w:cs="Arial"/>
          <w:i/>
          <w:iCs/>
          <w:color w:val="000000" w:themeColor="text1"/>
        </w:rPr>
        <w:t>Anti-Discrimination Act 1992</w:t>
      </w:r>
      <w:r w:rsidRPr="00410DAB">
        <w:rPr>
          <w:rFonts w:ascii="Public Sans" w:hAnsi="Public Sans" w:cs="Arial"/>
          <w:color w:val="000000" w:themeColor="text1"/>
        </w:rPr>
        <w:t xml:space="preserve"> (NT) s 56(2), </w:t>
      </w:r>
      <w:r w:rsidRPr="00410DAB">
        <w:rPr>
          <w:rFonts w:ascii="Public Sans" w:hAnsi="Public Sans" w:cs="Arial"/>
          <w:i/>
          <w:iCs/>
          <w:color w:val="000000" w:themeColor="text1"/>
        </w:rPr>
        <w:t>Anti-Discrimination Act 1991</w:t>
      </w:r>
      <w:r w:rsidRPr="00410DAB">
        <w:rPr>
          <w:rFonts w:ascii="Public Sans" w:hAnsi="Public Sans" w:cs="Arial"/>
          <w:color w:val="000000" w:themeColor="text1"/>
        </w:rPr>
        <w:t xml:space="preserve"> (Qld) s 111(2); </w:t>
      </w:r>
      <w:r w:rsidRPr="00410DAB">
        <w:rPr>
          <w:rFonts w:ascii="Public Sans" w:hAnsi="Public Sans" w:cs="Arial"/>
          <w:i/>
          <w:iCs/>
          <w:color w:val="000000" w:themeColor="text1"/>
        </w:rPr>
        <w:t>Anti-Discrimination Act 1998</w:t>
      </w:r>
      <w:r w:rsidRPr="00410DAB">
        <w:rPr>
          <w:rFonts w:ascii="Public Sans" w:hAnsi="Public Sans" w:cs="Arial"/>
          <w:color w:val="000000" w:themeColor="text1"/>
        </w:rPr>
        <w:t xml:space="preserve"> (Tas) s 29; </w:t>
      </w:r>
      <w:r w:rsidRPr="00410DAB">
        <w:rPr>
          <w:rFonts w:ascii="Public Sans" w:hAnsi="Public Sans" w:cs="Arial"/>
          <w:i/>
          <w:iCs/>
          <w:color w:val="000000" w:themeColor="text1"/>
        </w:rPr>
        <w:t>Equal Opportunity Act 2010</w:t>
      </w:r>
      <w:r w:rsidRPr="00410DAB">
        <w:rPr>
          <w:rFonts w:ascii="Public Sans" w:hAnsi="Public Sans" w:cs="Arial"/>
          <w:color w:val="000000" w:themeColor="text1"/>
        </w:rPr>
        <w:t xml:space="preserve"> (Vic) s 72(3).</w:t>
      </w:r>
    </w:p>
  </w:footnote>
  <w:footnote w:id="735">
    <w:p w14:paraId="3293BCCC"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41(1)(b); </w:t>
      </w:r>
      <w:r w:rsidRPr="00410DAB">
        <w:rPr>
          <w:rFonts w:ascii="Public Sans" w:hAnsi="Public Sans" w:cs="Arial"/>
          <w:i/>
          <w:iCs/>
        </w:rPr>
        <w:t>Anti-Discrimination Act 1991</w:t>
      </w:r>
      <w:r w:rsidRPr="00410DAB">
        <w:rPr>
          <w:rFonts w:ascii="Public Sans" w:hAnsi="Public Sans" w:cs="Arial"/>
        </w:rPr>
        <w:t xml:space="preserve"> (Qld) s 111(1)(a); </w:t>
      </w:r>
      <w:r w:rsidRPr="00410DAB">
        <w:rPr>
          <w:rFonts w:ascii="Public Sans" w:hAnsi="Public Sans" w:cs="Arial"/>
          <w:i/>
          <w:iCs/>
        </w:rPr>
        <w:t>Anti-Discrimination Act 1992</w:t>
      </w:r>
      <w:r w:rsidRPr="00410DAB">
        <w:rPr>
          <w:rFonts w:ascii="Public Sans" w:hAnsi="Public Sans" w:cs="Arial"/>
        </w:rPr>
        <w:t xml:space="preserve"> (NT) s 56(1)(a).</w:t>
      </w:r>
    </w:p>
  </w:footnote>
  <w:footnote w:id="736">
    <w:p w14:paraId="68BE999A"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Sex Discrimination Act 1984</w:t>
      </w:r>
      <w:r w:rsidRPr="00410DAB">
        <w:rPr>
          <w:rFonts w:ascii="Public Sans" w:hAnsi="Public Sans" w:cs="Arial"/>
        </w:rPr>
        <w:t xml:space="preserve"> (Cth) s 42(2)(e).</w:t>
      </w:r>
    </w:p>
  </w:footnote>
  <w:footnote w:id="737">
    <w:p w14:paraId="73178B53"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xml:space="preserve"> Review of the Anti-Discrimination Act 1977 (NSW)</w:t>
      </w:r>
      <w:r w:rsidRPr="00410DAB">
        <w:rPr>
          <w:rFonts w:ascii="Public Sans" w:hAnsi="Public Sans" w:cs="Arial"/>
        </w:rPr>
        <w:t>, Report 92 (1999) rec 60, [6.204].</w:t>
      </w:r>
    </w:p>
  </w:footnote>
  <w:footnote w:id="738">
    <w:p w14:paraId="6948DBF2"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Anti-Discrimination Act 1977</w:t>
      </w:r>
      <w:r w:rsidRPr="00410DAB">
        <w:rPr>
          <w:rFonts w:ascii="Public Sans" w:hAnsi="Public Sans" w:cs="Arial"/>
          <w:color w:val="000000" w:themeColor="text1"/>
        </w:rPr>
        <w:t xml:space="preserve"> (NSW) s 38P(1).</w:t>
      </w:r>
    </w:p>
  </w:footnote>
  <w:footnote w:id="739">
    <w:p w14:paraId="2B2AC93A" w14:textId="77777777" w:rsidR="006A1316" w:rsidRPr="00383501" w:rsidRDefault="006A1316" w:rsidP="006A1316">
      <w:pPr>
        <w:pStyle w:val="FootnoteText"/>
        <w:rPr>
          <w:rFonts w:ascii="Public Sans" w:hAnsi="Public Sans" w:cs="Arial"/>
        </w:rPr>
      </w:pPr>
      <w:r w:rsidRPr="00383501">
        <w:rPr>
          <w:rStyle w:val="FootnoteReference"/>
          <w:rFonts w:cs="Arial"/>
          <w:vertAlign w:val="baseline"/>
        </w:rPr>
        <w:footnoteRef/>
      </w:r>
      <w:r w:rsidRPr="00383501">
        <w:rPr>
          <w:rFonts w:ascii="Public Sans" w:hAnsi="Public Sans" w:cs="Arial"/>
        </w:rPr>
        <w:t>.</w:t>
      </w:r>
      <w:r w:rsidRPr="00383501">
        <w:rPr>
          <w:rFonts w:ascii="Public Sans" w:hAnsi="Public Sans" w:cs="Arial"/>
        </w:rPr>
        <w:tab/>
        <w:t xml:space="preserve">Family First Party Australia, </w:t>
      </w:r>
      <w:r w:rsidRPr="00383501">
        <w:rPr>
          <w:rFonts w:ascii="Public Sans" w:hAnsi="Public Sans" w:cs="Arial"/>
          <w:i/>
          <w:iCs/>
        </w:rPr>
        <w:t>Preliminary Submission PAD65</w:t>
      </w:r>
      <w:r w:rsidRPr="00383501">
        <w:rPr>
          <w:rFonts w:ascii="Public Sans" w:hAnsi="Public Sans" w:cs="Arial"/>
        </w:rPr>
        <w:t xml:space="preserve"> [5.2.1]–[5.2.9]; Feminist Legal Clinic Inc, </w:t>
      </w:r>
      <w:r w:rsidRPr="00383501">
        <w:rPr>
          <w:rFonts w:ascii="Public Sans" w:hAnsi="Public Sans" w:cs="Arial"/>
          <w:i/>
          <w:iCs/>
        </w:rPr>
        <w:t>Preliminary Submission PAD72</w:t>
      </w:r>
      <w:r w:rsidRPr="00383501">
        <w:rPr>
          <w:rFonts w:ascii="Public Sans" w:hAnsi="Public Sans" w:cs="Arial"/>
        </w:rPr>
        <w:t xml:space="preserve"> [8].</w:t>
      </w:r>
    </w:p>
  </w:footnote>
  <w:footnote w:id="740">
    <w:p w14:paraId="237688A5" w14:textId="77777777" w:rsidR="006A1316" w:rsidRPr="00383501" w:rsidRDefault="006A1316" w:rsidP="006A1316">
      <w:pPr>
        <w:pStyle w:val="FootnoteText"/>
        <w:rPr>
          <w:rFonts w:ascii="Public Sans" w:hAnsi="Public Sans" w:cs="Arial"/>
        </w:rPr>
      </w:pPr>
      <w:r w:rsidRPr="00383501">
        <w:rPr>
          <w:rStyle w:val="FootnoteReference"/>
          <w:rFonts w:cs="Arial"/>
          <w:vertAlign w:val="baseline"/>
        </w:rPr>
        <w:footnoteRef/>
      </w:r>
      <w:r w:rsidRPr="00383501">
        <w:rPr>
          <w:rFonts w:ascii="Public Sans" w:hAnsi="Public Sans" w:cs="Arial"/>
        </w:rPr>
        <w:t>.</w:t>
      </w:r>
      <w:r w:rsidRPr="00383501">
        <w:rPr>
          <w:rFonts w:ascii="Public Sans" w:hAnsi="Public Sans" w:cs="Arial"/>
        </w:rPr>
        <w:tab/>
        <w:t xml:space="preserve">Equality Australia, </w:t>
      </w:r>
      <w:r w:rsidRPr="00383501">
        <w:rPr>
          <w:rFonts w:ascii="Public Sans" w:hAnsi="Public Sans" w:cs="Arial"/>
          <w:i/>
          <w:iCs/>
        </w:rPr>
        <w:t>Preliminary Submission PAD07</w:t>
      </w:r>
      <w:r w:rsidRPr="00383501">
        <w:rPr>
          <w:rFonts w:ascii="Public Sans" w:hAnsi="Public Sans" w:cs="Arial"/>
        </w:rPr>
        <w:t xml:space="preserve">, 15; Public Interest Advocacy Centre, </w:t>
      </w:r>
      <w:r w:rsidRPr="00383501">
        <w:rPr>
          <w:rFonts w:ascii="Public Sans" w:hAnsi="Public Sans" w:cs="Arial"/>
          <w:i/>
          <w:iCs/>
        </w:rPr>
        <w:t>Preliminary Submission PAD82</w:t>
      </w:r>
      <w:r w:rsidRPr="00383501">
        <w:rPr>
          <w:rFonts w:ascii="Public Sans" w:hAnsi="Public Sans" w:cs="Arial"/>
        </w:rPr>
        <w:t xml:space="preserve">, 16; Anti-Discrimination NSW, </w:t>
      </w:r>
      <w:r w:rsidRPr="00383501">
        <w:rPr>
          <w:rFonts w:ascii="Public Sans" w:hAnsi="Public Sans" w:cs="Arial"/>
          <w:i/>
          <w:iCs/>
        </w:rPr>
        <w:t>Preliminary Submission PAD83</w:t>
      </w:r>
      <w:r w:rsidRPr="00383501">
        <w:rPr>
          <w:rFonts w:ascii="Public Sans" w:hAnsi="Public Sans" w:cs="Arial"/>
        </w:rPr>
        <w:t xml:space="preserve">, 12–13; Anonymous, </w:t>
      </w:r>
      <w:r w:rsidRPr="00383501">
        <w:rPr>
          <w:rFonts w:ascii="Public Sans" w:hAnsi="Public Sans" w:cs="Arial"/>
          <w:i/>
          <w:iCs/>
        </w:rPr>
        <w:t>Preliminary Submission PAD89</w:t>
      </w:r>
      <w:r w:rsidRPr="00383501">
        <w:rPr>
          <w:rFonts w:ascii="Public Sans" w:hAnsi="Public Sans" w:cs="Arial"/>
        </w:rPr>
        <w:t>,</w:t>
      </w:r>
      <w:r w:rsidRPr="00383501">
        <w:rPr>
          <w:rFonts w:ascii="Public Sans" w:hAnsi="Public Sans" w:cs="Arial"/>
          <w:i/>
          <w:iCs/>
        </w:rPr>
        <w:t xml:space="preserve"> </w:t>
      </w:r>
      <w:r w:rsidRPr="00383501">
        <w:rPr>
          <w:rFonts w:ascii="Public Sans" w:hAnsi="Public Sans" w:cs="Arial"/>
        </w:rPr>
        <w:t xml:space="preserve">30–31; ACON, </w:t>
      </w:r>
      <w:r w:rsidRPr="00383501">
        <w:rPr>
          <w:rFonts w:ascii="Public Sans" w:hAnsi="Public Sans" w:cs="Arial"/>
          <w:i/>
          <w:iCs/>
        </w:rPr>
        <w:t>Preliminary Submission PAD44</w:t>
      </w:r>
      <w:r w:rsidRPr="00383501">
        <w:rPr>
          <w:rFonts w:ascii="Public Sans" w:hAnsi="Public Sans" w:cs="Arial"/>
        </w:rPr>
        <w:t xml:space="preserve">, 10; NSW Council for Civil Liberties Inc, </w:t>
      </w:r>
      <w:r w:rsidRPr="00383501">
        <w:rPr>
          <w:rFonts w:ascii="Public Sans" w:hAnsi="Public Sans" w:cs="Arial"/>
          <w:i/>
          <w:iCs/>
        </w:rPr>
        <w:t>Preliminary Submission PAD21</w:t>
      </w:r>
      <w:r w:rsidRPr="00383501">
        <w:rPr>
          <w:rFonts w:ascii="Public Sans" w:hAnsi="Public Sans" w:cs="Arial"/>
        </w:rPr>
        <w:t xml:space="preserve"> [108].</w:t>
      </w:r>
    </w:p>
  </w:footnote>
  <w:footnote w:id="741">
    <w:p w14:paraId="1564DBDD" w14:textId="77777777" w:rsidR="006A1316" w:rsidRPr="00383501" w:rsidRDefault="006A1316" w:rsidP="006A1316">
      <w:pPr>
        <w:pStyle w:val="FootnoteText"/>
        <w:rPr>
          <w:rFonts w:ascii="Public Sans" w:hAnsi="Public Sans" w:cs="Arial"/>
        </w:rPr>
      </w:pPr>
      <w:r w:rsidRPr="00383501">
        <w:rPr>
          <w:rStyle w:val="FootnoteReference"/>
          <w:rFonts w:cs="Arial"/>
          <w:vertAlign w:val="baseline"/>
        </w:rPr>
        <w:footnoteRef/>
      </w:r>
      <w:r w:rsidRPr="00383501">
        <w:rPr>
          <w:rFonts w:ascii="Public Sans" w:hAnsi="Public Sans" w:cs="Arial"/>
        </w:rPr>
        <w:t>.</w:t>
      </w:r>
      <w:r w:rsidRPr="00383501">
        <w:rPr>
          <w:rFonts w:ascii="Public Sans" w:hAnsi="Public Sans" w:cs="Arial"/>
        </w:rPr>
        <w:tab/>
        <w:t xml:space="preserve">ACON, </w:t>
      </w:r>
      <w:r w:rsidRPr="00383501">
        <w:rPr>
          <w:rFonts w:ascii="Public Sans" w:hAnsi="Public Sans" w:cs="Arial"/>
          <w:i/>
          <w:iCs/>
        </w:rPr>
        <w:t>Preliminary Submission PAD44</w:t>
      </w:r>
      <w:r w:rsidRPr="00383501">
        <w:rPr>
          <w:rFonts w:ascii="Public Sans" w:hAnsi="Public Sans" w:cs="Arial"/>
        </w:rPr>
        <w:t>, 10.</w:t>
      </w:r>
    </w:p>
  </w:footnote>
  <w:footnote w:id="742">
    <w:p w14:paraId="5953706B" w14:textId="77777777" w:rsidR="006A1316" w:rsidRPr="00383501" w:rsidRDefault="006A1316" w:rsidP="006A1316">
      <w:pPr>
        <w:pStyle w:val="FootnoteText"/>
        <w:rPr>
          <w:rFonts w:ascii="Public Sans" w:hAnsi="Public Sans" w:cs="Arial"/>
        </w:rPr>
      </w:pPr>
      <w:r w:rsidRPr="00383501">
        <w:rPr>
          <w:rStyle w:val="FootnoteReference"/>
          <w:rFonts w:cs="Arial"/>
          <w:vertAlign w:val="baseline"/>
        </w:rPr>
        <w:footnoteRef/>
      </w:r>
      <w:r w:rsidRPr="00383501">
        <w:rPr>
          <w:rFonts w:ascii="Public Sans" w:hAnsi="Public Sans" w:cs="Arial"/>
        </w:rPr>
        <w:t>.</w:t>
      </w:r>
      <w:r w:rsidRPr="00383501">
        <w:rPr>
          <w:rFonts w:ascii="Public Sans" w:hAnsi="Public Sans" w:cs="Arial"/>
        </w:rPr>
        <w:tab/>
      </w:r>
      <w:r w:rsidRPr="00383501">
        <w:rPr>
          <w:rFonts w:ascii="Public Sans" w:hAnsi="Public Sans" w:cs="Arial"/>
          <w:i/>
          <w:iCs/>
        </w:rPr>
        <w:t>Sex Discrimination Act 1984</w:t>
      </w:r>
      <w:r w:rsidRPr="00383501">
        <w:rPr>
          <w:rFonts w:ascii="Public Sans" w:hAnsi="Public Sans" w:cs="Arial"/>
        </w:rPr>
        <w:t xml:space="preserve"> (Cth) s 42(2)(e); </w:t>
      </w:r>
      <w:r w:rsidRPr="00383501">
        <w:rPr>
          <w:rFonts w:ascii="Public Sans" w:hAnsi="Public Sans" w:cs="Arial"/>
          <w:i/>
          <w:iCs/>
        </w:rPr>
        <w:t>Equal Opportunity Act 2010</w:t>
      </w:r>
      <w:r w:rsidRPr="00383501">
        <w:rPr>
          <w:rFonts w:ascii="Public Sans" w:hAnsi="Public Sans" w:cs="Arial"/>
        </w:rPr>
        <w:t xml:space="preserve"> (Vic) s 72(3).</w:t>
      </w:r>
    </w:p>
  </w:footnote>
  <w:footnote w:id="743">
    <w:p w14:paraId="710CAF7B" w14:textId="77777777" w:rsidR="006A1316" w:rsidRPr="00383501" w:rsidRDefault="006A1316" w:rsidP="006A1316">
      <w:pPr>
        <w:pStyle w:val="FootnoteText"/>
        <w:rPr>
          <w:rFonts w:ascii="Public Sans" w:hAnsi="Public Sans" w:cs="Arial"/>
        </w:rPr>
      </w:pPr>
      <w:r w:rsidRPr="00383501">
        <w:rPr>
          <w:rStyle w:val="FootnoteReference"/>
          <w:rFonts w:cs="Arial"/>
          <w:vertAlign w:val="baseline"/>
        </w:rPr>
        <w:footnoteRef/>
      </w:r>
      <w:r w:rsidRPr="00383501">
        <w:rPr>
          <w:rFonts w:ascii="Public Sans" w:hAnsi="Public Sans" w:cs="Arial"/>
        </w:rPr>
        <w:t>.</w:t>
      </w:r>
      <w:r w:rsidRPr="00383501">
        <w:rPr>
          <w:rFonts w:ascii="Public Sans" w:hAnsi="Public Sans" w:cs="Arial"/>
        </w:rPr>
        <w:tab/>
      </w:r>
      <w:r w:rsidRPr="00383501">
        <w:rPr>
          <w:rFonts w:ascii="Public Sans" w:hAnsi="Public Sans" w:cs="Arial"/>
          <w:i/>
          <w:iCs/>
        </w:rPr>
        <w:t>Sex Discrimination Act 1984</w:t>
      </w:r>
      <w:r w:rsidRPr="00383501">
        <w:rPr>
          <w:rFonts w:ascii="Public Sans" w:hAnsi="Public Sans" w:cs="Arial"/>
        </w:rPr>
        <w:t xml:space="preserve"> (Cth) s 42(1); </w:t>
      </w:r>
      <w:r w:rsidRPr="00383501">
        <w:rPr>
          <w:rFonts w:ascii="Public Sans" w:hAnsi="Public Sans" w:cs="Arial"/>
          <w:i/>
          <w:iCs/>
        </w:rPr>
        <w:t>Equal Opportunity Act 2010</w:t>
      </w:r>
      <w:r w:rsidRPr="00383501">
        <w:rPr>
          <w:rFonts w:ascii="Public Sans" w:hAnsi="Public Sans" w:cs="Arial"/>
        </w:rPr>
        <w:t xml:space="preserve"> (Vic) s 72(1); </w:t>
      </w:r>
      <w:r w:rsidRPr="00383501">
        <w:rPr>
          <w:rFonts w:ascii="Public Sans" w:hAnsi="Public Sans" w:cs="Arial"/>
          <w:i/>
          <w:iCs/>
        </w:rPr>
        <w:t>Anti-Discrimination Act 1991</w:t>
      </w:r>
      <w:r w:rsidRPr="00383501">
        <w:rPr>
          <w:rFonts w:ascii="Public Sans" w:hAnsi="Public Sans" w:cs="Arial"/>
        </w:rPr>
        <w:t xml:space="preserve"> (Qld) s 111(3).</w:t>
      </w:r>
    </w:p>
  </w:footnote>
  <w:footnote w:id="744">
    <w:p w14:paraId="0EB4F022" w14:textId="77777777" w:rsidR="006A1316" w:rsidRPr="00383501" w:rsidRDefault="006A1316" w:rsidP="006A1316">
      <w:pPr>
        <w:pStyle w:val="FootnoteText"/>
        <w:rPr>
          <w:rFonts w:ascii="Public Sans" w:hAnsi="Public Sans" w:cs="Arial"/>
        </w:rPr>
      </w:pPr>
      <w:r w:rsidRPr="00383501">
        <w:rPr>
          <w:rStyle w:val="FootnoteReference"/>
          <w:rFonts w:cs="Arial"/>
          <w:vertAlign w:val="baseline"/>
        </w:rPr>
        <w:footnoteRef/>
      </w:r>
      <w:r w:rsidRPr="00383501">
        <w:rPr>
          <w:rFonts w:ascii="Public Sans" w:hAnsi="Public Sans" w:cs="Arial"/>
        </w:rPr>
        <w:t>.</w:t>
      </w:r>
      <w:r w:rsidRPr="00383501">
        <w:rPr>
          <w:rFonts w:ascii="Public Sans" w:hAnsi="Public Sans" w:cs="Arial"/>
        </w:rPr>
        <w:tab/>
      </w:r>
      <w:r w:rsidRPr="00383501">
        <w:rPr>
          <w:rFonts w:ascii="Public Sans" w:hAnsi="Public Sans" w:cs="Arial"/>
          <w:i/>
          <w:iCs/>
        </w:rPr>
        <w:t>Sex Discrimination Act 1984</w:t>
      </w:r>
      <w:r w:rsidRPr="00383501">
        <w:rPr>
          <w:rFonts w:ascii="Public Sans" w:hAnsi="Public Sans" w:cs="Arial"/>
        </w:rPr>
        <w:t xml:space="preserve"> (Cth)</w:t>
      </w:r>
      <w:r w:rsidRPr="00383501">
        <w:rPr>
          <w:rFonts w:ascii="Public Sans" w:hAnsi="Public Sans"/>
        </w:rPr>
        <w:t xml:space="preserve"> s 42(1); </w:t>
      </w:r>
      <w:r w:rsidRPr="00383501">
        <w:rPr>
          <w:rFonts w:ascii="Public Sans" w:hAnsi="Public Sans" w:cs="Arial"/>
          <w:i/>
          <w:iCs/>
        </w:rPr>
        <w:t>Equal Opportunity Act 2010</w:t>
      </w:r>
      <w:r w:rsidRPr="00383501">
        <w:rPr>
          <w:rFonts w:ascii="Public Sans" w:hAnsi="Public Sans" w:cs="Arial"/>
        </w:rPr>
        <w:t xml:space="preserve"> (Vic) 72(1); </w:t>
      </w:r>
      <w:r w:rsidRPr="00383501">
        <w:rPr>
          <w:rFonts w:ascii="Public Sans" w:hAnsi="Public Sans" w:cs="Arial"/>
          <w:i/>
          <w:iCs/>
        </w:rPr>
        <w:t>Anti-Discrimination Act 1991</w:t>
      </w:r>
      <w:r w:rsidRPr="00383501">
        <w:rPr>
          <w:rFonts w:ascii="Public Sans" w:hAnsi="Public Sans" w:cs="Arial"/>
        </w:rPr>
        <w:t xml:space="preserve"> (Qld) s 111(3); NSW Law Reform Commission,</w:t>
      </w:r>
      <w:r w:rsidRPr="00383501">
        <w:rPr>
          <w:rFonts w:ascii="Public Sans" w:hAnsi="Public Sans" w:cs="Arial"/>
          <w:i/>
          <w:iCs/>
        </w:rPr>
        <w:t xml:space="preserve"> Review of the Anti-Discrimination Act 1977 (NSW)</w:t>
      </w:r>
      <w:r w:rsidRPr="00383501">
        <w:rPr>
          <w:rFonts w:ascii="Public Sans" w:hAnsi="Public Sans" w:cs="Arial"/>
        </w:rPr>
        <w:t>, Report 92 (1999) rec 60, rec 81.</w:t>
      </w:r>
    </w:p>
  </w:footnote>
  <w:footnote w:id="745">
    <w:p w14:paraId="4E6CF1F0" w14:textId="77777777" w:rsidR="006A1316" w:rsidRPr="00383501" w:rsidRDefault="006A1316" w:rsidP="006A1316">
      <w:pPr>
        <w:pStyle w:val="FootnoteText"/>
        <w:rPr>
          <w:rFonts w:ascii="Public Sans" w:hAnsi="Public Sans" w:cs="Arial"/>
        </w:rPr>
      </w:pPr>
      <w:r w:rsidRPr="00383501">
        <w:rPr>
          <w:rStyle w:val="FootnoteReference"/>
          <w:rFonts w:cs="Arial"/>
          <w:vertAlign w:val="baseline"/>
        </w:rPr>
        <w:footnoteRef/>
      </w:r>
      <w:r w:rsidRPr="00383501">
        <w:rPr>
          <w:rFonts w:ascii="Public Sans" w:hAnsi="Public Sans" w:cs="Arial"/>
        </w:rPr>
        <w:t>.</w:t>
      </w:r>
      <w:r w:rsidRPr="00383501">
        <w:rPr>
          <w:rFonts w:ascii="Public Sans" w:hAnsi="Public Sans" w:cs="Arial"/>
        </w:rPr>
        <w:tab/>
      </w:r>
      <w:r w:rsidRPr="00383501">
        <w:rPr>
          <w:rFonts w:ascii="Public Sans" w:hAnsi="Public Sans" w:cs="Arial"/>
          <w:i/>
          <w:iCs/>
        </w:rPr>
        <w:t>Sex Discrimination Act 1984</w:t>
      </w:r>
      <w:r w:rsidRPr="00383501">
        <w:rPr>
          <w:rFonts w:ascii="Public Sans" w:hAnsi="Public Sans" w:cs="Arial"/>
        </w:rPr>
        <w:t xml:space="preserve"> (Cth) s 42(2)(b); </w:t>
      </w:r>
      <w:r w:rsidRPr="00383501">
        <w:rPr>
          <w:rFonts w:ascii="Public Sans" w:hAnsi="Public Sans" w:cs="Arial"/>
          <w:i/>
          <w:iCs/>
        </w:rPr>
        <w:t>Anti-Discrimination Act 1991</w:t>
      </w:r>
      <w:r w:rsidRPr="00383501">
        <w:rPr>
          <w:rFonts w:ascii="Public Sans" w:hAnsi="Public Sans" w:cs="Arial"/>
        </w:rPr>
        <w:t xml:space="preserve"> (Qld) s 111(4)(b), </w:t>
      </w:r>
      <w:r w:rsidRPr="00383501">
        <w:rPr>
          <w:rFonts w:ascii="Public Sans" w:hAnsi="Public Sans" w:cs="Arial"/>
          <w:i/>
          <w:iCs/>
        </w:rPr>
        <w:t>Equal Opportunity Act 1984</w:t>
      </w:r>
      <w:r w:rsidRPr="00383501">
        <w:rPr>
          <w:rFonts w:ascii="Public Sans" w:hAnsi="Public Sans" w:cs="Arial"/>
        </w:rPr>
        <w:t xml:space="preserve"> (WA) s 35(2)(b).</w:t>
      </w:r>
    </w:p>
  </w:footnote>
  <w:footnote w:id="746">
    <w:p w14:paraId="448A56C2" w14:textId="77777777" w:rsidR="006A1316" w:rsidRPr="00410DAB" w:rsidRDefault="006A1316" w:rsidP="006A1316">
      <w:pPr>
        <w:pStyle w:val="FootnoteText"/>
        <w:rPr>
          <w:rFonts w:ascii="Public Sans" w:hAnsi="Public Sans" w:cs="Arial"/>
        </w:rPr>
      </w:pPr>
      <w:r w:rsidRPr="00383501">
        <w:rPr>
          <w:rStyle w:val="FootnoteReference"/>
          <w:rFonts w:cs="Arial"/>
          <w:vertAlign w:val="baseline"/>
        </w:rPr>
        <w:footnoteRef/>
      </w:r>
      <w:r w:rsidRPr="00383501">
        <w:rPr>
          <w:rFonts w:ascii="Public Sans" w:hAnsi="Public Sans" w:cs="Arial"/>
        </w:rPr>
        <w:t>.</w:t>
      </w:r>
      <w:r w:rsidRPr="00383501">
        <w:rPr>
          <w:rFonts w:ascii="Public Sans" w:hAnsi="Public Sans" w:cs="Arial"/>
        </w:rPr>
        <w:tab/>
        <w:t xml:space="preserve">Equality Australia, </w:t>
      </w:r>
      <w:r w:rsidRPr="00383501">
        <w:rPr>
          <w:rFonts w:ascii="Public Sans" w:hAnsi="Public Sans" w:cs="Arial"/>
          <w:i/>
          <w:iCs/>
        </w:rPr>
        <w:t>Preliminary Submission PAD07</w:t>
      </w:r>
      <w:r w:rsidRPr="00383501">
        <w:rPr>
          <w:rFonts w:ascii="Public Sans" w:hAnsi="Public Sans" w:cs="Arial"/>
        </w:rPr>
        <w:t>, 15–16;</w:t>
      </w:r>
      <w:r w:rsidRPr="00383501">
        <w:rPr>
          <w:rFonts w:ascii="Public Sans" w:hAnsi="Public Sans"/>
        </w:rPr>
        <w:t xml:space="preserve"> </w:t>
      </w:r>
      <w:r w:rsidRPr="00383501">
        <w:rPr>
          <w:rFonts w:ascii="Public Sans" w:hAnsi="Public Sans" w:cs="Arial"/>
        </w:rPr>
        <w:t xml:space="preserve">Public Interest Advocacy Centre, </w:t>
      </w:r>
      <w:r w:rsidRPr="00383501">
        <w:rPr>
          <w:rFonts w:ascii="Public Sans" w:hAnsi="Public Sans" w:cs="Arial"/>
          <w:i/>
          <w:iCs/>
        </w:rPr>
        <w:t>Preliminary Submission PAD82</w:t>
      </w:r>
      <w:r w:rsidRPr="00383501">
        <w:rPr>
          <w:rFonts w:ascii="Public Sans" w:hAnsi="Public Sans" w:cs="Arial"/>
        </w:rPr>
        <w:t xml:space="preserve">, 16. </w:t>
      </w:r>
    </w:p>
  </w:footnote>
  <w:footnote w:id="747">
    <w:p w14:paraId="0A2F30C3" w14:textId="77777777" w:rsidR="006A1316" w:rsidRPr="00410DAB" w:rsidRDefault="006A1316" w:rsidP="006A1316">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Anti-Discrimination Act 1977</w:t>
      </w:r>
      <w:r w:rsidRPr="00410DAB">
        <w:rPr>
          <w:rFonts w:ascii="Public Sans" w:hAnsi="Public Sans" w:cs="Arial"/>
          <w:color w:val="000000" w:themeColor="text1"/>
        </w:rPr>
        <w:t xml:space="preserve"> (NSW) s 49R.</w:t>
      </w:r>
    </w:p>
  </w:footnote>
  <w:footnote w:id="748">
    <w:p w14:paraId="4F6E6BFA"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Disability Discrimination Act 1992</w:t>
      </w:r>
      <w:r w:rsidRPr="00410DAB">
        <w:rPr>
          <w:rFonts w:ascii="Public Sans" w:hAnsi="Public Sans" w:cs="Arial"/>
        </w:rPr>
        <w:t xml:space="preserve"> (Cth) s 28(c).</w:t>
      </w:r>
    </w:p>
  </w:footnote>
  <w:footnote w:id="749">
    <w:p w14:paraId="5A312611"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57; </w:t>
      </w:r>
      <w:r w:rsidRPr="00410DAB">
        <w:rPr>
          <w:rFonts w:ascii="Public Sans" w:hAnsi="Public Sans" w:cs="Arial"/>
          <w:i/>
          <w:iCs/>
        </w:rPr>
        <w:t>Equal Opportunity Act 2010</w:t>
      </w:r>
      <w:r w:rsidRPr="00410DAB">
        <w:rPr>
          <w:rFonts w:ascii="Public Sans" w:hAnsi="Public Sans" w:cs="Arial"/>
        </w:rPr>
        <w:t xml:space="preserve"> (Vic) s 72(2)(c); </w:t>
      </w:r>
      <w:r w:rsidRPr="00410DAB">
        <w:rPr>
          <w:rFonts w:ascii="Public Sans" w:hAnsi="Public Sans" w:cs="Arial"/>
          <w:i/>
          <w:iCs/>
        </w:rPr>
        <w:t>Anti-Discrimination Act 1992</w:t>
      </w:r>
      <w:r w:rsidRPr="00410DAB">
        <w:rPr>
          <w:rFonts w:ascii="Public Sans" w:hAnsi="Public Sans" w:cs="Arial"/>
        </w:rPr>
        <w:t xml:space="preserve"> (NT) s 56(1)(d); </w:t>
      </w:r>
      <w:r w:rsidRPr="00410DAB">
        <w:rPr>
          <w:rFonts w:ascii="Public Sans" w:hAnsi="Public Sans" w:cs="Arial"/>
          <w:i/>
          <w:iCs/>
        </w:rPr>
        <w:t>Anti-Discrimination Act 1991</w:t>
      </w:r>
      <w:r w:rsidRPr="00410DAB">
        <w:rPr>
          <w:rFonts w:ascii="Public Sans" w:hAnsi="Public Sans" w:cs="Arial"/>
        </w:rPr>
        <w:t xml:space="preserve"> (Qld) s 111(1)(d); </w:t>
      </w:r>
      <w:r w:rsidRPr="00410DAB">
        <w:rPr>
          <w:rFonts w:ascii="Public Sans" w:hAnsi="Public Sans" w:cs="Arial"/>
          <w:i/>
          <w:iCs/>
        </w:rPr>
        <w:t>Anti-Discrimination Act 1998</w:t>
      </w:r>
      <w:r w:rsidRPr="00410DAB">
        <w:rPr>
          <w:rFonts w:ascii="Public Sans" w:hAnsi="Public Sans" w:cs="Arial"/>
        </w:rPr>
        <w:t xml:space="preserve"> (Tas) s 43; </w:t>
      </w:r>
      <w:r w:rsidRPr="00410DAB">
        <w:rPr>
          <w:rFonts w:ascii="Public Sans" w:hAnsi="Public Sans" w:cs="Arial"/>
          <w:i/>
          <w:iCs/>
        </w:rPr>
        <w:t>Equal Opportunity Act 1984</w:t>
      </w:r>
      <w:r w:rsidRPr="00410DAB">
        <w:rPr>
          <w:rFonts w:ascii="Public Sans" w:hAnsi="Public Sans" w:cs="Arial"/>
        </w:rPr>
        <w:t xml:space="preserve"> (SA) s 81; </w:t>
      </w:r>
      <w:r w:rsidRPr="00410DAB">
        <w:rPr>
          <w:rFonts w:ascii="Public Sans" w:hAnsi="Public Sans" w:cs="Arial"/>
          <w:i/>
          <w:iCs/>
        </w:rPr>
        <w:t>Equal Opportunity Act 1984</w:t>
      </w:r>
      <w:r w:rsidRPr="00410DAB">
        <w:rPr>
          <w:rFonts w:ascii="Public Sans" w:hAnsi="Public Sans" w:cs="Arial"/>
        </w:rPr>
        <w:t xml:space="preserve"> (WA) s 66N(3). </w:t>
      </w:r>
    </w:p>
  </w:footnote>
  <w:footnote w:id="750">
    <w:p w14:paraId="2A8E489F"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57(1); </w:t>
      </w:r>
      <w:r w:rsidRPr="00410DAB">
        <w:rPr>
          <w:rFonts w:ascii="Public Sans" w:hAnsi="Public Sans" w:cs="Arial"/>
          <w:i/>
          <w:iCs/>
        </w:rPr>
        <w:t>Equal Opportunity Act 2010</w:t>
      </w:r>
      <w:r w:rsidRPr="00410DAB">
        <w:rPr>
          <w:rFonts w:ascii="Public Sans" w:hAnsi="Public Sans" w:cs="Arial"/>
        </w:rPr>
        <w:t xml:space="preserve"> (Vic) s 72(2); </w:t>
      </w:r>
      <w:r w:rsidRPr="00410DAB">
        <w:rPr>
          <w:rFonts w:ascii="Public Sans" w:hAnsi="Public Sans" w:cs="Arial"/>
          <w:i/>
          <w:iCs/>
        </w:rPr>
        <w:t>Anti-Discrimination Act 1991</w:t>
      </w:r>
      <w:r w:rsidRPr="00410DAB">
        <w:rPr>
          <w:rFonts w:ascii="Public Sans" w:hAnsi="Public Sans" w:cs="Arial"/>
        </w:rPr>
        <w:t xml:space="preserve"> (Qld) s 111(1).</w:t>
      </w:r>
    </w:p>
  </w:footnote>
  <w:footnote w:id="751">
    <w:p w14:paraId="2F84CB90"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57(1)(a).</w:t>
      </w:r>
    </w:p>
  </w:footnote>
  <w:footnote w:id="752">
    <w:p w14:paraId="148217F3"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 xml:space="preserve">. </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57(2); </w:t>
      </w:r>
      <w:r w:rsidRPr="00410DAB">
        <w:rPr>
          <w:rFonts w:ascii="Public Sans" w:hAnsi="Public Sans" w:cs="Arial"/>
          <w:i/>
          <w:iCs/>
        </w:rPr>
        <w:t>Anti-Discrimination Act 1992</w:t>
      </w:r>
      <w:r w:rsidRPr="00410DAB">
        <w:rPr>
          <w:rFonts w:ascii="Public Sans" w:hAnsi="Public Sans" w:cs="Arial"/>
        </w:rPr>
        <w:t xml:space="preserve"> (NT) s 56(3); </w:t>
      </w:r>
      <w:r w:rsidRPr="00410DAB">
        <w:rPr>
          <w:rFonts w:ascii="Public Sans" w:hAnsi="Public Sans" w:cs="Arial"/>
          <w:i/>
          <w:iCs/>
        </w:rPr>
        <w:t>Anti-Discrimination Act 1991</w:t>
      </w:r>
      <w:r w:rsidRPr="00410DAB">
        <w:rPr>
          <w:rFonts w:ascii="Public Sans" w:hAnsi="Public Sans" w:cs="Arial"/>
        </w:rPr>
        <w:t xml:space="preserve"> (Qld) s 111(4).</w:t>
      </w:r>
    </w:p>
  </w:footnote>
  <w:footnote w:id="753">
    <w:p w14:paraId="5DDD8770"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xml:space="preserve"> Review of the Anti-Discrimination Act 1977 (NSW)</w:t>
      </w:r>
      <w:r w:rsidRPr="00410DAB">
        <w:rPr>
          <w:rFonts w:ascii="Public Sans" w:hAnsi="Public Sans" w:cs="Arial"/>
        </w:rPr>
        <w:t>, Report 92 (1999) [6.295], rec 68.</w:t>
      </w:r>
    </w:p>
  </w:footnote>
  <w:footnote w:id="754">
    <w:p w14:paraId="16A1BC71"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49ZYW.</w:t>
      </w:r>
    </w:p>
  </w:footnote>
  <w:footnote w:id="755">
    <w:p w14:paraId="55C6EBFA"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57M(1); </w:t>
      </w:r>
      <w:r w:rsidRPr="00410DAB">
        <w:rPr>
          <w:rFonts w:ascii="Public Sans" w:hAnsi="Public Sans" w:cs="Arial"/>
          <w:i/>
          <w:iCs/>
        </w:rPr>
        <w:t>Equal Opportunity Act 2010</w:t>
      </w:r>
      <w:r w:rsidRPr="00410DAB">
        <w:rPr>
          <w:rFonts w:ascii="Public Sans" w:hAnsi="Public Sans" w:cs="Arial"/>
        </w:rPr>
        <w:t xml:space="preserve"> (Vic) s 72(2)(b); </w:t>
      </w:r>
      <w:r w:rsidRPr="00410DAB">
        <w:rPr>
          <w:rFonts w:ascii="Public Sans" w:hAnsi="Public Sans" w:cs="Arial"/>
          <w:i/>
          <w:iCs/>
        </w:rPr>
        <w:t xml:space="preserve">Anti-Discrimination Act 1992 </w:t>
      </w:r>
      <w:r w:rsidRPr="00410DAB">
        <w:rPr>
          <w:rFonts w:ascii="Public Sans" w:hAnsi="Public Sans" w:cs="Arial"/>
        </w:rPr>
        <w:t xml:space="preserve">(NT) s 56(1)(c); </w:t>
      </w:r>
      <w:r w:rsidRPr="00410DAB">
        <w:rPr>
          <w:rFonts w:ascii="Public Sans" w:hAnsi="Public Sans" w:cs="Arial"/>
          <w:i/>
          <w:iCs/>
        </w:rPr>
        <w:t>Anti-Discrimination Act 1991</w:t>
      </w:r>
      <w:r w:rsidRPr="00410DAB">
        <w:rPr>
          <w:rFonts w:ascii="Public Sans" w:hAnsi="Public Sans" w:cs="Arial"/>
        </w:rPr>
        <w:t xml:space="preserve"> (Qld) s 111(1)(c); </w:t>
      </w:r>
      <w:r w:rsidRPr="00410DAB">
        <w:rPr>
          <w:rFonts w:ascii="Public Sans" w:hAnsi="Public Sans" w:cs="Arial"/>
          <w:i/>
          <w:iCs/>
        </w:rPr>
        <w:t>Anti-Discrimination Act 1998</w:t>
      </w:r>
      <w:r w:rsidRPr="00410DAB">
        <w:rPr>
          <w:rFonts w:ascii="Public Sans" w:hAnsi="Public Sans" w:cs="Arial"/>
        </w:rPr>
        <w:t xml:space="preserve"> (Tas) s 31; </w:t>
      </w:r>
      <w:r w:rsidRPr="00410DAB">
        <w:rPr>
          <w:rFonts w:ascii="Public Sans" w:hAnsi="Public Sans" w:cs="Arial"/>
          <w:i/>
          <w:iCs/>
        </w:rPr>
        <w:t>Equal Opportunity Act 1984</w:t>
      </w:r>
      <w:r w:rsidRPr="00410DAB">
        <w:rPr>
          <w:rFonts w:ascii="Public Sans" w:hAnsi="Public Sans" w:cs="Arial"/>
        </w:rPr>
        <w:t xml:space="preserve"> (SA) s 85Q; </w:t>
      </w:r>
      <w:r w:rsidRPr="00410DAB">
        <w:rPr>
          <w:rFonts w:ascii="Public Sans" w:hAnsi="Public Sans" w:cs="Arial"/>
          <w:i/>
          <w:iCs/>
        </w:rPr>
        <w:t>Equal Opportunity Act 1984</w:t>
      </w:r>
      <w:r w:rsidRPr="00410DAB">
        <w:rPr>
          <w:rFonts w:ascii="Public Sans" w:hAnsi="Public Sans" w:cs="Arial"/>
        </w:rPr>
        <w:t xml:space="preserve"> (WA) s 66ZJ(3). </w:t>
      </w:r>
    </w:p>
  </w:footnote>
  <w:footnote w:id="756">
    <w:p w14:paraId="4B57C71D"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57M(1); </w:t>
      </w:r>
      <w:r w:rsidRPr="00410DAB">
        <w:rPr>
          <w:rFonts w:ascii="Public Sans" w:hAnsi="Public Sans" w:cs="Arial"/>
          <w:i/>
          <w:iCs/>
        </w:rPr>
        <w:t>Equal Opportunity Act 2010</w:t>
      </w:r>
      <w:r w:rsidRPr="00410DAB">
        <w:rPr>
          <w:rFonts w:ascii="Public Sans" w:hAnsi="Public Sans" w:cs="Arial"/>
        </w:rPr>
        <w:t xml:space="preserve"> (Vic) s 72(2); </w:t>
      </w:r>
      <w:r w:rsidRPr="00410DAB">
        <w:rPr>
          <w:rFonts w:ascii="Public Sans" w:hAnsi="Public Sans" w:cs="Arial"/>
          <w:i/>
          <w:iCs/>
        </w:rPr>
        <w:t>Anti-Discrimination Act 1992</w:t>
      </w:r>
      <w:r w:rsidRPr="00410DAB">
        <w:rPr>
          <w:rFonts w:ascii="Public Sans" w:hAnsi="Public Sans" w:cs="Arial"/>
        </w:rPr>
        <w:t xml:space="preserve"> (NT) s 56(1); </w:t>
      </w:r>
      <w:r w:rsidRPr="00410DAB">
        <w:rPr>
          <w:rFonts w:ascii="Public Sans" w:hAnsi="Public Sans" w:cs="Arial"/>
          <w:i/>
          <w:iCs/>
        </w:rPr>
        <w:t>Anti-Discrimination Act 1991</w:t>
      </w:r>
      <w:r w:rsidRPr="00410DAB">
        <w:rPr>
          <w:rFonts w:ascii="Public Sans" w:hAnsi="Public Sans" w:cs="Arial"/>
        </w:rPr>
        <w:t xml:space="preserve"> (Qld) s 111(1)(c); </w:t>
      </w:r>
      <w:r w:rsidRPr="00410DAB">
        <w:rPr>
          <w:rFonts w:ascii="Public Sans" w:hAnsi="Public Sans" w:cs="Arial"/>
          <w:i/>
          <w:iCs/>
        </w:rPr>
        <w:t>Anti-Discrimination Act 1998</w:t>
      </w:r>
      <w:r w:rsidRPr="00410DAB">
        <w:rPr>
          <w:rFonts w:ascii="Public Sans" w:hAnsi="Public Sans" w:cs="Arial"/>
        </w:rPr>
        <w:t xml:space="preserve"> (Tas) s 31; </w:t>
      </w:r>
      <w:r w:rsidRPr="00410DAB">
        <w:rPr>
          <w:rFonts w:ascii="Public Sans" w:hAnsi="Public Sans" w:cs="Arial"/>
          <w:i/>
          <w:iCs/>
        </w:rPr>
        <w:t>Equal Opportunity Act 1984</w:t>
      </w:r>
      <w:r w:rsidRPr="00410DAB">
        <w:rPr>
          <w:rFonts w:ascii="Public Sans" w:hAnsi="Public Sans" w:cs="Arial"/>
        </w:rPr>
        <w:t xml:space="preserve"> (SA) s 85Q.</w:t>
      </w:r>
    </w:p>
  </w:footnote>
  <w:footnote w:id="757">
    <w:p w14:paraId="017E6F97"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xml:space="preserve"> Review of the Anti-Discrimination Act 1977 (NSW)</w:t>
      </w:r>
      <w:r w:rsidRPr="00410DAB">
        <w:rPr>
          <w:rFonts w:ascii="Public Sans" w:hAnsi="Public Sans" w:cs="Arial"/>
        </w:rPr>
        <w:t>, Report 92 (1999) rec 79, [</w:t>
      </w:r>
      <w:r w:rsidRPr="00410DAB">
        <w:rPr>
          <w:rFonts w:ascii="Public Sans" w:hAnsi="Public Sans"/>
        </w:rPr>
        <w:t>6.396].</w:t>
      </w:r>
    </w:p>
  </w:footnote>
  <w:footnote w:id="758">
    <w:p w14:paraId="6A8BB557"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22.</w:t>
      </w:r>
    </w:p>
  </w:footnote>
  <w:footnote w:id="759">
    <w:p w14:paraId="0CB8C15F"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4(1) definition of “race”.</w:t>
      </w:r>
    </w:p>
  </w:footnote>
  <w:footnote w:id="760">
    <w:p w14:paraId="26DF14A2" w14:textId="673FD45F"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xml:space="preserve"> Review of the Anti-Discrimination Act 1977 (NSW)</w:t>
      </w:r>
      <w:r w:rsidRPr="00410DAB">
        <w:rPr>
          <w:rFonts w:ascii="Public Sans" w:hAnsi="Public Sans" w:cs="Arial"/>
        </w:rPr>
        <w:t>, Report 92 (1999) [6.160], rec</w:t>
      </w:r>
      <w:r w:rsidR="00B72A22">
        <w:rPr>
          <w:rFonts w:ascii="Public Sans" w:hAnsi="Public Sans" w:cs="Arial"/>
        </w:rPr>
        <w:t> </w:t>
      </w:r>
      <w:r w:rsidRPr="00410DAB">
        <w:rPr>
          <w:rFonts w:ascii="Public Sans" w:hAnsi="Public Sans" w:cs="Arial"/>
        </w:rPr>
        <w:t>53.</w:t>
      </w:r>
    </w:p>
  </w:footnote>
  <w:footnote w:id="761">
    <w:p w14:paraId="57274A64"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55. </w:t>
      </w:r>
    </w:p>
  </w:footnote>
  <w:footnote w:id="762">
    <w:p w14:paraId="195DB95E"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55(2) definition of “charitable benefits”. </w:t>
      </w:r>
    </w:p>
  </w:footnote>
  <w:footnote w:id="763">
    <w:p w14:paraId="3B9D1939"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Charities Act 2013</w:t>
      </w:r>
      <w:r w:rsidRPr="00410DAB">
        <w:rPr>
          <w:rFonts w:ascii="Public Sans" w:hAnsi="Public Sans" w:cs="Arial"/>
        </w:rPr>
        <w:t xml:space="preserve"> (Cth) s 12 definition of “charitable purpose”.</w:t>
      </w:r>
    </w:p>
  </w:footnote>
  <w:footnote w:id="764">
    <w:p w14:paraId="14DD83E4"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Kay v South Eastern Sydney Area Health Service</w:t>
      </w:r>
      <w:r w:rsidRPr="00410DAB">
        <w:rPr>
          <w:rFonts w:ascii="Public Sans" w:hAnsi="Public Sans" w:cs="Arial"/>
        </w:rPr>
        <w:t xml:space="preserve"> [2003] NSWSC 292 [19]–[20].</w:t>
      </w:r>
    </w:p>
  </w:footnote>
  <w:footnote w:id="765">
    <w:p w14:paraId="11196FB0"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rec 45, [6.59].</w:t>
      </w:r>
    </w:p>
  </w:footnote>
  <w:footnote w:id="766">
    <w:p w14:paraId="17DE6CB6"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Sex Discrimination Act</w:t>
      </w:r>
      <w:r w:rsidRPr="00410DAB">
        <w:rPr>
          <w:rFonts w:ascii="Public Sans" w:hAnsi="Public Sans" w:cs="Arial"/>
        </w:rPr>
        <w:t xml:space="preserve"> </w:t>
      </w:r>
      <w:r w:rsidRPr="00410DAB">
        <w:rPr>
          <w:rFonts w:ascii="Public Sans" w:hAnsi="Public Sans" w:cs="Arial"/>
          <w:i/>
          <w:iCs/>
        </w:rPr>
        <w:t xml:space="preserve">1984 </w:t>
      </w:r>
      <w:r w:rsidRPr="00410DAB">
        <w:rPr>
          <w:rFonts w:ascii="Public Sans" w:hAnsi="Public Sans" w:cs="Arial"/>
        </w:rPr>
        <w:t xml:space="preserve">(Cth) s 36; </w:t>
      </w:r>
      <w:r w:rsidRPr="00410DAB">
        <w:rPr>
          <w:rFonts w:ascii="Public Sans" w:hAnsi="Public Sans" w:cs="Arial"/>
          <w:i/>
          <w:iCs/>
        </w:rPr>
        <w:t>Disability Discrimination Act</w:t>
      </w:r>
      <w:r w:rsidRPr="00410DAB">
        <w:rPr>
          <w:rFonts w:ascii="Public Sans" w:hAnsi="Public Sans" w:cs="Arial"/>
        </w:rPr>
        <w:t xml:space="preserve"> </w:t>
      </w:r>
      <w:r w:rsidRPr="00410DAB">
        <w:rPr>
          <w:rFonts w:ascii="Public Sans" w:hAnsi="Public Sans" w:cs="Arial"/>
          <w:i/>
          <w:iCs/>
        </w:rPr>
        <w:t>1992</w:t>
      </w:r>
      <w:r w:rsidRPr="00410DAB">
        <w:rPr>
          <w:rFonts w:ascii="Public Sans" w:hAnsi="Public Sans" w:cs="Arial"/>
        </w:rPr>
        <w:t xml:space="preserve"> (Cth) s 49; </w:t>
      </w:r>
      <w:r w:rsidRPr="00410DAB">
        <w:rPr>
          <w:rFonts w:ascii="Public Sans" w:hAnsi="Public Sans" w:cs="Arial"/>
          <w:i/>
          <w:iCs/>
        </w:rPr>
        <w:t>Age Discrimination Act 2004</w:t>
      </w:r>
      <w:r w:rsidRPr="00410DAB">
        <w:rPr>
          <w:rFonts w:ascii="Public Sans" w:hAnsi="Public Sans" w:cs="Arial"/>
        </w:rPr>
        <w:t xml:space="preserve"> (Cth) s 34; </w:t>
      </w:r>
      <w:r w:rsidRPr="00410DAB">
        <w:rPr>
          <w:rFonts w:ascii="Public Sans" w:hAnsi="Public Sans" w:cs="Arial"/>
          <w:i/>
          <w:iCs/>
        </w:rPr>
        <w:t>Racial Discrimination Act 1975</w:t>
      </w:r>
      <w:r w:rsidRPr="00410DAB">
        <w:rPr>
          <w:rFonts w:ascii="Public Sans" w:hAnsi="Public Sans" w:cs="Arial"/>
        </w:rPr>
        <w:t xml:space="preserve"> (Cth) s 8(2).</w:t>
      </w:r>
    </w:p>
  </w:footnote>
  <w:footnote w:id="767">
    <w:p w14:paraId="4AFD3751"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Law Reform Commission of Western Australia, </w:t>
      </w:r>
      <w:r w:rsidRPr="00410DAB">
        <w:rPr>
          <w:rFonts w:ascii="Public Sans" w:hAnsi="Public Sans" w:cs="Arial"/>
          <w:i/>
          <w:iCs/>
        </w:rPr>
        <w:t>Review of the Equal Opportunity Act 1984 (WA)</w:t>
      </w:r>
      <w:r w:rsidRPr="00410DAB">
        <w:rPr>
          <w:rFonts w:ascii="Public Sans" w:hAnsi="Public Sans" w:cs="Arial"/>
        </w:rPr>
        <w:t>, Project 111, Final Report (2022) rec 70, rec 71.</w:t>
      </w:r>
    </w:p>
  </w:footnote>
  <w:footnote w:id="768">
    <w:p w14:paraId="6F3FF6EA"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Equality Act 2010</w:t>
      </w:r>
      <w:r w:rsidRPr="00410DAB">
        <w:rPr>
          <w:rFonts w:ascii="Public Sans" w:hAnsi="Public Sans" w:cs="Arial"/>
        </w:rPr>
        <w:t xml:space="preserve"> (UK) s 193(2).</w:t>
      </w:r>
    </w:p>
  </w:footnote>
  <w:footnote w:id="769">
    <w:p w14:paraId="03F05CB5"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57(2).</w:t>
      </w:r>
    </w:p>
  </w:footnote>
  <w:footnote w:id="770">
    <w:p w14:paraId="37213C3C"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szCs w:val="18"/>
        </w:rPr>
        <w:t>Webb v Surf Life Saving New South Wales</w:t>
      </w:r>
      <w:r w:rsidRPr="00410DAB">
        <w:rPr>
          <w:rFonts w:ascii="Public Sans" w:hAnsi="Public Sans" w:cs="Arial"/>
          <w:szCs w:val="18"/>
        </w:rPr>
        <w:t xml:space="preserve"> [2020] NSWCATAD 232 [27]–[34]; </w:t>
      </w:r>
      <w:r w:rsidRPr="00410DAB">
        <w:rPr>
          <w:rFonts w:ascii="Public Sans" w:hAnsi="Public Sans" w:cs="Arial"/>
          <w:i/>
          <w:iCs/>
          <w:szCs w:val="18"/>
        </w:rPr>
        <w:t>Grass v Voyager Tennis Pty Ltd</w:t>
      </w:r>
      <w:r w:rsidRPr="00410DAB">
        <w:rPr>
          <w:rFonts w:ascii="Public Sans" w:hAnsi="Public Sans" w:cs="Arial"/>
          <w:szCs w:val="18"/>
        </w:rPr>
        <w:t xml:space="preserve"> [2023] NSWCATAD 68 [58].</w:t>
      </w:r>
    </w:p>
  </w:footnote>
  <w:footnote w:id="771">
    <w:p w14:paraId="11109148" w14:textId="77777777" w:rsidR="006A1316" w:rsidRPr="00410DAB" w:rsidRDefault="006A1316" w:rsidP="006A1316">
      <w:pPr>
        <w:pStyle w:val="FootnoteText"/>
        <w:rPr>
          <w:rFonts w:ascii="Public Sans" w:hAnsi="Public Sans" w:cs="Arial"/>
          <w:color w:val="538135" w:themeColor="accent6" w:themeShade="BF"/>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57(1). </w:t>
      </w:r>
    </w:p>
  </w:footnote>
  <w:footnote w:id="772">
    <w:p w14:paraId="43A23592"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xml:space="preserve">, Report 92 (1999) [6.77], [6.83]. </w:t>
      </w:r>
    </w:p>
  </w:footnote>
  <w:footnote w:id="773">
    <w:p w14:paraId="40EE07A4"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rec 27, rec 47, [6.88].</w:t>
      </w:r>
    </w:p>
  </w:footnote>
  <w:footnote w:id="774">
    <w:p w14:paraId="06A8041C"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w:t>
      </w:r>
      <w:r w:rsidRPr="00410DAB">
        <w:rPr>
          <w:rFonts w:ascii="Public Sans" w:hAnsi="Public Sans" w:cs="Arial"/>
        </w:rPr>
        <w:t xml:space="preserve"> </w:t>
      </w:r>
      <w:r w:rsidRPr="00410DAB">
        <w:rPr>
          <w:rFonts w:ascii="Public Sans" w:hAnsi="Public Sans" w:cs="Arial"/>
          <w:i/>
          <w:iCs/>
        </w:rPr>
        <w:t>1991</w:t>
      </w:r>
      <w:r w:rsidRPr="00410DAB">
        <w:rPr>
          <w:rFonts w:ascii="Public Sans" w:hAnsi="Public Sans" w:cs="Arial"/>
        </w:rPr>
        <w:t xml:space="preserve"> (ACT) s 31. See also Law Reform Commission of Western Australia, </w:t>
      </w:r>
      <w:r w:rsidRPr="00410DAB">
        <w:rPr>
          <w:rFonts w:ascii="Public Sans" w:hAnsi="Public Sans" w:cs="Arial"/>
          <w:i/>
          <w:iCs/>
        </w:rPr>
        <w:t>Review of the Equal Opportunity Act 1984 (WA)</w:t>
      </w:r>
      <w:r w:rsidRPr="00410DAB">
        <w:rPr>
          <w:rFonts w:ascii="Public Sans" w:hAnsi="Public Sans" w:cs="Arial"/>
        </w:rPr>
        <w:t>, Project 111, Final Report (2022) rec 72.</w:t>
      </w:r>
    </w:p>
  </w:footnote>
  <w:footnote w:id="775">
    <w:p w14:paraId="76B25E5D"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59.</w:t>
      </w:r>
    </w:p>
  </w:footnote>
  <w:footnote w:id="776">
    <w:p w14:paraId="33DB1ED4"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NSW Law Reform Commission,</w:t>
      </w:r>
      <w:r w:rsidRPr="00410DAB">
        <w:rPr>
          <w:rFonts w:ascii="Public Sans" w:hAnsi="Public Sans" w:cs="Arial"/>
          <w:i/>
          <w:iCs/>
        </w:rPr>
        <w:t xml:space="preserve"> Review of the Anti-Discrimination Act 1977 (NSW)</w:t>
      </w:r>
      <w:r w:rsidRPr="00410DAB">
        <w:rPr>
          <w:rFonts w:ascii="Public Sans" w:hAnsi="Public Sans" w:cs="Arial"/>
        </w:rPr>
        <w:t>, Report 92 (1999) rec 48, [6.93]–[6.96].</w:t>
      </w:r>
    </w:p>
  </w:footnote>
  <w:footnote w:id="777">
    <w:p w14:paraId="783A8D65"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Equal Opportunity Act 1984</w:t>
      </w:r>
      <w:r w:rsidRPr="00410DAB">
        <w:rPr>
          <w:rFonts w:ascii="Public Sans" w:hAnsi="Public Sans" w:cs="Arial"/>
        </w:rPr>
        <w:t xml:space="preserve"> (WA) s 74(2)(a).</w:t>
      </w:r>
    </w:p>
  </w:footnote>
  <w:footnote w:id="778">
    <w:p w14:paraId="794F487C"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Law Reform Commission of Western Australia, </w:t>
      </w:r>
      <w:r w:rsidRPr="00410DAB">
        <w:rPr>
          <w:rFonts w:ascii="Public Sans" w:hAnsi="Public Sans" w:cs="Arial"/>
          <w:i/>
          <w:iCs/>
        </w:rPr>
        <w:t>Review of the Equal Opportunity Act 1984</w:t>
      </w:r>
      <w:r w:rsidRPr="00410DAB">
        <w:rPr>
          <w:rFonts w:ascii="Public Sans" w:hAnsi="Public Sans" w:cs="Arial"/>
        </w:rPr>
        <w:t xml:space="preserve"> (WA), Project 111, Final Report (2022) rec 82.</w:t>
      </w:r>
    </w:p>
  </w:footnote>
  <w:footnote w:id="779">
    <w:p w14:paraId="719CB35B"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54.</w:t>
      </w:r>
    </w:p>
  </w:footnote>
  <w:footnote w:id="780">
    <w:p w14:paraId="2399A312"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Sex Discrimination Act 1984</w:t>
      </w:r>
      <w:r w:rsidRPr="00410DAB">
        <w:rPr>
          <w:rFonts w:ascii="Public Sans" w:hAnsi="Public Sans" w:cs="Arial"/>
        </w:rPr>
        <w:t xml:space="preserve"> (Cth) s 40(2B)–(3). See also </w:t>
      </w:r>
      <w:r w:rsidRPr="00410DAB">
        <w:rPr>
          <w:rFonts w:ascii="Public Sans" w:hAnsi="Public Sans"/>
          <w:i/>
          <w:iCs/>
          <w:szCs w:val="18"/>
        </w:rPr>
        <w:t xml:space="preserve">Disability Discrimination Act 1992 </w:t>
      </w:r>
      <w:r w:rsidRPr="00410DAB">
        <w:rPr>
          <w:rFonts w:ascii="Public Sans" w:hAnsi="Public Sans"/>
          <w:szCs w:val="18"/>
        </w:rPr>
        <w:t>(Cth</w:t>
      </w:r>
      <w:r w:rsidRPr="00410DAB">
        <w:rPr>
          <w:rFonts w:ascii="Public Sans" w:hAnsi="Public Sans" w:cs="Arial"/>
        </w:rPr>
        <w:t>) s 47(2).</w:t>
      </w:r>
    </w:p>
  </w:footnote>
  <w:footnote w:id="781">
    <w:p w14:paraId="5811AA80"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szCs w:val="18"/>
        </w:rPr>
        <w:t xml:space="preserve">Disability Discrimination Act 1992 </w:t>
      </w:r>
      <w:r w:rsidRPr="00410DAB">
        <w:rPr>
          <w:rFonts w:ascii="Public Sans" w:hAnsi="Public Sans"/>
          <w:szCs w:val="18"/>
        </w:rPr>
        <w:t>(Cth</w:t>
      </w:r>
      <w:r w:rsidRPr="00410DAB">
        <w:rPr>
          <w:rFonts w:ascii="Public Sans" w:hAnsi="Public Sans" w:cs="Arial"/>
        </w:rPr>
        <w:t xml:space="preserve">) s 47(1); </w:t>
      </w:r>
      <w:r w:rsidRPr="00410DAB">
        <w:rPr>
          <w:rFonts w:ascii="Public Sans" w:hAnsi="Public Sans" w:cs="Arial"/>
          <w:i/>
          <w:iCs/>
        </w:rPr>
        <w:t>Age Discrimination Act 2004</w:t>
      </w:r>
      <w:r w:rsidRPr="00410DAB">
        <w:rPr>
          <w:rFonts w:ascii="Public Sans" w:hAnsi="Public Sans" w:cs="Arial"/>
        </w:rPr>
        <w:t xml:space="preserve"> (Cth) s 39(7</w:t>
      </w:r>
      <w:r w:rsidRPr="00410DAB">
        <w:rPr>
          <w:rFonts w:ascii="Public Sans" w:hAnsi="Public Sans" w:cs="Arial"/>
          <w:i/>
          <w:iCs/>
        </w:rPr>
        <w:t>)</w:t>
      </w:r>
      <w:r w:rsidRPr="00410DAB">
        <w:rPr>
          <w:rFonts w:ascii="Public Sans" w:hAnsi="Public Sans" w:cs="Arial"/>
        </w:rPr>
        <w:t>;</w:t>
      </w:r>
      <w:r w:rsidRPr="00410DAB">
        <w:rPr>
          <w:rFonts w:ascii="Public Sans" w:hAnsi="Public Sans" w:cs="Arial"/>
          <w:i/>
          <w:iCs/>
        </w:rPr>
        <w:t xml:space="preserve"> Sex Discrimination Act 1984</w:t>
      </w:r>
      <w:r w:rsidRPr="00410DAB">
        <w:rPr>
          <w:rFonts w:ascii="Public Sans" w:hAnsi="Public Sans" w:cs="Arial"/>
        </w:rPr>
        <w:t xml:space="preserve"> (Cth) s 40(1)(d)–(e).</w:t>
      </w:r>
    </w:p>
  </w:footnote>
  <w:footnote w:id="782">
    <w:p w14:paraId="38C6DCD9"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rec 43, [6.38].</w:t>
      </w:r>
    </w:p>
  </w:footnote>
  <w:footnote w:id="783">
    <w:p w14:paraId="40133D56"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Discrimination Act 1991</w:t>
      </w:r>
      <w:r w:rsidRPr="00410DAB">
        <w:rPr>
          <w:rFonts w:ascii="Public Sans" w:hAnsi="Public Sans" w:cs="Arial"/>
        </w:rPr>
        <w:t xml:space="preserve"> (ACT) s 30(1); ACT Law Reform Advisory Council, </w:t>
      </w:r>
      <w:r w:rsidRPr="00410DAB">
        <w:rPr>
          <w:rFonts w:ascii="Public Sans" w:hAnsi="Public Sans" w:cs="Arial"/>
          <w:i/>
          <w:iCs/>
        </w:rPr>
        <w:t>Review of the Discrimination Act 1991 (ACT)</w:t>
      </w:r>
      <w:r w:rsidRPr="00410DAB">
        <w:rPr>
          <w:rFonts w:ascii="Public Sans" w:hAnsi="Public Sans" w:cs="Arial"/>
        </w:rPr>
        <w:t>, Final Report (2015) rec 19.1.</w:t>
      </w:r>
    </w:p>
  </w:footnote>
  <w:footnote w:id="784">
    <w:p w14:paraId="3D24D12D" w14:textId="77777777" w:rsidR="006A1316" w:rsidRPr="00410DAB" w:rsidRDefault="006A1316" w:rsidP="006A1316">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Law Reform Commission of Western Australia, </w:t>
      </w:r>
      <w:r w:rsidRPr="00410DAB">
        <w:rPr>
          <w:rFonts w:ascii="Public Sans" w:hAnsi="Public Sans" w:cs="Arial"/>
          <w:i/>
          <w:iCs/>
        </w:rPr>
        <w:t>Review of the Equal Opportunity Act 1984 (WA)</w:t>
      </w:r>
      <w:r w:rsidRPr="00410DAB">
        <w:rPr>
          <w:rFonts w:ascii="Public Sans" w:hAnsi="Public Sans" w:cs="Arial"/>
        </w:rPr>
        <w:t>, Project 111, Final Report (2022) 158.</w:t>
      </w:r>
    </w:p>
  </w:footnote>
  <w:footnote w:id="785">
    <w:p w14:paraId="582FC46E"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NSW Law Reform Commission, </w:t>
      </w:r>
      <w:r w:rsidRPr="00410DAB">
        <w:rPr>
          <w:rFonts w:ascii="Public Sans" w:hAnsi="Public Sans" w:cs="Arial"/>
          <w:i/>
          <w:iCs/>
        </w:rPr>
        <w:t>Serious Racial and Religious Vilification</w:t>
      </w:r>
      <w:r w:rsidRPr="00410DAB">
        <w:rPr>
          <w:rFonts w:ascii="Public Sans" w:hAnsi="Public Sans" w:cs="Arial"/>
        </w:rPr>
        <w:t xml:space="preserve">, Report 151 (2024) ch 3. </w:t>
      </w:r>
    </w:p>
  </w:footnote>
  <w:footnote w:id="786">
    <w:p w14:paraId="3B8F82FB" w14:textId="77777777" w:rsidR="00FE5562" w:rsidRPr="00410DAB" w:rsidRDefault="00FE5562" w:rsidP="00FE5562">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szCs w:val="18"/>
        </w:rPr>
        <w:t>International Covenant on Civil and Political Rights</w:t>
      </w:r>
      <w:r w:rsidRPr="00410DAB">
        <w:rPr>
          <w:rFonts w:ascii="Public Sans" w:hAnsi="Public Sans" w:cs="Arial"/>
          <w:color w:val="000000" w:themeColor="text1"/>
          <w:szCs w:val="18"/>
        </w:rPr>
        <w:t xml:space="preserve">, 999 UNTS 171 (entered into force 23 March 1976) </w:t>
      </w:r>
      <w:r w:rsidRPr="00410DAB">
        <w:rPr>
          <w:rFonts w:ascii="Public Sans" w:hAnsi="Public Sans" w:cs="Arial"/>
          <w:color w:val="000000" w:themeColor="text1"/>
        </w:rPr>
        <w:t>art 19(2).</w:t>
      </w:r>
    </w:p>
  </w:footnote>
  <w:footnote w:id="787">
    <w:p w14:paraId="0BA0BAEB" w14:textId="77777777" w:rsidR="00FE5562" w:rsidRPr="00410DAB" w:rsidRDefault="00FE5562" w:rsidP="00FE5562">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bookmarkStart w:id="346" w:name="_Hlk195715118"/>
      <w:r w:rsidRPr="00410DAB">
        <w:rPr>
          <w:rFonts w:ascii="Public Sans" w:hAnsi="Public Sans" w:cs="Arial"/>
          <w:color w:val="000000" w:themeColor="text1"/>
        </w:rPr>
        <w:t xml:space="preserve">“Rabat Plan of Action on the Prohibition of Advocacy of National, Racial or Religious Hatred that Constitutes Incitement to Discrimination, Hostility or Violence” in Human Rights Committee, </w:t>
      </w:r>
      <w:r w:rsidRPr="00410DAB">
        <w:rPr>
          <w:rFonts w:ascii="Public Sans" w:hAnsi="Public Sans" w:cs="Arial"/>
          <w:i/>
          <w:iCs/>
          <w:color w:val="000000" w:themeColor="text1"/>
        </w:rPr>
        <w:t>Annual Report of the United Nations High Commissioner for Human Rights</w:t>
      </w:r>
      <w:r w:rsidRPr="00410DAB">
        <w:rPr>
          <w:rFonts w:ascii="Public Sans" w:hAnsi="Public Sans" w:cs="Arial"/>
          <w:color w:val="000000" w:themeColor="text1"/>
        </w:rPr>
        <w:t xml:space="preserve">, UN Doc A/HRC/22/17/Add 4 (11 January 2013) [8]; </w:t>
      </w:r>
      <w:bookmarkEnd w:id="346"/>
      <w:r w:rsidRPr="00410DAB">
        <w:rPr>
          <w:rFonts w:ascii="Public Sans" w:hAnsi="Public Sans" w:cs="Arial"/>
          <w:i/>
          <w:iCs/>
          <w:color w:val="000000" w:themeColor="text1"/>
          <w:szCs w:val="18"/>
        </w:rPr>
        <w:t>International Covenant on Civil and Political Rights</w:t>
      </w:r>
      <w:r w:rsidRPr="00410DAB">
        <w:rPr>
          <w:rFonts w:ascii="Public Sans" w:hAnsi="Public Sans" w:cs="Arial"/>
          <w:color w:val="000000" w:themeColor="text1"/>
          <w:szCs w:val="18"/>
        </w:rPr>
        <w:t>, 999 UNTS 171 (entered into force 23 March 1976) art 19(3).</w:t>
      </w:r>
    </w:p>
  </w:footnote>
  <w:footnote w:id="788">
    <w:p w14:paraId="302F73C8" w14:textId="77777777" w:rsidR="00FE5562" w:rsidRPr="00410DAB" w:rsidRDefault="00FE5562" w:rsidP="00FE5562">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International Covenant on Civil and Political Rights</w:t>
      </w:r>
      <w:r w:rsidRPr="00410DAB">
        <w:rPr>
          <w:rFonts w:ascii="Public Sans" w:hAnsi="Public Sans" w:cs="Arial"/>
          <w:color w:val="000000" w:themeColor="text1"/>
          <w:szCs w:val="18"/>
        </w:rPr>
        <w:t>, 999 UNTS 171 (entered into force 23 March 1976) art 19(3).</w:t>
      </w:r>
    </w:p>
  </w:footnote>
  <w:footnote w:id="789">
    <w:p w14:paraId="27799227" w14:textId="77777777" w:rsidR="00FE5562" w:rsidRPr="00410DAB" w:rsidRDefault="00FE5562" w:rsidP="00FE5562">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t xml:space="preserve">See </w:t>
      </w:r>
      <w:bookmarkStart w:id="347" w:name="_Hlk195715271"/>
      <w:r w:rsidRPr="00410DAB">
        <w:rPr>
          <w:rFonts w:ascii="Public Sans" w:hAnsi="Public Sans" w:cs="Arial"/>
          <w:color w:val="000000" w:themeColor="text1"/>
          <w:szCs w:val="18"/>
        </w:rPr>
        <w:t xml:space="preserve">Human Rights Committee, </w:t>
      </w:r>
      <w:r w:rsidRPr="00410DAB">
        <w:rPr>
          <w:rFonts w:ascii="Public Sans" w:hAnsi="Public Sans" w:cs="Arial"/>
          <w:i/>
          <w:iCs/>
          <w:color w:val="000000" w:themeColor="text1"/>
          <w:szCs w:val="18"/>
        </w:rPr>
        <w:t>General Comment No.34 on Article 19: Freedoms of Opinion and Expression</w:t>
      </w:r>
      <w:r w:rsidRPr="00410DAB">
        <w:rPr>
          <w:rFonts w:ascii="Public Sans" w:hAnsi="Public Sans" w:cs="Arial"/>
          <w:color w:val="000000" w:themeColor="text1"/>
          <w:szCs w:val="18"/>
        </w:rPr>
        <w:t>,</w:t>
      </w:r>
      <w:r w:rsidRPr="00410DAB">
        <w:rPr>
          <w:rFonts w:ascii="Public Sans" w:hAnsi="Public Sans" w:cs="Arial"/>
          <w:i/>
          <w:iCs/>
          <w:color w:val="000000" w:themeColor="text1"/>
          <w:szCs w:val="18"/>
        </w:rPr>
        <w:t xml:space="preserve"> </w:t>
      </w:r>
      <w:r w:rsidRPr="00410DAB">
        <w:rPr>
          <w:rFonts w:ascii="Public Sans" w:hAnsi="Public Sans" w:cs="Arial"/>
          <w:color w:val="000000" w:themeColor="text1"/>
          <w:szCs w:val="18"/>
        </w:rPr>
        <w:t xml:space="preserve">UN Doc CCPR/C/GC/34 (29 July 2011) [21]–[22]. </w:t>
      </w:r>
      <w:bookmarkEnd w:id="347"/>
    </w:p>
  </w:footnote>
  <w:footnote w:id="790">
    <w:p w14:paraId="7DE8BB7B" w14:textId="386950F2"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348" w:name="_Hlk195715692"/>
      <w:r w:rsidRPr="00410DAB">
        <w:rPr>
          <w:rFonts w:ascii="Public Sans" w:hAnsi="Public Sans" w:cs="Arial"/>
          <w:i/>
          <w:iCs/>
        </w:rPr>
        <w:t>Crimes Amendment (Inciting Racial Hatred) Act 2025</w:t>
      </w:r>
      <w:r w:rsidRPr="00410DAB">
        <w:rPr>
          <w:rFonts w:ascii="Public Sans" w:hAnsi="Public Sans" w:cs="Arial"/>
        </w:rPr>
        <w:t xml:space="preserve"> (NSW) sch 1, inserting </w:t>
      </w:r>
      <w:r w:rsidRPr="00410DAB">
        <w:rPr>
          <w:rFonts w:ascii="Public Sans" w:hAnsi="Public Sans" w:cs="Arial"/>
          <w:i/>
          <w:iCs/>
        </w:rPr>
        <w:t xml:space="preserve">Crimes Act 1900 </w:t>
      </w:r>
      <w:r w:rsidRPr="00410DAB">
        <w:rPr>
          <w:rFonts w:ascii="Public Sans" w:hAnsi="Public Sans" w:cs="Arial"/>
        </w:rPr>
        <w:t>(NSW) s 93ZAA (uncommenced).</w:t>
      </w:r>
      <w:bookmarkEnd w:id="348"/>
    </w:p>
  </w:footnote>
  <w:footnote w:id="791">
    <w:p w14:paraId="646D4B4D"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Style w:val="normaltextrun"/>
          <w:rFonts w:ascii="Public Sans" w:hAnsi="Public Sans"/>
          <w:szCs w:val="18"/>
          <w:shd w:val="clear" w:color="auto" w:fill="FFFFFF"/>
        </w:rPr>
        <w:t xml:space="preserve">NSW Law Reform Commission, </w:t>
      </w:r>
      <w:r w:rsidRPr="00410DAB">
        <w:rPr>
          <w:rStyle w:val="normaltextrun"/>
          <w:rFonts w:ascii="Public Sans" w:hAnsi="Public Sans"/>
          <w:i/>
          <w:iCs/>
          <w:szCs w:val="18"/>
          <w:shd w:val="clear" w:color="auto" w:fill="FFFFFF"/>
        </w:rPr>
        <w:t>Serious Racial and Religious Vilification</w:t>
      </w:r>
      <w:r w:rsidRPr="00410DAB">
        <w:rPr>
          <w:rStyle w:val="normaltextrun"/>
          <w:rFonts w:ascii="Public Sans" w:hAnsi="Public Sans"/>
          <w:szCs w:val="18"/>
          <w:shd w:val="clear" w:color="auto" w:fill="FFFFFF"/>
        </w:rPr>
        <w:t>,</w:t>
      </w:r>
      <w:r w:rsidRPr="00410DAB">
        <w:rPr>
          <w:rStyle w:val="normaltextrun"/>
          <w:rFonts w:ascii="Public Sans" w:hAnsi="Public Sans"/>
          <w:i/>
          <w:iCs/>
          <w:szCs w:val="18"/>
          <w:shd w:val="clear" w:color="auto" w:fill="FFFFFF"/>
        </w:rPr>
        <w:t xml:space="preserve"> </w:t>
      </w:r>
      <w:r w:rsidRPr="00410DAB">
        <w:rPr>
          <w:rStyle w:val="normaltextrun"/>
          <w:rFonts w:ascii="Public Sans" w:hAnsi="Public Sans"/>
          <w:szCs w:val="18"/>
          <w:shd w:val="clear" w:color="auto" w:fill="FFFFFF"/>
        </w:rPr>
        <w:t>Report 151 (2024).</w:t>
      </w:r>
      <w:r w:rsidRPr="00410DAB">
        <w:rPr>
          <w:rStyle w:val="eop"/>
          <w:rFonts w:ascii="Public Sans" w:hAnsi="Public Sans"/>
          <w:szCs w:val="18"/>
          <w:shd w:val="clear" w:color="auto" w:fill="FFFFFF"/>
        </w:rPr>
        <w:t> </w:t>
      </w:r>
    </w:p>
  </w:footnote>
  <w:footnote w:id="792">
    <w:p w14:paraId="4FEEBF49"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49ZXB.</w:t>
      </w:r>
    </w:p>
  </w:footnote>
  <w:footnote w:id="793">
    <w:p w14:paraId="152D2618"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20C, s 38S, s 49ZXB, s 49ZE, s 49ZT. </w:t>
      </w:r>
    </w:p>
  </w:footnote>
  <w:footnote w:id="794">
    <w:p w14:paraId="001B20A4"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szCs w:val="18"/>
        </w:rPr>
        <w:t xml:space="preserve">Crimes Amendment (Publicly Threatening and Inciting Violence) Act 2018 </w:t>
      </w:r>
      <w:r w:rsidRPr="00410DAB">
        <w:rPr>
          <w:rFonts w:ascii="Public Sans" w:hAnsi="Public Sans" w:cs="Arial"/>
          <w:szCs w:val="18"/>
        </w:rPr>
        <w:t xml:space="preserve">(NSW) sch 1, inserting </w:t>
      </w:r>
      <w:r w:rsidRPr="00410DAB">
        <w:rPr>
          <w:rFonts w:ascii="Public Sans" w:hAnsi="Public Sans" w:cs="Arial"/>
          <w:i/>
          <w:iCs/>
        </w:rPr>
        <w:t xml:space="preserve">Crimes Act 1900 </w:t>
      </w:r>
      <w:r w:rsidRPr="00410DAB">
        <w:rPr>
          <w:rFonts w:ascii="Public Sans" w:hAnsi="Public Sans" w:cs="Arial"/>
        </w:rPr>
        <w:t>(NSW) s 93Z</w:t>
      </w:r>
      <w:r w:rsidRPr="00410DAB">
        <w:rPr>
          <w:rFonts w:ascii="Public Sans" w:hAnsi="Public Sans" w:cs="Arial"/>
          <w:szCs w:val="18"/>
        </w:rPr>
        <w:t>.</w:t>
      </w:r>
    </w:p>
  </w:footnote>
  <w:footnote w:id="795">
    <w:p w14:paraId="2BBFF6B7"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Crimes Act 1900 </w:t>
      </w:r>
      <w:r w:rsidRPr="00410DAB">
        <w:rPr>
          <w:rFonts w:ascii="Public Sans" w:hAnsi="Public Sans" w:cs="Arial"/>
        </w:rPr>
        <w:t>(NSW) s 93Z(4).</w:t>
      </w:r>
    </w:p>
  </w:footnote>
  <w:footnote w:id="796">
    <w:p w14:paraId="7E689ABA" w14:textId="1B4B54D0"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Crimes Amendment (Inciting Racial Hatred) Act 2025</w:t>
      </w:r>
      <w:r w:rsidRPr="00410DAB">
        <w:rPr>
          <w:rFonts w:ascii="Public Sans" w:hAnsi="Public Sans" w:cs="Arial"/>
        </w:rPr>
        <w:t xml:space="preserve"> (NSW) sch 1, inserting </w:t>
      </w:r>
      <w:r w:rsidRPr="00410DAB">
        <w:rPr>
          <w:rFonts w:ascii="Public Sans" w:hAnsi="Public Sans" w:cs="Arial"/>
          <w:i/>
          <w:iCs/>
        </w:rPr>
        <w:t xml:space="preserve">Crimes Act 1900 </w:t>
      </w:r>
      <w:r w:rsidRPr="00410DAB">
        <w:rPr>
          <w:rFonts w:ascii="Public Sans" w:hAnsi="Public Sans" w:cs="Arial"/>
        </w:rPr>
        <w:t>(NSW) s 93ZAC (</w:t>
      </w:r>
      <w:r w:rsidR="005C3A0C">
        <w:rPr>
          <w:rFonts w:ascii="Public Sans" w:hAnsi="Public Sans" w:cs="Arial"/>
        </w:rPr>
        <w:t>un</w:t>
      </w:r>
      <w:r w:rsidRPr="00410DAB">
        <w:rPr>
          <w:rFonts w:ascii="Public Sans" w:hAnsi="Public Sans" w:cs="Arial"/>
        </w:rPr>
        <w:t>commenced).</w:t>
      </w:r>
    </w:p>
  </w:footnote>
  <w:footnote w:id="797">
    <w:p w14:paraId="0E04CE67" w14:textId="2B469D1E"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007A4E82">
        <w:rPr>
          <w:rFonts w:ascii="Public Sans" w:hAnsi="Public Sans" w:cs="Arial"/>
        </w:rPr>
        <w:t>NSW Government</w:t>
      </w:r>
      <w:r w:rsidR="009256A3" w:rsidRPr="009256A3">
        <w:rPr>
          <w:rFonts w:ascii="Public Sans" w:hAnsi="Public Sans" w:cs="Arial"/>
        </w:rPr>
        <w:t>, “Review into</w:t>
      </w:r>
      <w:r w:rsidR="00BC75C1">
        <w:rPr>
          <w:rFonts w:ascii="Public Sans" w:hAnsi="Public Sans" w:cs="Arial"/>
        </w:rPr>
        <w:t xml:space="preserve"> H</w:t>
      </w:r>
      <w:r w:rsidR="009256A3" w:rsidRPr="009256A3">
        <w:rPr>
          <w:rFonts w:ascii="Public Sans" w:hAnsi="Public Sans" w:cs="Arial"/>
        </w:rPr>
        <w:t xml:space="preserve">ate </w:t>
      </w:r>
      <w:r w:rsidR="00BC75C1">
        <w:rPr>
          <w:rFonts w:ascii="Public Sans" w:hAnsi="Public Sans" w:cs="Arial"/>
        </w:rPr>
        <w:t>S</w:t>
      </w:r>
      <w:r w:rsidR="009256A3" w:rsidRPr="009256A3">
        <w:rPr>
          <w:rFonts w:ascii="Public Sans" w:hAnsi="Public Sans" w:cs="Arial"/>
        </w:rPr>
        <w:t xml:space="preserve">peech </w:t>
      </w:r>
      <w:r w:rsidR="00BC75C1">
        <w:rPr>
          <w:rFonts w:ascii="Public Sans" w:hAnsi="Public Sans" w:cs="Arial"/>
        </w:rPr>
        <w:t>P</w:t>
      </w:r>
      <w:r w:rsidR="009256A3" w:rsidRPr="009256A3">
        <w:rPr>
          <w:rFonts w:ascii="Public Sans" w:hAnsi="Public Sans" w:cs="Arial"/>
        </w:rPr>
        <w:t xml:space="preserve">rotections for </w:t>
      </w:r>
      <w:r w:rsidR="00BC75C1">
        <w:rPr>
          <w:rFonts w:ascii="Public Sans" w:hAnsi="Public Sans" w:cs="Arial"/>
        </w:rPr>
        <w:t>V</w:t>
      </w:r>
      <w:r w:rsidR="009256A3" w:rsidRPr="009256A3">
        <w:rPr>
          <w:rFonts w:ascii="Public Sans" w:hAnsi="Public Sans" w:cs="Arial"/>
        </w:rPr>
        <w:t xml:space="preserve">ulnerable </w:t>
      </w:r>
      <w:r w:rsidR="00BC75C1">
        <w:rPr>
          <w:rFonts w:ascii="Public Sans" w:hAnsi="Public Sans" w:cs="Arial"/>
        </w:rPr>
        <w:t>C</w:t>
      </w:r>
      <w:r w:rsidR="009256A3" w:rsidRPr="009256A3">
        <w:rPr>
          <w:rFonts w:ascii="Public Sans" w:hAnsi="Public Sans" w:cs="Arial"/>
        </w:rPr>
        <w:t>ommunities” (</w:t>
      </w:r>
      <w:r w:rsidR="002F4B2E">
        <w:rPr>
          <w:rFonts w:ascii="Public Sans" w:hAnsi="Public Sans" w:cs="Arial"/>
        </w:rPr>
        <w:t xml:space="preserve">Media Release, Attorney General, </w:t>
      </w:r>
      <w:r w:rsidR="009256A3" w:rsidRPr="009256A3">
        <w:rPr>
          <w:rFonts w:ascii="Public Sans" w:hAnsi="Public Sans" w:cs="Arial"/>
        </w:rPr>
        <w:t>8 May 2025) &lt;</w:t>
      </w:r>
      <w:hyperlink r:id="rId21" w:history="1">
        <w:r w:rsidR="009256A3" w:rsidRPr="006253DF">
          <w:rPr>
            <w:rStyle w:val="Hyperlink"/>
            <w:rFonts w:ascii="Public Sans" w:hAnsi="Public Sans"/>
          </w:rPr>
          <w:t>www.nsw.gov.au/ministerial-releases/review-into-hate-speech-protections-for-vulnerable-communities</w:t>
        </w:r>
      </w:hyperlink>
      <w:r w:rsidR="009256A3" w:rsidRPr="009256A3">
        <w:rPr>
          <w:rFonts w:ascii="Public Sans" w:hAnsi="Public Sans" w:cs="Arial"/>
        </w:rPr>
        <w:t>&gt; (retrieved 12 May 2025)</w:t>
      </w:r>
      <w:r w:rsidRPr="009256A3">
        <w:rPr>
          <w:rFonts w:ascii="Public Sans" w:hAnsi="Public Sans" w:cs="Arial"/>
        </w:rPr>
        <w:t>.</w:t>
      </w:r>
    </w:p>
  </w:footnote>
  <w:footnote w:id="798">
    <w:p w14:paraId="696F1092" w14:textId="0D7FD60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Crimes Amendment (Inciting Racial Hatred) Act 2025</w:t>
      </w:r>
      <w:r w:rsidRPr="00410DAB">
        <w:rPr>
          <w:rFonts w:ascii="Public Sans" w:hAnsi="Public Sans" w:cs="Arial"/>
        </w:rPr>
        <w:t xml:space="preserve"> (NSW) sch 1, inserting </w:t>
      </w:r>
      <w:r w:rsidRPr="00410DAB">
        <w:rPr>
          <w:rFonts w:ascii="Public Sans" w:hAnsi="Public Sans" w:cs="Arial"/>
          <w:i/>
          <w:iCs/>
        </w:rPr>
        <w:t>Crimes Act 1900</w:t>
      </w:r>
      <w:r w:rsidRPr="00410DAB">
        <w:rPr>
          <w:rFonts w:ascii="Public Sans" w:hAnsi="Public Sans" w:cs="Arial"/>
        </w:rPr>
        <w:t xml:space="preserve"> (NSW) s 93ZAA(1) (uncommenced).</w:t>
      </w:r>
    </w:p>
  </w:footnote>
  <w:footnote w:id="799">
    <w:p w14:paraId="64DB91FF"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Australian Human Rights Commission Act 1986</w:t>
      </w:r>
      <w:r w:rsidRPr="00410DAB">
        <w:rPr>
          <w:rFonts w:ascii="Public Sans" w:hAnsi="Public Sans" w:cs="Arial"/>
        </w:rPr>
        <w:t xml:space="preserve"> (Cth) s 46P.</w:t>
      </w:r>
    </w:p>
  </w:footnote>
  <w:footnote w:id="800">
    <w:p w14:paraId="567CBF20"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356" w:name="_Hlk195717139"/>
      <w:r w:rsidRPr="00410DAB">
        <w:rPr>
          <w:rFonts w:ascii="Public Sans" w:hAnsi="Public Sans" w:cs="Arial"/>
        </w:rPr>
        <w:t xml:space="preserve">Commercial Radio Australia, </w:t>
      </w:r>
      <w:r w:rsidRPr="00410DAB">
        <w:rPr>
          <w:rFonts w:ascii="Public Sans" w:hAnsi="Public Sans" w:cs="Arial"/>
          <w:i/>
          <w:iCs/>
        </w:rPr>
        <w:t>Commercial Radio Code of Practice</w:t>
      </w:r>
      <w:r w:rsidRPr="00410DAB">
        <w:rPr>
          <w:rFonts w:ascii="Public Sans" w:hAnsi="Public Sans" w:cs="Arial"/>
        </w:rPr>
        <w:t xml:space="preserve"> (2017, last updated March 2018) cl 2.1.4. See also </w:t>
      </w:r>
      <w:r w:rsidRPr="00410DAB">
        <w:rPr>
          <w:rFonts w:ascii="Public Sans" w:hAnsi="Public Sans" w:cs="Arial"/>
          <w:i/>
          <w:iCs/>
        </w:rPr>
        <w:t>Broadcasting Services Act 1992</w:t>
      </w:r>
      <w:r w:rsidRPr="00410DAB">
        <w:rPr>
          <w:rFonts w:ascii="Public Sans" w:hAnsi="Public Sans" w:cs="Arial"/>
        </w:rPr>
        <w:t xml:space="preserve"> (Cth) s 123.</w:t>
      </w:r>
      <w:bookmarkEnd w:id="356"/>
    </w:p>
  </w:footnote>
  <w:footnote w:id="801">
    <w:p w14:paraId="0ABD0027"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Criminal Code </w:t>
      </w:r>
      <w:r w:rsidRPr="00410DAB">
        <w:rPr>
          <w:rFonts w:ascii="Public Sans" w:hAnsi="Public Sans" w:cs="Arial"/>
        </w:rPr>
        <w:t xml:space="preserve">(Cth) s 80.2A(2)(b), s 80.2B(2)(b). </w:t>
      </w:r>
    </w:p>
  </w:footnote>
  <w:footnote w:id="802">
    <w:p w14:paraId="0FBB7D43"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Criminal Code </w:t>
      </w:r>
      <w:r w:rsidRPr="00410DAB">
        <w:rPr>
          <w:rFonts w:ascii="Public Sans" w:hAnsi="Public Sans" w:cs="Arial"/>
        </w:rPr>
        <w:t>(Cth) s 80.2BA(2), s 80.2BB(2).</w:t>
      </w:r>
    </w:p>
  </w:footnote>
  <w:footnote w:id="803">
    <w:p w14:paraId="26C12372"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Criminal Code </w:t>
      </w:r>
      <w:r w:rsidRPr="00410DAB">
        <w:rPr>
          <w:rFonts w:ascii="Public Sans" w:hAnsi="Public Sans" w:cs="Arial"/>
        </w:rPr>
        <w:t>(Cth) s 80.2BE(2)(d).</w:t>
      </w:r>
    </w:p>
  </w:footnote>
  <w:footnote w:id="804">
    <w:p w14:paraId="5A79976A"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Criminal Code </w:t>
      </w:r>
      <w:r w:rsidRPr="00410DAB">
        <w:rPr>
          <w:rFonts w:ascii="Public Sans" w:hAnsi="Public Sans" w:cs="Arial"/>
        </w:rPr>
        <w:t>(Cth) s 80.2A(1)(d), s 80.2B(1)(e), s 80.2BA(1)(d), s 80.2BB(1)(e).</w:t>
      </w:r>
    </w:p>
  </w:footnote>
  <w:footnote w:id="805">
    <w:p w14:paraId="05B2B6E5"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Anti-Discrimination Act 1977 </w:t>
      </w:r>
      <w:r w:rsidRPr="00410DAB">
        <w:rPr>
          <w:rFonts w:ascii="Public Sans" w:hAnsi="Public Sans" w:cs="Arial"/>
        </w:rPr>
        <w:t xml:space="preserve">(NSW) s 20C(1), s 38S(1), s 49ZT(1), s 49ZXB(1), s 49ZE(1). </w:t>
      </w:r>
    </w:p>
  </w:footnote>
  <w:footnote w:id="806">
    <w:p w14:paraId="341F2C8F"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Anti-Discrimination Act 1977 </w:t>
      </w:r>
      <w:r w:rsidRPr="00410DAB">
        <w:rPr>
          <w:rFonts w:ascii="Public Sans" w:hAnsi="Public Sans" w:cs="Arial"/>
        </w:rPr>
        <w:t>(NSW) s 88.</w:t>
      </w:r>
    </w:p>
  </w:footnote>
  <w:footnote w:id="807">
    <w:p w14:paraId="2AFD3AB9"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Crimes Act 1900 </w:t>
      </w:r>
      <w:r w:rsidRPr="00410DAB">
        <w:rPr>
          <w:rFonts w:ascii="Public Sans" w:hAnsi="Public Sans" w:cs="Arial"/>
        </w:rPr>
        <w:t>(NSW) s 93Z(1).</w:t>
      </w:r>
    </w:p>
  </w:footnote>
  <w:footnote w:id="808">
    <w:p w14:paraId="4FC29DB4"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Crimes Act 1900 </w:t>
      </w:r>
      <w:r w:rsidRPr="00410DAB">
        <w:rPr>
          <w:rFonts w:ascii="Public Sans" w:hAnsi="Public Sans" w:cs="Arial"/>
        </w:rPr>
        <w:t>(NSW) s 93Z(2).</w:t>
      </w:r>
    </w:p>
  </w:footnote>
  <w:footnote w:id="809">
    <w:p w14:paraId="7828DBB4"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Crimes Act 1900 </w:t>
      </w:r>
      <w:r w:rsidRPr="00410DAB">
        <w:rPr>
          <w:rFonts w:ascii="Public Sans" w:hAnsi="Public Sans" w:cs="Arial"/>
        </w:rPr>
        <w:t>(NSW) s 93Z(5).</w:t>
      </w:r>
    </w:p>
  </w:footnote>
  <w:footnote w:id="810">
    <w:p w14:paraId="52817603"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NSW Aboriginal Women’s Advisory Network, </w:t>
      </w:r>
      <w:r w:rsidRPr="00410DAB">
        <w:rPr>
          <w:rFonts w:ascii="Public Sans" w:hAnsi="Public Sans" w:cs="Arial"/>
          <w:i/>
          <w:iCs/>
        </w:rPr>
        <w:t>Preliminary Submission PAD27</w:t>
      </w:r>
      <w:r w:rsidRPr="00410DAB">
        <w:rPr>
          <w:rFonts w:ascii="Public Sans" w:hAnsi="Public Sans" w:cs="Arial"/>
        </w:rPr>
        <w:t>,</w:t>
      </w:r>
      <w:r w:rsidRPr="00410DAB">
        <w:rPr>
          <w:rFonts w:ascii="Public Sans" w:hAnsi="Public Sans" w:cs="Arial"/>
          <w:i/>
          <w:iCs/>
        </w:rPr>
        <w:t xml:space="preserve"> </w:t>
      </w:r>
      <w:r w:rsidRPr="00410DAB">
        <w:rPr>
          <w:rFonts w:ascii="Public Sans" w:hAnsi="Public Sans" w:cs="Arial"/>
        </w:rPr>
        <w:t xml:space="preserve">7; Law Society of NSW, </w:t>
      </w:r>
      <w:r w:rsidRPr="00410DAB">
        <w:rPr>
          <w:rFonts w:ascii="Public Sans" w:hAnsi="Public Sans" w:cs="Arial"/>
          <w:i/>
          <w:iCs/>
        </w:rPr>
        <w:t>Preliminary Submission PAD31</w:t>
      </w:r>
      <w:r w:rsidRPr="00410DAB">
        <w:rPr>
          <w:rFonts w:ascii="Public Sans" w:hAnsi="Public Sans" w:cs="Arial"/>
        </w:rPr>
        <w:t>,</w:t>
      </w:r>
      <w:r w:rsidRPr="00410DAB">
        <w:rPr>
          <w:rFonts w:ascii="Public Sans" w:hAnsi="Public Sans" w:cs="Arial"/>
          <w:i/>
          <w:iCs/>
        </w:rPr>
        <w:t xml:space="preserve"> </w:t>
      </w:r>
      <w:r w:rsidRPr="00410DAB">
        <w:rPr>
          <w:rFonts w:ascii="Public Sans" w:hAnsi="Public Sans" w:cs="Arial"/>
        </w:rPr>
        <w:t>13.</w:t>
      </w:r>
    </w:p>
  </w:footnote>
  <w:footnote w:id="811">
    <w:p w14:paraId="4B99210A"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ACON, </w:t>
      </w:r>
      <w:r w:rsidRPr="00410DAB">
        <w:rPr>
          <w:rFonts w:ascii="Public Sans" w:hAnsi="Public Sans" w:cs="Arial"/>
          <w:i/>
          <w:iCs/>
        </w:rPr>
        <w:t>Preliminary Submission PAD44</w:t>
      </w:r>
      <w:r w:rsidRPr="00410DAB">
        <w:rPr>
          <w:rFonts w:ascii="Public Sans" w:hAnsi="Public Sans" w:cs="Arial"/>
        </w:rPr>
        <w:t xml:space="preserve">, 7; Public Interest Advocacy Centre, </w:t>
      </w:r>
      <w:r w:rsidRPr="00410DAB">
        <w:rPr>
          <w:rFonts w:ascii="Public Sans" w:hAnsi="Public Sans" w:cs="Arial"/>
          <w:i/>
          <w:iCs/>
        </w:rPr>
        <w:t>Preliminary Submission PAD82</w:t>
      </w:r>
      <w:r w:rsidRPr="00410DAB">
        <w:rPr>
          <w:rFonts w:ascii="Public Sans" w:hAnsi="Public Sans" w:cs="Arial"/>
        </w:rPr>
        <w:t>, 7.</w:t>
      </w:r>
    </w:p>
  </w:footnote>
  <w:footnote w:id="812">
    <w:p w14:paraId="4C954F34"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Public Interest Advocacy Centre, </w:t>
      </w:r>
      <w:r w:rsidRPr="00410DAB">
        <w:rPr>
          <w:rFonts w:ascii="Public Sans" w:hAnsi="Public Sans" w:cs="Arial"/>
          <w:i/>
          <w:iCs/>
        </w:rPr>
        <w:t>Preliminary Submission PAD82</w:t>
      </w:r>
      <w:r w:rsidRPr="00410DAB">
        <w:rPr>
          <w:rFonts w:ascii="Public Sans" w:hAnsi="Public Sans" w:cs="Arial"/>
        </w:rPr>
        <w:t>, 7.</w:t>
      </w:r>
    </w:p>
  </w:footnote>
  <w:footnote w:id="813">
    <w:p w14:paraId="170C5E2D"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HIV/AIDS Legal Centre, Positive Life NSW, </w:t>
      </w:r>
      <w:r w:rsidRPr="00410DAB">
        <w:rPr>
          <w:rFonts w:ascii="Public Sans" w:hAnsi="Public Sans" w:cs="Arial"/>
          <w:i/>
          <w:iCs/>
        </w:rPr>
        <w:t>Preliminary Submission PAD60</w:t>
      </w:r>
      <w:r w:rsidRPr="00410DAB">
        <w:rPr>
          <w:rFonts w:ascii="Public Sans" w:hAnsi="Public Sans" w:cs="Arial"/>
        </w:rPr>
        <w:t>, 14.</w:t>
      </w:r>
    </w:p>
  </w:footnote>
  <w:footnote w:id="814">
    <w:p w14:paraId="5085A77C" w14:textId="77777777" w:rsidR="00FE5562" w:rsidRPr="00410DAB" w:rsidRDefault="00FE5562" w:rsidP="00FE5562">
      <w:pPr>
        <w:pStyle w:val="FootnoteText"/>
        <w:rPr>
          <w:rFonts w:ascii="Public Sans" w:hAnsi="Public Sans" w:cs="Arial"/>
          <w:color w:val="FF0000"/>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NSW Aboriginal Women’s Advisory Network, </w:t>
      </w:r>
      <w:r w:rsidRPr="00410DAB">
        <w:rPr>
          <w:rFonts w:ascii="Public Sans" w:hAnsi="Public Sans" w:cs="Arial"/>
          <w:i/>
          <w:iCs/>
        </w:rPr>
        <w:t>Preliminary Submission PAD27</w:t>
      </w:r>
      <w:r w:rsidRPr="00410DAB">
        <w:rPr>
          <w:rFonts w:ascii="Public Sans" w:hAnsi="Public Sans" w:cs="Arial"/>
        </w:rPr>
        <w:t xml:space="preserve">, 7; Vision Australia, </w:t>
      </w:r>
      <w:r w:rsidRPr="00410DAB">
        <w:rPr>
          <w:rFonts w:ascii="Public Sans" w:hAnsi="Public Sans" w:cs="Arial"/>
          <w:i/>
          <w:iCs/>
        </w:rPr>
        <w:t>Preliminary Submission PAD68</w:t>
      </w:r>
      <w:r w:rsidRPr="00410DAB">
        <w:rPr>
          <w:rFonts w:ascii="Public Sans" w:hAnsi="Public Sans" w:cs="Arial"/>
        </w:rPr>
        <w:t xml:space="preserve">, 3; Family Advocacy, </w:t>
      </w:r>
      <w:r w:rsidRPr="00410DAB">
        <w:rPr>
          <w:rFonts w:ascii="Public Sans" w:hAnsi="Public Sans" w:cs="Arial"/>
          <w:i/>
          <w:iCs/>
        </w:rPr>
        <w:t>Preliminary Submission PAD75</w:t>
      </w:r>
      <w:r w:rsidRPr="00410DAB">
        <w:rPr>
          <w:rFonts w:ascii="Public Sans" w:hAnsi="Public Sans" w:cs="Arial"/>
        </w:rPr>
        <w:t>, 1.</w:t>
      </w:r>
    </w:p>
  </w:footnote>
  <w:footnote w:id="815">
    <w:p w14:paraId="3277104C"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Periyar Ambedkar Thoughts Circle Australia, </w:t>
      </w:r>
      <w:r w:rsidRPr="00410DAB">
        <w:rPr>
          <w:rFonts w:ascii="Public Sans" w:hAnsi="Public Sans" w:cs="Arial"/>
          <w:i/>
          <w:iCs/>
        </w:rPr>
        <w:t>Submission SV06</w:t>
      </w:r>
      <w:r w:rsidRPr="00410DAB">
        <w:rPr>
          <w:rFonts w:ascii="Public Sans" w:hAnsi="Public Sans" w:cs="Arial"/>
        </w:rPr>
        <w:t>, 7–11.</w:t>
      </w:r>
    </w:p>
  </w:footnote>
  <w:footnote w:id="816">
    <w:p w14:paraId="1CB8FBB1"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Mental Health Carers NSW, </w:t>
      </w:r>
      <w:r w:rsidRPr="00410DAB">
        <w:rPr>
          <w:rFonts w:ascii="Public Sans" w:hAnsi="Public Sans" w:cs="Arial"/>
          <w:i/>
          <w:iCs/>
        </w:rPr>
        <w:t>Preliminary Submission PAD42</w:t>
      </w:r>
      <w:r w:rsidRPr="00410DAB">
        <w:rPr>
          <w:rFonts w:ascii="Public Sans" w:hAnsi="Public Sans" w:cs="Arial"/>
        </w:rPr>
        <w:t>, 6.</w:t>
      </w:r>
    </w:p>
  </w:footnote>
  <w:footnote w:id="817">
    <w:p w14:paraId="7F9C8519"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color w:val="000000" w:themeColor="text1"/>
        </w:rPr>
        <w:t>See, eg, ACON,</w:t>
      </w:r>
      <w:r w:rsidRPr="00410DAB">
        <w:rPr>
          <w:rFonts w:ascii="Public Sans" w:hAnsi="Public Sans" w:cs="Arial"/>
        </w:rPr>
        <w:t xml:space="preserve"> </w:t>
      </w:r>
      <w:r w:rsidRPr="00410DAB">
        <w:rPr>
          <w:rFonts w:ascii="Public Sans" w:hAnsi="Public Sans" w:cs="Arial"/>
          <w:i/>
          <w:iCs/>
        </w:rPr>
        <w:t>Preliminary Submission PAD44</w:t>
      </w:r>
      <w:r w:rsidRPr="00410DAB">
        <w:rPr>
          <w:rFonts w:ascii="Public Sans" w:hAnsi="Public Sans" w:cs="Arial"/>
        </w:rPr>
        <w:t xml:space="preserve">, 7; Respect Inc, </w:t>
      </w:r>
      <w:r w:rsidRPr="00410DAB">
        <w:rPr>
          <w:rFonts w:ascii="Public Sans" w:hAnsi="Public Sans" w:cs="Arial"/>
          <w:i/>
          <w:iCs/>
        </w:rPr>
        <w:t>Preliminary Submission PAD57</w:t>
      </w:r>
      <w:r w:rsidRPr="00410DAB">
        <w:rPr>
          <w:rFonts w:ascii="Public Sans" w:hAnsi="Public Sans" w:cs="Arial"/>
        </w:rPr>
        <w:t xml:space="preserve">, 1, 6; Neophile, </w:t>
      </w:r>
      <w:r w:rsidRPr="00410DAB">
        <w:rPr>
          <w:rFonts w:ascii="Public Sans" w:hAnsi="Public Sans" w:cs="Arial"/>
          <w:i/>
          <w:iCs/>
        </w:rPr>
        <w:t>Preliminary Submission PAD66</w:t>
      </w:r>
      <w:r w:rsidRPr="00410DAB">
        <w:rPr>
          <w:rFonts w:ascii="Public Sans" w:hAnsi="Public Sans" w:cs="Arial"/>
        </w:rPr>
        <w:t xml:space="preserve">, 9; Scarlet Alliance, Australian Sex Workers Association, </w:t>
      </w:r>
      <w:r w:rsidRPr="00410DAB">
        <w:rPr>
          <w:rFonts w:ascii="Public Sans" w:hAnsi="Public Sans" w:cs="Arial"/>
          <w:i/>
          <w:iCs/>
        </w:rPr>
        <w:t>Preliminary Submission PAD74</w:t>
      </w:r>
      <w:r w:rsidRPr="00410DAB">
        <w:rPr>
          <w:rFonts w:ascii="Public Sans" w:hAnsi="Public Sans" w:cs="Arial"/>
        </w:rPr>
        <w:t xml:space="preserve">, 5–6; Sex Workers Outreach Project, </w:t>
      </w:r>
      <w:r w:rsidRPr="00410DAB">
        <w:rPr>
          <w:rFonts w:ascii="Public Sans" w:hAnsi="Public Sans" w:cs="Arial"/>
          <w:i/>
          <w:iCs/>
        </w:rPr>
        <w:t>Preliminary Submission PAD77</w:t>
      </w:r>
      <w:r w:rsidRPr="00410DAB">
        <w:rPr>
          <w:rFonts w:ascii="Public Sans" w:hAnsi="Public Sans" w:cs="Arial"/>
        </w:rPr>
        <w:t>,</w:t>
      </w:r>
      <w:r w:rsidRPr="00410DAB">
        <w:rPr>
          <w:rFonts w:ascii="Public Sans" w:hAnsi="Public Sans" w:cs="Arial"/>
          <w:i/>
          <w:iCs/>
        </w:rPr>
        <w:t xml:space="preserve"> </w:t>
      </w:r>
      <w:r w:rsidRPr="00410DAB">
        <w:rPr>
          <w:rFonts w:ascii="Public Sans" w:hAnsi="Public Sans" w:cs="Arial"/>
        </w:rPr>
        <w:t>7.</w:t>
      </w:r>
    </w:p>
  </w:footnote>
  <w:footnote w:id="818">
    <w:p w14:paraId="32AAFB15" w14:textId="77777777" w:rsidR="00FE5562" w:rsidRPr="00410DAB" w:rsidRDefault="00FE5562" w:rsidP="00FE5562">
      <w:pPr>
        <w:pStyle w:val="FootnoteText"/>
        <w:rPr>
          <w:rFonts w:ascii="Public Sans" w:hAnsi="Public Sans" w:cs="Arial"/>
          <w:color w:val="000000" w:themeColor="text1"/>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color w:val="000000" w:themeColor="text1"/>
        </w:rPr>
        <w:t xml:space="preserve">See, eg, Intersex Human Rights Australia, </w:t>
      </w:r>
      <w:r w:rsidRPr="00410DAB">
        <w:rPr>
          <w:rFonts w:ascii="Public Sans" w:hAnsi="Public Sans" w:cs="Arial"/>
          <w:i/>
          <w:iCs/>
          <w:color w:val="000000" w:themeColor="text1"/>
        </w:rPr>
        <w:t>Preliminary Submission PAD02</w:t>
      </w:r>
      <w:r w:rsidRPr="00410DAB">
        <w:rPr>
          <w:rFonts w:ascii="Public Sans" w:hAnsi="Public Sans" w:cs="Arial"/>
          <w:color w:val="000000" w:themeColor="text1"/>
        </w:rPr>
        <w:t>,</w:t>
      </w:r>
      <w:r w:rsidRPr="00410DAB">
        <w:rPr>
          <w:rFonts w:ascii="Public Sans" w:hAnsi="Public Sans" w:cs="Arial"/>
          <w:i/>
          <w:iCs/>
          <w:color w:val="000000" w:themeColor="text1"/>
        </w:rPr>
        <w:t xml:space="preserve"> </w:t>
      </w:r>
      <w:r w:rsidRPr="00410DAB">
        <w:rPr>
          <w:rFonts w:ascii="Public Sans" w:hAnsi="Public Sans" w:cs="Arial"/>
          <w:color w:val="000000" w:themeColor="text1"/>
        </w:rPr>
        <w:t xml:space="preserve">9; ACON, </w:t>
      </w:r>
      <w:r w:rsidRPr="00410DAB">
        <w:rPr>
          <w:rFonts w:ascii="Public Sans" w:hAnsi="Public Sans" w:cs="Arial"/>
          <w:i/>
          <w:iCs/>
          <w:color w:val="000000" w:themeColor="text1"/>
        </w:rPr>
        <w:t>Preliminary Submission PAD44</w:t>
      </w:r>
      <w:r w:rsidRPr="00410DAB">
        <w:rPr>
          <w:rFonts w:ascii="Public Sans" w:hAnsi="Public Sans" w:cs="Arial"/>
          <w:color w:val="000000" w:themeColor="text1"/>
        </w:rPr>
        <w:t xml:space="preserve">, 7; Neophile, </w:t>
      </w:r>
      <w:r w:rsidRPr="00410DAB">
        <w:rPr>
          <w:rFonts w:ascii="Public Sans" w:hAnsi="Public Sans" w:cs="Arial"/>
          <w:i/>
          <w:iCs/>
          <w:color w:val="000000" w:themeColor="text1"/>
        </w:rPr>
        <w:t>Preliminary Submission PAD66</w:t>
      </w:r>
      <w:r w:rsidRPr="00410DAB">
        <w:rPr>
          <w:rFonts w:ascii="Public Sans" w:hAnsi="Public Sans" w:cs="Arial"/>
          <w:color w:val="000000" w:themeColor="text1"/>
        </w:rPr>
        <w:t>,</w:t>
      </w:r>
      <w:r w:rsidRPr="00410DAB">
        <w:rPr>
          <w:rFonts w:ascii="Public Sans" w:hAnsi="Public Sans" w:cs="Arial"/>
          <w:i/>
          <w:iCs/>
          <w:color w:val="000000" w:themeColor="text1"/>
        </w:rPr>
        <w:t xml:space="preserve"> </w:t>
      </w:r>
      <w:r w:rsidRPr="00410DAB">
        <w:rPr>
          <w:rFonts w:ascii="Public Sans" w:hAnsi="Public Sans" w:cs="Arial"/>
          <w:color w:val="000000" w:themeColor="text1"/>
        </w:rPr>
        <w:t>13–14.</w:t>
      </w:r>
    </w:p>
  </w:footnote>
  <w:footnote w:id="819">
    <w:p w14:paraId="646F16CA"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Royal Commission into Violence, Abuse, Neglect and Exploitation of People with Disability</w:t>
      </w:r>
      <w:r w:rsidRPr="00410DAB">
        <w:rPr>
          <w:rFonts w:ascii="Public Sans" w:hAnsi="Public Sans" w:cs="Arial"/>
        </w:rPr>
        <w:t>, Final Report (2023) vol 4, “Realising the Human Rights of People with Disability”, rec 4.29, rec 4.30.</w:t>
      </w:r>
    </w:p>
  </w:footnote>
  <w:footnote w:id="820">
    <w:p w14:paraId="14CA2C23"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Royal Commission into Violence, Abuse, Neglect and Exploitation of People with Disability</w:t>
      </w:r>
      <w:r w:rsidRPr="00410DAB">
        <w:rPr>
          <w:rFonts w:ascii="Public Sans" w:hAnsi="Public Sans" w:cs="Arial"/>
        </w:rPr>
        <w:t>, Final Report (2023) vol 4, “Realising the Human Rights of People with Disability”, rec 4.30.</w:t>
      </w:r>
    </w:p>
  </w:footnote>
  <w:footnote w:id="821">
    <w:p w14:paraId="2B0BEBA5"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Australian Christian Lobby, </w:t>
      </w:r>
      <w:r w:rsidRPr="00410DAB">
        <w:rPr>
          <w:rFonts w:ascii="Public Sans" w:hAnsi="Public Sans" w:cs="Arial"/>
          <w:i/>
          <w:iCs/>
        </w:rPr>
        <w:t>Preliminary Submission PAD12</w:t>
      </w:r>
      <w:r w:rsidRPr="00410DAB">
        <w:rPr>
          <w:rFonts w:ascii="Public Sans" w:hAnsi="Public Sans" w:cs="Arial"/>
        </w:rPr>
        <w:t xml:space="preserve">, 11, 12; Feminist Legal Clinic, </w:t>
      </w:r>
      <w:r w:rsidRPr="00410DAB">
        <w:rPr>
          <w:rFonts w:ascii="Public Sans" w:hAnsi="Public Sans" w:cs="Arial"/>
          <w:i/>
          <w:iCs/>
        </w:rPr>
        <w:t>Preliminary Submission PAD72</w:t>
      </w:r>
      <w:r w:rsidRPr="00410DAB">
        <w:rPr>
          <w:rFonts w:ascii="Public Sans" w:hAnsi="Public Sans" w:cs="Arial"/>
        </w:rPr>
        <w:t>, 3.</w:t>
      </w:r>
    </w:p>
  </w:footnote>
  <w:footnote w:id="822">
    <w:p w14:paraId="035BE3E0"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Style w:val="normaltextrun"/>
          <w:rFonts w:ascii="Public Sans" w:hAnsi="Public Sans"/>
          <w:color w:val="000000"/>
          <w:szCs w:val="18"/>
          <w:shd w:val="clear" w:color="auto" w:fill="FFFFFF"/>
        </w:rPr>
        <w:t xml:space="preserve">NSW Law Reform Commission, </w:t>
      </w:r>
      <w:r w:rsidRPr="00410DAB">
        <w:rPr>
          <w:rStyle w:val="normaltextrun"/>
          <w:rFonts w:ascii="Public Sans" w:hAnsi="Public Sans"/>
          <w:i/>
          <w:iCs/>
          <w:color w:val="000000"/>
          <w:szCs w:val="18"/>
          <w:shd w:val="clear" w:color="auto" w:fill="FFFFFF"/>
        </w:rPr>
        <w:t>Review of the Anti-Discrimination Act 1977 (NSW)</w:t>
      </w:r>
      <w:r w:rsidRPr="00410DAB">
        <w:rPr>
          <w:rStyle w:val="normaltextrun"/>
          <w:rFonts w:ascii="Public Sans" w:hAnsi="Public Sans"/>
          <w:color w:val="000000"/>
          <w:szCs w:val="18"/>
          <w:shd w:val="clear" w:color="auto" w:fill="FFFFFF"/>
        </w:rPr>
        <w:t>, Report 92 (1999)</w:t>
      </w:r>
      <w:r w:rsidRPr="00410DAB">
        <w:rPr>
          <w:rStyle w:val="eop"/>
          <w:rFonts w:ascii="Public Sans" w:hAnsi="Public Sans"/>
          <w:color w:val="000000"/>
          <w:szCs w:val="18"/>
          <w:shd w:val="clear" w:color="auto" w:fill="FFFFFF"/>
        </w:rPr>
        <w:t> </w:t>
      </w:r>
      <w:r w:rsidRPr="00410DAB">
        <w:rPr>
          <w:rFonts w:ascii="Public Sans" w:hAnsi="Public Sans" w:cs="Arial"/>
        </w:rPr>
        <w:t>[7.79]–[7.80].</w:t>
      </w:r>
    </w:p>
  </w:footnote>
  <w:footnote w:id="823">
    <w:p w14:paraId="7741AE10"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w:t>
      </w:r>
      <w:r w:rsidRPr="00410DAB">
        <w:rPr>
          <w:rFonts w:ascii="Public Sans" w:hAnsi="Public Sans" w:cs="Arial"/>
          <w:i/>
          <w:iCs/>
        </w:rPr>
        <w:t xml:space="preserve"> </w:t>
      </w:r>
      <w:r w:rsidRPr="00410DAB">
        <w:rPr>
          <w:rFonts w:ascii="Public Sans" w:hAnsi="Public Sans" w:cs="Arial"/>
        </w:rPr>
        <w:t xml:space="preserve">Report 92 (1999) [7.75], [7.84], [7.93]. </w:t>
      </w:r>
    </w:p>
  </w:footnote>
  <w:footnote w:id="824">
    <w:p w14:paraId="2DBF83AA"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w:t>
      </w:r>
      <w:r w:rsidRPr="00410DAB">
        <w:rPr>
          <w:rFonts w:ascii="Public Sans" w:hAnsi="Public Sans" w:cs="Arial"/>
          <w:i/>
          <w:iCs/>
        </w:rPr>
        <w:t xml:space="preserve"> </w:t>
      </w:r>
      <w:r w:rsidRPr="00410DAB">
        <w:rPr>
          <w:rFonts w:ascii="Public Sans" w:hAnsi="Public Sans" w:cs="Arial"/>
        </w:rPr>
        <w:t>Report 92 (1999) [7.81]–[7.92].</w:t>
      </w:r>
    </w:p>
  </w:footnote>
  <w:footnote w:id="825">
    <w:p w14:paraId="272AE14F" w14:textId="77777777" w:rsidR="00FE5562" w:rsidRPr="00410DAB" w:rsidRDefault="00FE5562" w:rsidP="00FE5562">
      <w:pPr>
        <w:pStyle w:val="FootnoteText"/>
        <w:rPr>
          <w:rFonts w:ascii="Public Sans" w:hAnsi="Public Sans"/>
        </w:rPr>
      </w:pPr>
      <w:r w:rsidRPr="00410DAB">
        <w:rPr>
          <w:rStyle w:val="FootnoteReference"/>
          <w:rFonts w:cs="Arial"/>
          <w:vertAlign w:val="baseline"/>
        </w:rPr>
        <w:footnoteRef/>
      </w:r>
      <w:r w:rsidRPr="00410DAB">
        <w:rPr>
          <w:rFonts w:ascii="Public Sans" w:hAnsi="Public Sans"/>
        </w:rPr>
        <w:t>.</w:t>
      </w:r>
      <w:r w:rsidRPr="00410DAB">
        <w:rPr>
          <w:rFonts w:ascii="Public Sans" w:hAnsi="Public Sans"/>
        </w:rPr>
        <w:tab/>
      </w:r>
      <w:r w:rsidRPr="00410DAB">
        <w:rPr>
          <w:rFonts w:ascii="Public Sans" w:hAnsi="Public Sans"/>
          <w:i/>
          <w:iCs/>
        </w:rPr>
        <w:t>Anti-Discrimination Act 1977</w:t>
      </w:r>
      <w:r w:rsidRPr="00410DAB">
        <w:rPr>
          <w:rFonts w:ascii="Public Sans" w:hAnsi="Public Sans"/>
        </w:rPr>
        <w:t xml:space="preserve"> (NSW) s 49ZE, </w:t>
      </w:r>
      <w:r w:rsidRPr="00410DAB">
        <w:rPr>
          <w:rFonts w:ascii="Public Sans" w:hAnsi="Public Sans" w:cs="Arial"/>
        </w:rPr>
        <w:t>inserted</w:t>
      </w:r>
      <w:r w:rsidRPr="00410DAB">
        <w:rPr>
          <w:rFonts w:ascii="Public Sans" w:hAnsi="Public Sans"/>
        </w:rPr>
        <w:t xml:space="preserve"> by </w:t>
      </w:r>
      <w:r w:rsidRPr="00410DAB">
        <w:rPr>
          <w:rFonts w:ascii="Public Sans" w:hAnsi="Public Sans"/>
          <w:i/>
          <w:iCs/>
        </w:rPr>
        <w:t>Anti-Discrimination Amendment (Religious Vilification) Act 2023</w:t>
      </w:r>
      <w:r w:rsidRPr="00410DAB">
        <w:rPr>
          <w:rFonts w:ascii="Public Sans" w:hAnsi="Public Sans"/>
        </w:rPr>
        <w:t xml:space="preserve"> (NSW) sch 1.</w:t>
      </w:r>
    </w:p>
  </w:footnote>
  <w:footnote w:id="826">
    <w:p w14:paraId="3312514B"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Style w:val="normaltextrun"/>
          <w:rFonts w:ascii="Public Sans" w:hAnsi="Public Sans"/>
          <w:color w:val="000000"/>
          <w:szCs w:val="18"/>
          <w:shd w:val="clear" w:color="auto" w:fill="FFFFFF"/>
          <w:lang w:val="en-GB"/>
        </w:rPr>
        <w:t xml:space="preserve">England and Wales, Law Commission, </w:t>
      </w:r>
      <w:r w:rsidRPr="00410DAB">
        <w:rPr>
          <w:rStyle w:val="normaltextrun"/>
          <w:rFonts w:ascii="Public Sans" w:hAnsi="Public Sans"/>
          <w:i/>
          <w:iCs/>
          <w:color w:val="000000"/>
          <w:szCs w:val="18"/>
          <w:shd w:val="clear" w:color="auto" w:fill="FFFFFF"/>
          <w:lang w:val="en-GB"/>
        </w:rPr>
        <w:t>Hate Crime Laws</w:t>
      </w:r>
      <w:r w:rsidRPr="00410DAB">
        <w:rPr>
          <w:rStyle w:val="normaltextrun"/>
          <w:rFonts w:ascii="Public Sans" w:hAnsi="Public Sans"/>
          <w:color w:val="000000"/>
          <w:szCs w:val="18"/>
          <w:shd w:val="clear" w:color="auto" w:fill="FFFFFF"/>
          <w:lang w:val="en-GB"/>
        </w:rPr>
        <w:t>, Final Report No 402 (2021) [3.45]</w:t>
      </w:r>
      <w:r w:rsidRPr="00410DAB">
        <w:rPr>
          <w:rStyle w:val="eop"/>
          <w:rFonts w:ascii="Public Sans" w:hAnsi="Public Sans"/>
          <w:color w:val="000000"/>
          <w:szCs w:val="18"/>
          <w:shd w:val="clear" w:color="auto" w:fill="FFFFFF"/>
        </w:rPr>
        <w:t xml:space="preserve">; </w:t>
      </w:r>
      <w:r w:rsidRPr="00410DAB">
        <w:rPr>
          <w:rFonts w:ascii="Public Sans" w:hAnsi="Public Sans" w:cs="Arial"/>
        </w:rPr>
        <w:t xml:space="preserve">Parliament of Victoria, Legislative Assembly Legal and Social Issues Committee, </w:t>
      </w:r>
      <w:r w:rsidRPr="00410DAB">
        <w:rPr>
          <w:rFonts w:ascii="Public Sans" w:hAnsi="Public Sans" w:cs="Arial"/>
          <w:i/>
          <w:iCs/>
        </w:rPr>
        <w:t>Inquiry into Anti-Vilification Protections</w:t>
      </w:r>
      <w:r w:rsidRPr="00410DAB">
        <w:rPr>
          <w:rFonts w:ascii="Public Sans" w:hAnsi="Public Sans" w:cs="Arial"/>
        </w:rPr>
        <w:t xml:space="preserve"> (2021) 54–55.</w:t>
      </w:r>
    </w:p>
  </w:footnote>
  <w:footnote w:id="827">
    <w:p w14:paraId="60C5698F"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Style w:val="normaltextrun"/>
          <w:rFonts w:ascii="Public Sans" w:hAnsi="Public Sans"/>
          <w:color w:val="000000"/>
          <w:szCs w:val="18"/>
          <w:shd w:val="clear" w:color="auto" w:fill="FFFFFF"/>
          <w:lang w:val="en-GB"/>
        </w:rPr>
        <w:t xml:space="preserve">England and Wales, Law Commission, </w:t>
      </w:r>
      <w:r w:rsidRPr="00410DAB">
        <w:rPr>
          <w:rStyle w:val="normaltextrun"/>
          <w:rFonts w:ascii="Public Sans" w:hAnsi="Public Sans"/>
          <w:i/>
          <w:iCs/>
          <w:color w:val="000000"/>
          <w:szCs w:val="18"/>
          <w:shd w:val="clear" w:color="auto" w:fill="FFFFFF"/>
          <w:lang w:val="en-GB"/>
        </w:rPr>
        <w:t>Hate Crime Laws</w:t>
      </w:r>
      <w:r w:rsidRPr="00410DAB">
        <w:rPr>
          <w:rStyle w:val="normaltextrun"/>
          <w:rFonts w:ascii="Public Sans" w:hAnsi="Public Sans"/>
          <w:color w:val="000000"/>
          <w:szCs w:val="18"/>
          <w:shd w:val="clear" w:color="auto" w:fill="FFFFFF"/>
          <w:lang w:val="en-GB"/>
        </w:rPr>
        <w:t>, Final Report No 402 (2021) [3.42],</w:t>
      </w:r>
      <w:r w:rsidRPr="00410DAB">
        <w:rPr>
          <w:rStyle w:val="eop"/>
          <w:rFonts w:ascii="Public Sans" w:hAnsi="Public Sans"/>
          <w:color w:val="000000"/>
          <w:szCs w:val="18"/>
          <w:shd w:val="clear" w:color="auto" w:fill="FFFFFF"/>
        </w:rPr>
        <w:t> </w:t>
      </w:r>
      <w:r w:rsidRPr="00410DAB">
        <w:rPr>
          <w:rFonts w:ascii="Public Sans" w:hAnsi="Public Sans" w:cs="Arial"/>
        </w:rPr>
        <w:t>[3.45].</w:t>
      </w:r>
    </w:p>
  </w:footnote>
  <w:footnote w:id="828">
    <w:p w14:paraId="106F7F73"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Parliament of Victoria, Legislative Assembly Legal and Social Issues Committee, </w:t>
      </w:r>
      <w:r w:rsidRPr="00410DAB">
        <w:rPr>
          <w:rFonts w:ascii="Public Sans" w:hAnsi="Public Sans" w:cs="Arial"/>
          <w:i/>
          <w:iCs/>
        </w:rPr>
        <w:t>Inquiry into Anti-Vilification Protections</w:t>
      </w:r>
      <w:r w:rsidRPr="00410DAB">
        <w:rPr>
          <w:rFonts w:ascii="Public Sans" w:hAnsi="Public Sans" w:cs="Arial"/>
        </w:rPr>
        <w:t xml:space="preserve"> (2021) 54–55; Queensland Parliament Legal Affairs and Safety Committee, </w:t>
      </w:r>
      <w:r w:rsidRPr="00410DAB">
        <w:rPr>
          <w:rFonts w:ascii="Public Sans" w:hAnsi="Public Sans" w:cs="Arial"/>
          <w:i/>
          <w:iCs/>
        </w:rPr>
        <w:t>Inquiry into Serious Vilification and Hate Crimes</w:t>
      </w:r>
      <w:r w:rsidRPr="00410DAB">
        <w:rPr>
          <w:rFonts w:ascii="Public Sans" w:hAnsi="Public Sans" w:cs="Arial"/>
        </w:rPr>
        <w:t xml:space="preserve">, Report 22 (2022) 44; Law Reform Commission of Western Australia, </w:t>
      </w:r>
      <w:r w:rsidRPr="00410DAB">
        <w:rPr>
          <w:rFonts w:ascii="Public Sans" w:hAnsi="Public Sans" w:cs="Arial"/>
          <w:i/>
          <w:iCs/>
        </w:rPr>
        <w:t>Review of the Equal Opportunity Act 1984 (WA)</w:t>
      </w:r>
      <w:r w:rsidRPr="00410DAB">
        <w:rPr>
          <w:rFonts w:ascii="Public Sans" w:hAnsi="Public Sans" w:cs="Arial"/>
        </w:rPr>
        <w:t>, Project 111, Final Report (2022) 229–230.</w:t>
      </w:r>
    </w:p>
  </w:footnote>
  <w:footnote w:id="829">
    <w:p w14:paraId="207912DB"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Style w:val="normaltextrun"/>
          <w:rFonts w:ascii="Public Sans" w:hAnsi="Public Sans"/>
          <w:color w:val="000000"/>
          <w:szCs w:val="18"/>
          <w:shd w:val="clear" w:color="auto" w:fill="FFFFFF"/>
          <w:lang w:val="en-GB"/>
        </w:rPr>
        <w:t xml:space="preserve">England and Wales, Law Commission, </w:t>
      </w:r>
      <w:r w:rsidRPr="00410DAB">
        <w:rPr>
          <w:rStyle w:val="normaltextrun"/>
          <w:rFonts w:ascii="Public Sans" w:hAnsi="Public Sans"/>
          <w:i/>
          <w:iCs/>
          <w:color w:val="000000"/>
          <w:szCs w:val="18"/>
          <w:shd w:val="clear" w:color="auto" w:fill="FFFFFF"/>
          <w:lang w:val="en-GB"/>
        </w:rPr>
        <w:t>Hate Crime Laws</w:t>
      </w:r>
      <w:r w:rsidRPr="00410DAB">
        <w:rPr>
          <w:rStyle w:val="normaltextrun"/>
          <w:rFonts w:ascii="Public Sans" w:hAnsi="Public Sans"/>
          <w:color w:val="000000"/>
          <w:szCs w:val="18"/>
          <w:shd w:val="clear" w:color="auto" w:fill="FFFFFF"/>
          <w:lang w:val="en-GB"/>
        </w:rPr>
        <w:t>, Final Report No 402 (2021) [3.83].</w:t>
      </w:r>
      <w:r w:rsidRPr="00410DAB">
        <w:rPr>
          <w:rStyle w:val="eop"/>
          <w:rFonts w:ascii="Public Sans" w:hAnsi="Public Sans"/>
          <w:color w:val="000000"/>
          <w:szCs w:val="18"/>
          <w:shd w:val="clear" w:color="auto" w:fill="FFFFFF"/>
        </w:rPr>
        <w:t> </w:t>
      </w:r>
      <w:r w:rsidRPr="00410DAB">
        <w:rPr>
          <w:rFonts w:ascii="Public Sans" w:hAnsi="Public Sans" w:cs="Arial"/>
        </w:rPr>
        <w:t xml:space="preserve"> </w:t>
      </w:r>
    </w:p>
  </w:footnote>
  <w:footnote w:id="830">
    <w:p w14:paraId="5FD51840"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49ZXB.</w:t>
      </w:r>
    </w:p>
  </w:footnote>
  <w:footnote w:id="831">
    <w:p w14:paraId="0D102E0A"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Style w:val="normaltextrun"/>
          <w:rFonts w:ascii="Public Sans" w:hAnsi="Public Sans"/>
          <w:color w:val="000000"/>
          <w:szCs w:val="18"/>
          <w:shd w:val="clear" w:color="auto" w:fill="FFFFFF"/>
        </w:rPr>
        <w:t xml:space="preserve">ACT Law Reform Advisory Council, </w:t>
      </w:r>
      <w:r w:rsidRPr="00410DAB">
        <w:rPr>
          <w:rStyle w:val="normaltextrun"/>
          <w:rFonts w:ascii="Public Sans" w:hAnsi="Public Sans"/>
          <w:i/>
          <w:iCs/>
          <w:color w:val="000000"/>
          <w:szCs w:val="18"/>
          <w:shd w:val="clear" w:color="auto" w:fill="FFFFFF"/>
        </w:rPr>
        <w:t>Review of the Discrimination Act 1991 (ACT)</w:t>
      </w:r>
      <w:r w:rsidRPr="00410DAB">
        <w:rPr>
          <w:rStyle w:val="normaltextrun"/>
          <w:rFonts w:ascii="Public Sans" w:hAnsi="Public Sans"/>
          <w:color w:val="000000"/>
          <w:szCs w:val="18"/>
          <w:shd w:val="clear" w:color="auto" w:fill="FFFFFF"/>
        </w:rPr>
        <w:t>,</w:t>
      </w:r>
      <w:r w:rsidRPr="00410DAB">
        <w:rPr>
          <w:rStyle w:val="normaltextrun"/>
          <w:rFonts w:ascii="Public Sans" w:hAnsi="Public Sans"/>
          <w:i/>
          <w:iCs/>
          <w:color w:val="000000"/>
          <w:szCs w:val="18"/>
          <w:shd w:val="clear" w:color="auto" w:fill="FFFFFF"/>
        </w:rPr>
        <w:t xml:space="preserve"> </w:t>
      </w:r>
      <w:r w:rsidRPr="00410DAB">
        <w:rPr>
          <w:rStyle w:val="normaltextrun"/>
          <w:rFonts w:ascii="Public Sans" w:hAnsi="Public Sans"/>
          <w:color w:val="000000"/>
          <w:szCs w:val="18"/>
          <w:shd w:val="clear" w:color="auto" w:fill="FFFFFF"/>
        </w:rPr>
        <w:t>Final Report</w:t>
      </w:r>
      <w:r w:rsidRPr="00410DAB">
        <w:rPr>
          <w:rStyle w:val="normaltextrun"/>
          <w:rFonts w:ascii="Public Sans" w:hAnsi="Public Sans"/>
          <w:i/>
          <w:iCs/>
          <w:color w:val="000000"/>
          <w:szCs w:val="18"/>
          <w:shd w:val="clear" w:color="auto" w:fill="FFFFFF"/>
        </w:rPr>
        <w:t xml:space="preserve"> </w:t>
      </w:r>
      <w:r w:rsidRPr="00410DAB">
        <w:rPr>
          <w:rStyle w:val="normaltextrun"/>
          <w:rFonts w:ascii="Public Sans" w:hAnsi="Public Sans"/>
          <w:color w:val="000000"/>
          <w:szCs w:val="18"/>
          <w:shd w:val="clear" w:color="auto" w:fill="FFFFFF"/>
        </w:rPr>
        <w:t>(2015)</w:t>
      </w:r>
      <w:r w:rsidRPr="00410DAB">
        <w:rPr>
          <w:rStyle w:val="eop"/>
          <w:rFonts w:ascii="Public Sans" w:hAnsi="Public Sans"/>
          <w:color w:val="000000"/>
          <w:szCs w:val="18"/>
          <w:shd w:val="clear" w:color="auto" w:fill="FFFFFF"/>
        </w:rPr>
        <w:t> </w:t>
      </w:r>
      <w:r w:rsidRPr="00410DAB">
        <w:rPr>
          <w:rFonts w:ascii="Public Sans" w:hAnsi="Public Sans" w:cs="Arial"/>
        </w:rPr>
        <w:t>96.</w:t>
      </w:r>
    </w:p>
  </w:footnote>
  <w:footnote w:id="832">
    <w:p w14:paraId="40C2E07E"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Discrimination Act 1991 </w:t>
      </w:r>
      <w:r w:rsidRPr="00410DAB">
        <w:rPr>
          <w:rFonts w:ascii="Public Sans" w:hAnsi="Public Sans" w:cs="Arial"/>
        </w:rPr>
        <w:t xml:space="preserve">(ACT) s 7, s 67A. </w:t>
      </w:r>
    </w:p>
  </w:footnote>
  <w:footnote w:id="833">
    <w:p w14:paraId="0F2B17B8"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Discrimination Act 1991</w:t>
      </w:r>
      <w:r w:rsidRPr="00410DAB">
        <w:rPr>
          <w:rFonts w:ascii="Public Sans" w:hAnsi="Public Sans"/>
        </w:rPr>
        <w:t xml:space="preserve"> (ACT) s 67A(1)(a); </w:t>
      </w:r>
      <w:r w:rsidRPr="00410DAB">
        <w:rPr>
          <w:rFonts w:ascii="Public Sans" w:hAnsi="Public Sans"/>
          <w:i/>
          <w:iCs/>
        </w:rPr>
        <w:t xml:space="preserve">Anti-Discrimination Act 1992 </w:t>
      </w:r>
      <w:r w:rsidRPr="00410DAB">
        <w:rPr>
          <w:rFonts w:ascii="Public Sans" w:hAnsi="Public Sans"/>
        </w:rPr>
        <w:t xml:space="preserve">(NT) s 19(1)(j), s 20A; </w:t>
      </w:r>
      <w:r w:rsidRPr="00410DAB">
        <w:rPr>
          <w:rFonts w:ascii="Public Sans" w:hAnsi="Public Sans"/>
          <w:i/>
          <w:iCs/>
        </w:rPr>
        <w:t xml:space="preserve">Anti-Discrimination Act 1998 </w:t>
      </w:r>
      <w:r w:rsidRPr="00410DAB">
        <w:rPr>
          <w:rFonts w:ascii="Public Sans" w:hAnsi="Public Sans"/>
        </w:rPr>
        <w:t xml:space="preserve">(Tas) s 16(k), s 17(1), s 19(b). </w:t>
      </w:r>
    </w:p>
  </w:footnote>
  <w:footnote w:id="834">
    <w:p w14:paraId="0339AE70"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Discrimination Act 1991</w:t>
      </w:r>
      <w:r w:rsidRPr="00410DAB">
        <w:rPr>
          <w:rFonts w:ascii="Public Sans" w:hAnsi="Public Sans"/>
        </w:rPr>
        <w:t xml:space="preserve"> (ACT) s 67A(b); </w:t>
      </w:r>
      <w:r w:rsidRPr="00410DAB">
        <w:rPr>
          <w:rFonts w:ascii="Public Sans" w:hAnsi="Public Sans"/>
          <w:i/>
          <w:iCs/>
        </w:rPr>
        <w:t xml:space="preserve">Anti-Discrimination Act 1992 </w:t>
      </w:r>
      <w:r w:rsidRPr="00410DAB">
        <w:rPr>
          <w:rFonts w:ascii="Public Sans" w:hAnsi="Public Sans"/>
        </w:rPr>
        <w:t xml:space="preserve">(NT) s 19(1)(ba), s 20A; </w:t>
      </w:r>
      <w:r w:rsidRPr="00410DAB">
        <w:rPr>
          <w:rFonts w:ascii="Public Sans" w:hAnsi="Public Sans"/>
          <w:i/>
          <w:iCs/>
        </w:rPr>
        <w:t xml:space="preserve">Anti-Discrimination Act 1991 </w:t>
      </w:r>
      <w:r w:rsidRPr="00410DAB">
        <w:rPr>
          <w:rFonts w:ascii="Public Sans" w:hAnsi="Public Sans"/>
        </w:rPr>
        <w:t xml:space="preserve">(Qld) s 124A(1); </w:t>
      </w:r>
      <w:r w:rsidRPr="00410DAB">
        <w:rPr>
          <w:rFonts w:ascii="Public Sans" w:hAnsi="Public Sans"/>
          <w:i/>
          <w:iCs/>
        </w:rPr>
        <w:t xml:space="preserve">Anti-Discrimination Act 1998 </w:t>
      </w:r>
      <w:r w:rsidRPr="00410DAB">
        <w:rPr>
          <w:rFonts w:ascii="Public Sans" w:hAnsi="Public Sans"/>
        </w:rPr>
        <w:t>(Tas) s 16(ea), s 17(1), s 19(e).</w:t>
      </w:r>
    </w:p>
  </w:footnote>
  <w:footnote w:id="835">
    <w:p w14:paraId="56E5A1D4"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 xml:space="preserve">Anti-Discrimination Act 1992 </w:t>
      </w:r>
      <w:r w:rsidRPr="00410DAB">
        <w:rPr>
          <w:rFonts w:ascii="Public Sans" w:hAnsi="Public Sans"/>
        </w:rPr>
        <w:t xml:space="preserve">(NT) s 19(1)(d), s 20A; </w:t>
      </w:r>
      <w:r w:rsidRPr="00410DAB">
        <w:rPr>
          <w:rFonts w:ascii="Public Sans" w:hAnsi="Public Sans"/>
          <w:i/>
          <w:iCs/>
        </w:rPr>
        <w:t xml:space="preserve">Anti-Discrimination Act 1998 </w:t>
      </w:r>
      <w:r w:rsidRPr="00410DAB">
        <w:rPr>
          <w:rFonts w:ascii="Public Sans" w:hAnsi="Public Sans"/>
        </w:rPr>
        <w:t>(Tas) s 16(b), s 17(1).</w:t>
      </w:r>
    </w:p>
  </w:footnote>
  <w:footnote w:id="836">
    <w:p w14:paraId="427E2320"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 xml:space="preserve">Anti-Discrimination Act 1992 </w:t>
      </w:r>
      <w:r w:rsidRPr="00410DAB">
        <w:rPr>
          <w:rFonts w:ascii="Public Sans" w:hAnsi="Public Sans"/>
        </w:rPr>
        <w:t>(NT) s 19(e)–(eb), s 20A.</w:t>
      </w:r>
    </w:p>
  </w:footnote>
  <w:footnote w:id="837">
    <w:p w14:paraId="7C165CAF"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 xml:space="preserve">Anti-Discrimination Act 1992 </w:t>
      </w:r>
      <w:r w:rsidRPr="00410DAB">
        <w:rPr>
          <w:rFonts w:ascii="Public Sans" w:hAnsi="Public Sans"/>
        </w:rPr>
        <w:t>(NT) s 19(r), s 20A.</w:t>
      </w:r>
    </w:p>
  </w:footnote>
  <w:footnote w:id="838">
    <w:p w14:paraId="00EEB285" w14:textId="31602A0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M Garrick, “NT's CLP Government Confirms Plans to Scrap Labor's Hate Speech Changes” (2 March 2025) </w:t>
      </w:r>
      <w:r w:rsidRPr="00410DAB">
        <w:rPr>
          <w:rFonts w:ascii="Public Sans" w:hAnsi="Public Sans" w:cs="Arial"/>
          <w:i/>
          <w:iCs/>
        </w:rPr>
        <w:t>ABC News</w:t>
      </w:r>
      <w:r w:rsidRPr="00410DAB">
        <w:rPr>
          <w:rFonts w:ascii="Public Sans" w:hAnsi="Public Sans" w:cs="Arial"/>
        </w:rPr>
        <w:t xml:space="preserve"> &lt;</w:t>
      </w:r>
      <w:hyperlink r:id="rId22" w:history="1">
        <w:r w:rsidRPr="00410DAB">
          <w:rPr>
            <w:rStyle w:val="Hyperlink"/>
            <w:rFonts w:ascii="Public Sans" w:hAnsi="Public Sans" w:cs="Arial"/>
          </w:rPr>
          <w:t>www.abc.net.au/news/2025-03-02/nt-anti-discrimination-hate-speech-laws-repealed/104991288</w:t>
        </w:r>
      </w:hyperlink>
      <w:r w:rsidRPr="00410DAB">
        <w:rPr>
          <w:rFonts w:ascii="Public Sans" w:hAnsi="Public Sans" w:cs="Arial"/>
        </w:rPr>
        <w:t xml:space="preserve">&gt; (retrieved 9 April 2025). </w:t>
      </w:r>
    </w:p>
  </w:footnote>
  <w:footnote w:id="839">
    <w:p w14:paraId="60433F0D"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Segoe UI"/>
          <w:szCs w:val="18"/>
        </w:rPr>
        <w:t xml:space="preserve">Law Reform Commission of Western Australia, </w:t>
      </w:r>
      <w:r w:rsidRPr="00410DAB">
        <w:rPr>
          <w:rFonts w:ascii="Public Sans" w:hAnsi="Public Sans" w:cs="Segoe UI"/>
          <w:i/>
          <w:iCs/>
          <w:szCs w:val="18"/>
        </w:rPr>
        <w:t>Review of the Equal Opportunity Act 1984 (WA)</w:t>
      </w:r>
      <w:r w:rsidRPr="00410DAB">
        <w:rPr>
          <w:rFonts w:ascii="Public Sans" w:hAnsi="Public Sans" w:cs="Segoe UI"/>
          <w:szCs w:val="18"/>
        </w:rPr>
        <w:t xml:space="preserve">, Project 111, Final Report (2022) rec 114; </w:t>
      </w:r>
      <w:r w:rsidRPr="00410DAB">
        <w:rPr>
          <w:rStyle w:val="cf01"/>
          <w:rFonts w:ascii="Public Sans" w:hAnsi="Public Sans"/>
        </w:rPr>
        <w:t xml:space="preserve">Parliament of Victoria, Legislative Assembly Legal and Social Issues Committee, </w:t>
      </w:r>
      <w:r w:rsidRPr="00410DAB">
        <w:rPr>
          <w:rStyle w:val="cf11"/>
          <w:rFonts w:ascii="Public Sans" w:hAnsi="Public Sans"/>
          <w:i/>
          <w:iCs/>
        </w:rPr>
        <w:t>Inquiry into Anti-Vilification Protections</w:t>
      </w:r>
      <w:r w:rsidRPr="00410DAB">
        <w:rPr>
          <w:rStyle w:val="cf01"/>
          <w:rFonts w:ascii="Public Sans" w:hAnsi="Public Sans"/>
        </w:rPr>
        <w:t xml:space="preserve"> (2021) rec 1, 60; </w:t>
      </w:r>
      <w:r w:rsidRPr="00410DAB">
        <w:rPr>
          <w:rFonts w:ascii="Public Sans" w:hAnsi="Public Sans" w:cs="Segoe UI"/>
          <w:szCs w:val="18"/>
        </w:rPr>
        <w:t xml:space="preserve">Queensland Parliament Legal Affairs and Safety Committee, </w:t>
      </w:r>
      <w:r w:rsidRPr="00410DAB">
        <w:rPr>
          <w:rFonts w:ascii="Public Sans" w:hAnsi="Public Sans" w:cs="Segoe UI"/>
          <w:i/>
          <w:iCs/>
          <w:szCs w:val="18"/>
        </w:rPr>
        <w:t>Inquiry into Serious Vilification and Hate Crimes</w:t>
      </w:r>
      <w:r w:rsidRPr="00410DAB">
        <w:rPr>
          <w:rFonts w:ascii="Public Sans" w:hAnsi="Public Sans" w:cs="Segoe UI"/>
          <w:szCs w:val="18"/>
        </w:rPr>
        <w:t>, Report 22 (2022) 44, rec 4.</w:t>
      </w:r>
    </w:p>
  </w:footnote>
  <w:footnote w:id="840">
    <w:p w14:paraId="0ED6D268" w14:textId="7A95DEA2" w:rsidR="00FE5562" w:rsidRPr="00410DAB" w:rsidRDefault="00FE5562" w:rsidP="00FE5562">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i/>
          <w:iCs/>
          <w:color w:val="000000" w:themeColor="text1"/>
        </w:rPr>
        <w:t>Justice Legislation Amendment (Anti-vilification and Social Cohesion) Act 2025</w:t>
      </w:r>
      <w:r w:rsidRPr="00410DAB">
        <w:rPr>
          <w:rFonts w:ascii="Public Sans" w:hAnsi="Public Sans"/>
          <w:color w:val="000000" w:themeColor="text1"/>
        </w:rPr>
        <w:t xml:space="preserve"> (Vic) s 9, inserting </w:t>
      </w:r>
      <w:r w:rsidRPr="00410DAB">
        <w:rPr>
          <w:rFonts w:ascii="Public Sans" w:hAnsi="Public Sans"/>
          <w:i/>
          <w:iCs/>
          <w:color w:val="000000" w:themeColor="text1"/>
        </w:rPr>
        <w:t>Equal Opportunity Act 2010</w:t>
      </w:r>
      <w:r w:rsidRPr="00410DAB">
        <w:rPr>
          <w:rFonts w:ascii="Public Sans" w:hAnsi="Public Sans"/>
          <w:color w:val="000000" w:themeColor="text1"/>
        </w:rPr>
        <w:t xml:space="preserve"> (Vic) s 102B (uncommenced</w:t>
      </w:r>
      <w:r w:rsidRPr="00322F5E">
        <w:rPr>
          <w:rFonts w:ascii="Public Sans" w:hAnsi="Public Sans"/>
          <w:color w:val="000000" w:themeColor="text1"/>
        </w:rPr>
        <w:t xml:space="preserve">). </w:t>
      </w:r>
      <w:r w:rsidR="00AA59E6" w:rsidRPr="00322F5E">
        <w:rPr>
          <w:rFonts w:ascii="Public Sans" w:hAnsi="Public Sans"/>
          <w:color w:val="000000" w:themeColor="text1"/>
        </w:rPr>
        <w:t xml:space="preserve">See also </w:t>
      </w:r>
      <w:r w:rsidR="00AA59E6" w:rsidRPr="00322F5E">
        <w:rPr>
          <w:rFonts w:ascii="Public Sans" w:hAnsi="Public Sans"/>
          <w:i/>
          <w:iCs/>
          <w:color w:val="000000" w:themeColor="text1"/>
        </w:rPr>
        <w:t>Racial and Religious Tolerance Act 2001</w:t>
      </w:r>
      <w:r w:rsidR="00AA59E6" w:rsidRPr="00322F5E">
        <w:rPr>
          <w:rFonts w:ascii="Public Sans" w:hAnsi="Public Sans"/>
          <w:color w:val="000000" w:themeColor="text1"/>
        </w:rPr>
        <w:t xml:space="preserve"> (Vic</w:t>
      </w:r>
      <w:r w:rsidR="00BC6A10" w:rsidRPr="00322F5E">
        <w:rPr>
          <w:rFonts w:ascii="Public Sans" w:hAnsi="Public Sans"/>
          <w:color w:val="000000" w:themeColor="text1"/>
        </w:rPr>
        <w:t>)</w:t>
      </w:r>
      <w:r w:rsidR="00322F5E" w:rsidRPr="00322F5E">
        <w:rPr>
          <w:rFonts w:ascii="Public Sans" w:hAnsi="Public Sans"/>
          <w:color w:val="000000" w:themeColor="text1"/>
        </w:rPr>
        <w:t xml:space="preserve"> s 7–8.</w:t>
      </w:r>
    </w:p>
  </w:footnote>
  <w:footnote w:id="841">
    <w:p w14:paraId="6252A84F" w14:textId="6CAFA7E3" w:rsidR="00FE5562" w:rsidRPr="00410DAB" w:rsidRDefault="00FE5562" w:rsidP="00FE5562">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i/>
          <w:iCs/>
          <w:color w:val="000000" w:themeColor="text1"/>
        </w:rPr>
        <w:t>Justice Legislation Amendment (Anti-vilification and Social Cohesion) Act 2025</w:t>
      </w:r>
      <w:r w:rsidRPr="00410DAB">
        <w:rPr>
          <w:rFonts w:ascii="Public Sans" w:hAnsi="Public Sans"/>
          <w:color w:val="000000" w:themeColor="text1"/>
        </w:rPr>
        <w:t xml:space="preserve"> (Vic) s 9, inserting </w:t>
      </w:r>
      <w:r w:rsidRPr="00410DAB">
        <w:rPr>
          <w:rFonts w:ascii="Public Sans" w:hAnsi="Public Sans"/>
          <w:i/>
          <w:iCs/>
          <w:color w:val="000000" w:themeColor="text1"/>
        </w:rPr>
        <w:t>Equal Opportunity Act 2010</w:t>
      </w:r>
      <w:r w:rsidRPr="00410DAB">
        <w:rPr>
          <w:rFonts w:ascii="Public Sans" w:hAnsi="Public Sans"/>
          <w:color w:val="000000" w:themeColor="text1"/>
        </w:rPr>
        <w:t xml:space="preserve"> (Vic) s 102F (uncommenced). See also </w:t>
      </w:r>
      <w:r w:rsidRPr="00410DAB">
        <w:rPr>
          <w:rFonts w:ascii="Public Sans" w:hAnsi="Public Sans"/>
          <w:i/>
          <w:iCs/>
          <w:color w:val="000000" w:themeColor="text1"/>
        </w:rPr>
        <w:t>Racial and Religious Tolerance Act 2001</w:t>
      </w:r>
      <w:r w:rsidRPr="00410DAB">
        <w:rPr>
          <w:rFonts w:ascii="Public Sans" w:hAnsi="Public Sans"/>
          <w:color w:val="000000" w:themeColor="text1"/>
        </w:rPr>
        <w:t xml:space="preserve"> (Vic) s 10.</w:t>
      </w:r>
    </w:p>
  </w:footnote>
  <w:footnote w:id="842">
    <w:p w14:paraId="180FD850" w14:textId="67634065"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Respect at Work and Other Matters Amendment Act 2024</w:t>
      </w:r>
      <w:r w:rsidRPr="00410DAB">
        <w:rPr>
          <w:rFonts w:ascii="Public Sans" w:hAnsi="Public Sans"/>
        </w:rPr>
        <w:t xml:space="preserve"> (Qld) s 21</w:t>
      </w:r>
      <w:r w:rsidR="0090210A">
        <w:rPr>
          <w:rFonts w:ascii="Public Sans" w:hAnsi="Public Sans"/>
        </w:rPr>
        <w:t>.</w:t>
      </w:r>
      <w:r w:rsidRPr="00410DAB">
        <w:rPr>
          <w:rFonts w:ascii="Public Sans" w:hAnsi="Public Sans"/>
        </w:rPr>
        <w:t xml:space="preserve">, </w:t>
      </w:r>
      <w:r w:rsidR="00B07B0E">
        <w:rPr>
          <w:rFonts w:ascii="Public Sans" w:hAnsi="Public Sans"/>
        </w:rPr>
        <w:t>amending</w:t>
      </w:r>
      <w:r w:rsidRPr="00410DAB">
        <w:rPr>
          <w:rFonts w:ascii="Public Sans" w:hAnsi="Public Sans"/>
        </w:rPr>
        <w:t xml:space="preserve"> </w:t>
      </w:r>
      <w:r w:rsidRPr="00410DAB">
        <w:rPr>
          <w:rFonts w:ascii="Public Sans" w:hAnsi="Public Sans"/>
          <w:i/>
          <w:iCs/>
        </w:rPr>
        <w:t>Anti-Discrimination Act 1991</w:t>
      </w:r>
      <w:r w:rsidRPr="00410DAB">
        <w:rPr>
          <w:rFonts w:ascii="Public Sans" w:hAnsi="Public Sans"/>
        </w:rPr>
        <w:t xml:space="preserve"> (Qld) s 124A (</w:t>
      </w:r>
      <w:r w:rsidR="00322F5E">
        <w:rPr>
          <w:rFonts w:ascii="Public Sans" w:hAnsi="Public Sans"/>
        </w:rPr>
        <w:t>uncommenced</w:t>
      </w:r>
      <w:r w:rsidRPr="00410DAB">
        <w:rPr>
          <w:rFonts w:ascii="Public Sans" w:hAnsi="Public Sans"/>
        </w:rPr>
        <w:t>).</w:t>
      </w:r>
    </w:p>
  </w:footnote>
  <w:footnote w:id="843">
    <w:p w14:paraId="32EA20F9" w14:textId="52B45F36"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D Frecklington, “Media Statement: Crisafulli Government to Consult on Anti-Discrimination Laws” (14 March 2025) </w:t>
      </w:r>
      <w:r w:rsidRPr="00410DAB">
        <w:rPr>
          <w:rFonts w:ascii="Public Sans" w:hAnsi="Public Sans" w:cs="Arial"/>
          <w:i/>
          <w:iCs/>
        </w:rPr>
        <w:t>Queensland Government</w:t>
      </w:r>
      <w:r w:rsidRPr="00410DAB">
        <w:rPr>
          <w:rFonts w:ascii="Public Sans" w:hAnsi="Public Sans" w:cs="Arial"/>
        </w:rPr>
        <w:t xml:space="preserve"> &lt;</w:t>
      </w:r>
      <w:hyperlink r:id="rId23" w:history="1">
        <w:r w:rsidRPr="00410DAB">
          <w:rPr>
            <w:rStyle w:val="Hyperlink"/>
            <w:rFonts w:ascii="Public Sans" w:hAnsi="Public Sans" w:cs="Arial"/>
          </w:rPr>
          <w:t>statements.qld.gov.au/statements/102168</w:t>
        </w:r>
      </w:hyperlink>
      <w:r w:rsidRPr="00410DAB">
        <w:rPr>
          <w:rFonts w:ascii="Public Sans" w:hAnsi="Public Sans" w:cs="Arial"/>
        </w:rPr>
        <w:t>&gt; (retrieved 4 April 2024).</w:t>
      </w:r>
    </w:p>
  </w:footnote>
  <w:footnote w:id="844">
    <w:p w14:paraId="5AFFB4DE" w14:textId="77777777" w:rsidR="00FE5562" w:rsidRPr="00410DAB" w:rsidRDefault="00FE5562" w:rsidP="00FE5562">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i/>
          <w:iCs/>
          <w:color w:val="000000" w:themeColor="text1"/>
        </w:rPr>
        <w:t xml:space="preserve">Anti-Discrimination Act 1992 </w:t>
      </w:r>
      <w:r w:rsidRPr="00410DAB">
        <w:rPr>
          <w:rFonts w:ascii="Public Sans" w:hAnsi="Public Sans"/>
          <w:color w:val="000000" w:themeColor="text1"/>
        </w:rPr>
        <w:t xml:space="preserve">(NT) s 19, s 20A. </w:t>
      </w:r>
    </w:p>
  </w:footnote>
  <w:footnote w:id="845">
    <w:p w14:paraId="1ECA7C45" w14:textId="0FF077E5"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Justice Legislation Amendment (Anti-vilification and Social Cohesion) Act 2025</w:t>
      </w:r>
      <w:r w:rsidRPr="00410DAB">
        <w:rPr>
          <w:rFonts w:ascii="Public Sans" w:hAnsi="Public Sans"/>
        </w:rPr>
        <w:t xml:space="preserve"> (Vic) s 9, inserting </w:t>
      </w:r>
      <w:r w:rsidRPr="00410DAB">
        <w:rPr>
          <w:rFonts w:ascii="Public Sans" w:hAnsi="Public Sans"/>
          <w:i/>
          <w:iCs/>
        </w:rPr>
        <w:t>Equal Opportunity Act 2010</w:t>
      </w:r>
      <w:r w:rsidRPr="00410DAB">
        <w:rPr>
          <w:rFonts w:ascii="Public Sans" w:hAnsi="Public Sans"/>
        </w:rPr>
        <w:t xml:space="preserve"> (Vic) s 102B(h) (uncommenced).</w:t>
      </w:r>
      <w:r w:rsidRPr="00410DAB">
        <w:rPr>
          <w:rStyle w:val="cf01"/>
          <w:rFonts w:ascii="Public Sans" w:hAnsi="Public Sans"/>
        </w:rPr>
        <w:t xml:space="preserve"> </w:t>
      </w:r>
    </w:p>
  </w:footnote>
  <w:footnote w:id="846">
    <w:p w14:paraId="590E31D1" w14:textId="1A99926C"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Justice Legislation Amendment (Anti-vilification and Social Cohesion) Act 2025</w:t>
      </w:r>
      <w:r w:rsidRPr="00410DAB">
        <w:rPr>
          <w:rFonts w:ascii="Public Sans" w:hAnsi="Public Sans"/>
        </w:rPr>
        <w:t xml:space="preserve"> (Vic) s 14, inserting </w:t>
      </w:r>
      <w:r w:rsidRPr="00410DAB">
        <w:rPr>
          <w:rFonts w:ascii="Public Sans" w:hAnsi="Public Sans"/>
          <w:i/>
          <w:iCs/>
        </w:rPr>
        <w:t>Equal Opportunity Act 2010</w:t>
      </w:r>
      <w:r w:rsidRPr="00410DAB">
        <w:rPr>
          <w:rFonts w:ascii="Public Sans" w:hAnsi="Public Sans"/>
        </w:rPr>
        <w:t xml:space="preserve"> (Vic) s 113(1A) (uncommenced).</w:t>
      </w:r>
      <w:r w:rsidRPr="00410DAB">
        <w:rPr>
          <w:rStyle w:val="cf01"/>
          <w:rFonts w:ascii="Public Sans" w:hAnsi="Public Sans"/>
        </w:rPr>
        <w:t xml:space="preserve"> </w:t>
      </w:r>
    </w:p>
  </w:footnote>
  <w:footnote w:id="847">
    <w:p w14:paraId="1099F519"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Criminal Code </w:t>
      </w:r>
      <w:r w:rsidRPr="00410DAB">
        <w:rPr>
          <w:rFonts w:ascii="Public Sans" w:hAnsi="Public Sans" w:cs="Arial"/>
        </w:rPr>
        <w:t>(Cth) s 80.2A(3A), s 80.2B(4A), s 80.2BA(5), s 80.2BB(6), s 80.2BC(5), s 80.2BD(6), s 80.2BE(4).</w:t>
      </w:r>
    </w:p>
  </w:footnote>
  <w:footnote w:id="848">
    <w:p w14:paraId="7D5C6F35"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Parliament of Victoria, Legislative Assembly Legal and Social Issues Committee, </w:t>
      </w:r>
      <w:r w:rsidRPr="00410DAB">
        <w:rPr>
          <w:rFonts w:ascii="Public Sans" w:hAnsi="Public Sans" w:cs="Arial"/>
          <w:i/>
        </w:rPr>
        <w:t>Inquiry into Anti-Vilification Protections</w:t>
      </w:r>
      <w:r w:rsidRPr="00410DAB">
        <w:rPr>
          <w:rFonts w:ascii="Public Sans" w:hAnsi="Public Sans" w:cs="Arial"/>
        </w:rPr>
        <w:t xml:space="preserve"> (2021) 58–59. </w:t>
      </w:r>
    </w:p>
  </w:footnote>
  <w:footnote w:id="849">
    <w:p w14:paraId="5E234E1F"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Serious Racial and Religious Vilification</w:t>
      </w:r>
      <w:r w:rsidRPr="00410DAB">
        <w:rPr>
          <w:rFonts w:ascii="Public Sans" w:hAnsi="Public Sans" w:cs="Arial"/>
        </w:rPr>
        <w:t xml:space="preserve">, Report 151 (2024) [8.72]–[8.75]; Queensland Parliament Legal Affairs and Safety Committee, </w:t>
      </w:r>
      <w:r w:rsidRPr="00410DAB">
        <w:rPr>
          <w:rFonts w:ascii="Public Sans" w:hAnsi="Public Sans" w:cs="Arial"/>
          <w:i/>
          <w:iCs/>
        </w:rPr>
        <w:t>Inquiry into Serious Vilification and Hate Crimes</w:t>
      </w:r>
      <w:r w:rsidRPr="00410DAB">
        <w:rPr>
          <w:rFonts w:ascii="Public Sans" w:hAnsi="Public Sans" w:cs="Arial"/>
        </w:rPr>
        <w:t>, Report No 22 (2022) 31, 45.</w:t>
      </w:r>
    </w:p>
  </w:footnote>
  <w:footnote w:id="850">
    <w:p w14:paraId="0B78DD7F"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Bar Association, </w:t>
      </w:r>
      <w:r w:rsidRPr="00410DAB">
        <w:rPr>
          <w:rFonts w:ascii="Public Sans" w:hAnsi="Public Sans" w:cs="Arial"/>
          <w:i/>
          <w:iCs/>
        </w:rPr>
        <w:t>Preliminary Submission</w:t>
      </w:r>
      <w:r w:rsidRPr="00410DAB">
        <w:rPr>
          <w:rFonts w:ascii="Public Sans" w:hAnsi="Public Sans" w:cs="Arial"/>
        </w:rPr>
        <w:t xml:space="preserve"> </w:t>
      </w:r>
      <w:r w:rsidRPr="00410DAB">
        <w:rPr>
          <w:rFonts w:ascii="Public Sans" w:hAnsi="Public Sans" w:cs="Arial"/>
          <w:i/>
          <w:iCs/>
        </w:rPr>
        <w:t>PAD86</w:t>
      </w:r>
      <w:r w:rsidRPr="00410DAB">
        <w:rPr>
          <w:rFonts w:ascii="Public Sans" w:hAnsi="Public Sans" w:cs="Arial"/>
        </w:rPr>
        <w:t xml:space="preserve"> [29]; NSW Aboriginal Women’s Advisory Network, </w:t>
      </w:r>
      <w:r w:rsidRPr="00410DAB">
        <w:rPr>
          <w:rFonts w:ascii="Public Sans" w:hAnsi="Public Sans" w:cs="Arial"/>
          <w:i/>
          <w:iCs/>
        </w:rPr>
        <w:t>Preliminary Submission</w:t>
      </w:r>
      <w:r w:rsidRPr="00410DAB">
        <w:rPr>
          <w:rFonts w:ascii="Public Sans" w:hAnsi="Public Sans" w:cs="Arial"/>
        </w:rPr>
        <w:t xml:space="preserve"> </w:t>
      </w:r>
      <w:r w:rsidRPr="00410DAB">
        <w:rPr>
          <w:rFonts w:ascii="Public Sans" w:hAnsi="Public Sans" w:cs="Arial"/>
          <w:i/>
          <w:iCs/>
        </w:rPr>
        <w:t>PAD27</w:t>
      </w:r>
      <w:r w:rsidRPr="00410DAB">
        <w:rPr>
          <w:rFonts w:ascii="Public Sans" w:hAnsi="Public Sans" w:cs="Arial"/>
        </w:rPr>
        <w:t>, 7.</w:t>
      </w:r>
    </w:p>
  </w:footnote>
  <w:footnote w:id="851">
    <w:p w14:paraId="36D609A2"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Kingsford Legal Centre, </w:t>
      </w:r>
      <w:r w:rsidRPr="00410DAB">
        <w:rPr>
          <w:rFonts w:ascii="Public Sans" w:hAnsi="Public Sans" w:cs="Arial"/>
          <w:i/>
          <w:iCs/>
        </w:rPr>
        <w:t>Preliminary Submission</w:t>
      </w:r>
      <w:r w:rsidRPr="00410DAB">
        <w:rPr>
          <w:rFonts w:ascii="Public Sans" w:hAnsi="Public Sans" w:cs="Arial"/>
        </w:rPr>
        <w:t xml:space="preserve"> </w:t>
      </w:r>
      <w:r w:rsidRPr="00410DAB">
        <w:rPr>
          <w:rFonts w:ascii="Public Sans" w:hAnsi="Public Sans" w:cs="Arial"/>
          <w:i/>
          <w:iCs/>
        </w:rPr>
        <w:t>PAD35</w:t>
      </w:r>
      <w:r w:rsidRPr="00410DAB">
        <w:rPr>
          <w:rFonts w:ascii="Public Sans" w:hAnsi="Public Sans" w:cs="Arial"/>
        </w:rPr>
        <w:t>, 5.</w:t>
      </w:r>
    </w:p>
  </w:footnote>
  <w:footnote w:id="852">
    <w:p w14:paraId="4C3C640B"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Christian Lobby, </w:t>
      </w:r>
      <w:r w:rsidRPr="00410DAB">
        <w:rPr>
          <w:rFonts w:ascii="Public Sans" w:hAnsi="Public Sans" w:cs="Arial"/>
          <w:i/>
          <w:iCs/>
        </w:rPr>
        <w:t>Submission SV56</w:t>
      </w:r>
      <w:r w:rsidRPr="00410DAB">
        <w:rPr>
          <w:rFonts w:ascii="Public Sans" w:hAnsi="Public Sans" w:cs="Arial"/>
        </w:rPr>
        <w:t>,</w:t>
      </w:r>
      <w:r w:rsidRPr="00410DAB">
        <w:rPr>
          <w:rFonts w:ascii="Public Sans" w:hAnsi="Public Sans" w:cs="Arial"/>
          <w:i/>
          <w:iCs/>
        </w:rPr>
        <w:t xml:space="preserve"> </w:t>
      </w:r>
      <w:r w:rsidRPr="00410DAB">
        <w:rPr>
          <w:rFonts w:ascii="Public Sans" w:hAnsi="Public Sans" w:cs="Arial"/>
        </w:rPr>
        <w:t>3–4.</w:t>
      </w:r>
    </w:p>
  </w:footnote>
  <w:footnote w:id="853">
    <w:p w14:paraId="43D6CBD1"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[7.107]–[7.110].</w:t>
      </w:r>
    </w:p>
  </w:footnote>
  <w:footnote w:id="854">
    <w:p w14:paraId="2255F841"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Discrimination Act 1991 </w:t>
      </w:r>
      <w:r w:rsidRPr="00410DAB">
        <w:rPr>
          <w:rFonts w:ascii="Public Sans" w:hAnsi="Public Sans" w:cs="Arial"/>
        </w:rPr>
        <w:t xml:space="preserve">(ACT) s 67A(1); </w:t>
      </w:r>
      <w:r w:rsidRPr="00410DAB">
        <w:rPr>
          <w:rFonts w:ascii="Public Sans" w:hAnsi="Public Sans" w:cs="Arial"/>
          <w:i/>
          <w:iCs/>
        </w:rPr>
        <w:t xml:space="preserve">Anti-Discrimination Act 1991 </w:t>
      </w:r>
      <w:r w:rsidRPr="00410DAB">
        <w:rPr>
          <w:rFonts w:ascii="Public Sans" w:hAnsi="Public Sans" w:cs="Arial"/>
        </w:rPr>
        <w:t xml:space="preserve">(Qld) s 124A(1); </w:t>
      </w:r>
      <w:r w:rsidRPr="00410DAB">
        <w:rPr>
          <w:rFonts w:ascii="Public Sans" w:hAnsi="Public Sans" w:cs="Arial"/>
          <w:i/>
          <w:iCs/>
        </w:rPr>
        <w:t>Civil Liability Act 1936</w:t>
      </w:r>
      <w:r w:rsidRPr="00410DAB">
        <w:rPr>
          <w:rFonts w:ascii="Public Sans" w:hAnsi="Public Sans" w:cs="Arial"/>
        </w:rPr>
        <w:t xml:space="preserve"> (SA) s 73(1); </w:t>
      </w:r>
      <w:r w:rsidRPr="00410DAB">
        <w:rPr>
          <w:rFonts w:ascii="Public Sans" w:hAnsi="Public Sans" w:cs="Arial"/>
          <w:i/>
          <w:iCs/>
        </w:rPr>
        <w:t xml:space="preserve">Racial and Religious Tolerance Act 2001 </w:t>
      </w:r>
      <w:r w:rsidRPr="00410DAB">
        <w:rPr>
          <w:rFonts w:ascii="Public Sans" w:hAnsi="Public Sans" w:cs="Arial"/>
        </w:rPr>
        <w:t>(Vic) s 7, s 8;</w:t>
      </w:r>
      <w:r w:rsidRPr="00410DAB">
        <w:rPr>
          <w:rFonts w:ascii="Public Sans" w:hAnsi="Public Sans" w:cs="Arial"/>
          <w:i/>
          <w:iCs/>
        </w:rPr>
        <w:t xml:space="preserve"> Anti-Discrimination Act 1998</w:t>
      </w:r>
      <w:r w:rsidRPr="00410DAB">
        <w:rPr>
          <w:rFonts w:ascii="Public Sans" w:hAnsi="Public Sans" w:cs="Arial"/>
        </w:rPr>
        <w:t xml:space="preserve"> (Tas) s 17.  </w:t>
      </w:r>
    </w:p>
  </w:footnote>
  <w:footnote w:id="855">
    <w:p w14:paraId="57219B98" w14:textId="77777777" w:rsidR="00FE5562" w:rsidRPr="00410DAB" w:rsidRDefault="00FE5562" w:rsidP="00FE5562">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findhit"/>
          <w:rFonts w:ascii="Public Sans" w:hAnsi="Public Sans"/>
          <w:i/>
          <w:iCs/>
          <w:color w:val="000000"/>
          <w:szCs w:val="18"/>
          <w:shd w:val="clear" w:color="auto" w:fill="FFFFFF"/>
          <w:lang w:val="en-GB"/>
        </w:rPr>
        <w:t>Sunol</w:t>
      </w:r>
      <w:r w:rsidRPr="00410DAB">
        <w:rPr>
          <w:rStyle w:val="normaltextrun"/>
          <w:rFonts w:ascii="Public Sans" w:hAnsi="Public Sans"/>
          <w:i/>
          <w:iCs/>
          <w:color w:val="000000"/>
          <w:szCs w:val="18"/>
          <w:shd w:val="clear" w:color="auto" w:fill="FFFFFF"/>
          <w:lang w:val="en-GB"/>
        </w:rPr>
        <w:t xml:space="preserve"> v Collier (No 2) </w:t>
      </w:r>
      <w:r w:rsidRPr="00410DAB">
        <w:rPr>
          <w:rStyle w:val="normaltextrun"/>
          <w:rFonts w:ascii="Public Sans" w:hAnsi="Public Sans"/>
          <w:color w:val="000000"/>
          <w:szCs w:val="18"/>
          <w:shd w:val="clear" w:color="auto" w:fill="FFFFFF"/>
          <w:lang w:val="en-GB"/>
        </w:rPr>
        <w:t>[2012] NSWCA 44</w:t>
      </w:r>
      <w:r w:rsidRPr="00410DAB">
        <w:rPr>
          <w:rStyle w:val="eop"/>
          <w:rFonts w:ascii="Public Sans" w:hAnsi="Public Sans"/>
          <w:color w:val="000000"/>
          <w:szCs w:val="18"/>
          <w:shd w:val="clear" w:color="auto" w:fill="FFFFFF"/>
        </w:rPr>
        <w:t> </w:t>
      </w:r>
      <w:r w:rsidRPr="00410DAB">
        <w:rPr>
          <w:rFonts w:ascii="Public Sans" w:hAnsi="Public Sans" w:cs="Arial"/>
          <w:szCs w:val="18"/>
        </w:rPr>
        <w:t>[41]. See also</w:t>
      </w:r>
      <w:r w:rsidRPr="00410DAB">
        <w:rPr>
          <w:rFonts w:ascii="Public Sans" w:hAnsi="Public Sans" w:cs="Arial"/>
          <w:i/>
          <w:iCs/>
          <w:szCs w:val="18"/>
        </w:rPr>
        <w:t xml:space="preserve"> Catch the Fire Ministries Inc v Islamic Council of Victoria Inc</w:t>
      </w:r>
      <w:r w:rsidRPr="00410DAB">
        <w:rPr>
          <w:rFonts w:ascii="Public Sans" w:hAnsi="Public Sans" w:cs="Arial"/>
          <w:szCs w:val="18"/>
        </w:rPr>
        <w:t xml:space="preserve"> [2006] VSCA 284, 15 VR 207 [12]–[14].</w:t>
      </w:r>
    </w:p>
  </w:footnote>
  <w:footnote w:id="856">
    <w:p w14:paraId="3F5B0916"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Sunol v Collier (No 2) </w:t>
      </w:r>
      <w:r w:rsidRPr="00410DAB">
        <w:rPr>
          <w:rFonts w:ascii="Public Sans" w:hAnsi="Public Sans" w:cs="Arial"/>
        </w:rPr>
        <w:t xml:space="preserve">[2012] NSWCA 44 [34], [61]–[62]. See also </w:t>
      </w:r>
      <w:r w:rsidRPr="00410DAB">
        <w:rPr>
          <w:rFonts w:ascii="Public Sans" w:hAnsi="Public Sans" w:cs="Arial"/>
          <w:i/>
          <w:iCs/>
        </w:rPr>
        <w:t>Margan v Manias</w:t>
      </w:r>
      <w:r w:rsidRPr="00410DAB">
        <w:rPr>
          <w:rFonts w:ascii="Public Sans" w:hAnsi="Public Sans" w:cs="Arial"/>
        </w:rPr>
        <w:t xml:space="preserve"> [2015] NSWSC 307 [61]–[62], [76]. </w:t>
      </w:r>
    </w:p>
  </w:footnote>
  <w:footnote w:id="857">
    <w:p w14:paraId="227855EE"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Sunol v Collier (No 2) </w:t>
      </w:r>
      <w:r w:rsidRPr="00410DAB">
        <w:rPr>
          <w:rFonts w:ascii="Public Sans" w:hAnsi="Public Sans" w:cs="Arial"/>
        </w:rPr>
        <w:t xml:space="preserve">[2012] NSWCA 44 [29]–[31]. </w:t>
      </w:r>
    </w:p>
  </w:footnote>
  <w:footnote w:id="858">
    <w:p w14:paraId="7D854321"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i/>
          <w:iCs/>
        </w:rPr>
        <w:t xml:space="preserve">Racial Discrimination Act 1975 </w:t>
      </w:r>
      <w:r w:rsidRPr="00410DAB">
        <w:rPr>
          <w:rFonts w:ascii="Public Sans" w:hAnsi="Public Sans" w:cs="Arial"/>
        </w:rPr>
        <w:t xml:space="preserve">(Cth) s 18C(1)(a); </w:t>
      </w:r>
      <w:r w:rsidRPr="00410DAB">
        <w:rPr>
          <w:rFonts w:ascii="Public Sans" w:hAnsi="Public Sans" w:cs="Arial"/>
          <w:i/>
          <w:iCs/>
        </w:rPr>
        <w:t>Anti–Discrimination Act 1998</w:t>
      </w:r>
      <w:r w:rsidRPr="00410DAB">
        <w:rPr>
          <w:rFonts w:ascii="Public Sans" w:hAnsi="Public Sans" w:cs="Arial"/>
        </w:rPr>
        <w:t xml:space="preserve"> (Tas) s 17(1). </w:t>
      </w:r>
    </w:p>
  </w:footnote>
  <w:footnote w:id="859">
    <w:p w14:paraId="7C6D479D" w14:textId="4F584983"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Style w:val="normaltextrun"/>
          <w:rFonts w:ascii="Public Sans" w:hAnsi="Public Sans"/>
          <w:color w:val="000000"/>
          <w:szCs w:val="18"/>
          <w:shd w:val="clear" w:color="auto" w:fill="FFFFFF"/>
          <w:lang w:val="en-GB"/>
        </w:rPr>
        <w:t xml:space="preserve">Parliament of </w:t>
      </w:r>
      <w:r w:rsidRPr="00410DAB">
        <w:rPr>
          <w:rStyle w:val="findhit"/>
          <w:rFonts w:ascii="Public Sans" w:hAnsi="Public Sans"/>
          <w:color w:val="000000"/>
          <w:szCs w:val="18"/>
          <w:shd w:val="clear" w:color="auto" w:fill="FFFFFF"/>
          <w:lang w:val="en-GB"/>
        </w:rPr>
        <w:t>Victoria</w:t>
      </w:r>
      <w:r w:rsidRPr="00410DAB">
        <w:rPr>
          <w:rStyle w:val="normaltextrun"/>
          <w:rFonts w:ascii="Public Sans" w:hAnsi="Public Sans"/>
          <w:color w:val="000000"/>
          <w:szCs w:val="18"/>
          <w:shd w:val="clear" w:color="auto" w:fill="FFFFFF"/>
          <w:lang w:val="en-GB"/>
        </w:rPr>
        <w:t xml:space="preserve">, Legislative Assembly Legal and Social Issues Committee, </w:t>
      </w:r>
      <w:r w:rsidRPr="00410DAB">
        <w:rPr>
          <w:rStyle w:val="normaltextrun"/>
          <w:rFonts w:ascii="Public Sans" w:hAnsi="Public Sans"/>
          <w:i/>
          <w:iCs/>
          <w:color w:val="000000"/>
          <w:szCs w:val="18"/>
          <w:shd w:val="clear" w:color="auto" w:fill="FFFFFF"/>
          <w:lang w:val="en-GB"/>
        </w:rPr>
        <w:t>Inquiry into Anti–Vilification Protections</w:t>
      </w:r>
      <w:r w:rsidRPr="00410DAB">
        <w:rPr>
          <w:rStyle w:val="normaltextrun"/>
          <w:rFonts w:ascii="Public Sans" w:hAnsi="Public Sans"/>
          <w:color w:val="000000"/>
          <w:szCs w:val="18"/>
          <w:shd w:val="clear" w:color="auto" w:fill="FFFFFF"/>
          <w:lang w:val="en-GB"/>
        </w:rPr>
        <w:t xml:space="preserve"> (2021)</w:t>
      </w:r>
      <w:r w:rsidRPr="00410DAB">
        <w:rPr>
          <w:rStyle w:val="eop"/>
          <w:rFonts w:ascii="Public Sans" w:hAnsi="Public Sans"/>
          <w:color w:val="000000"/>
          <w:szCs w:val="18"/>
          <w:shd w:val="clear" w:color="auto" w:fill="FFFFFF"/>
        </w:rPr>
        <w:t> </w:t>
      </w:r>
      <w:r w:rsidRPr="00410DAB">
        <w:rPr>
          <w:rFonts w:ascii="Public Sans" w:hAnsi="Public Sans" w:cs="Arial"/>
        </w:rPr>
        <w:t>rec 10</w:t>
      </w:r>
      <w:r w:rsidRPr="00410DAB">
        <w:rPr>
          <w:rFonts w:ascii="Public Sans" w:hAnsi="Public Sans" w:cs="Arial"/>
          <w:i/>
          <w:iCs/>
        </w:rPr>
        <w:t>; Justice Legislation Amendment (Anti-Vilification and Social Cohesion) Act 2025</w:t>
      </w:r>
      <w:r w:rsidRPr="00410DAB">
        <w:rPr>
          <w:rFonts w:ascii="Public Sans" w:hAnsi="Public Sans" w:cs="Arial"/>
        </w:rPr>
        <w:t xml:space="preserve"> (Vic) s 9</w:t>
      </w:r>
      <w:r w:rsidR="003C515D">
        <w:rPr>
          <w:rFonts w:ascii="Public Sans" w:hAnsi="Public Sans" w:cs="Arial"/>
        </w:rPr>
        <w:t xml:space="preserve">, inserting </w:t>
      </w:r>
      <w:r w:rsidR="009952E9" w:rsidRPr="00410DAB">
        <w:rPr>
          <w:rFonts w:ascii="Public Sans" w:hAnsi="Public Sans"/>
          <w:i/>
          <w:iCs/>
        </w:rPr>
        <w:t>Equal Opportunity Act 2010</w:t>
      </w:r>
      <w:r w:rsidR="009952E9" w:rsidRPr="00410DAB">
        <w:rPr>
          <w:rFonts w:ascii="Public Sans" w:hAnsi="Public Sans"/>
        </w:rPr>
        <w:t xml:space="preserve"> (Vic) s 1</w:t>
      </w:r>
      <w:r w:rsidR="00D94441">
        <w:rPr>
          <w:rFonts w:ascii="Public Sans" w:hAnsi="Public Sans"/>
        </w:rPr>
        <w:t>02D(1)(b)</w:t>
      </w:r>
      <w:r w:rsidR="009952E9" w:rsidRPr="00410DAB">
        <w:rPr>
          <w:rFonts w:ascii="Public Sans" w:hAnsi="Public Sans"/>
        </w:rPr>
        <w:t xml:space="preserve"> (uncommenced)</w:t>
      </w:r>
      <w:r w:rsidRPr="00410DAB">
        <w:rPr>
          <w:rFonts w:ascii="Public Sans" w:hAnsi="Public Sans" w:cs="Arial"/>
        </w:rPr>
        <w:t>.</w:t>
      </w:r>
    </w:p>
  </w:footnote>
  <w:footnote w:id="860">
    <w:p w14:paraId="07615158"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Parliament of Victoria, </w:t>
      </w:r>
      <w:r w:rsidRPr="00410DAB">
        <w:rPr>
          <w:rFonts w:ascii="Public Sans" w:hAnsi="Public Sans"/>
          <w:lang w:val="en-US"/>
        </w:rPr>
        <w:t xml:space="preserve">Legislative Assembly Legal and Social Issues Committee, </w:t>
      </w:r>
      <w:r w:rsidRPr="00410DAB">
        <w:rPr>
          <w:rFonts w:ascii="Public Sans" w:hAnsi="Public Sans"/>
          <w:i/>
          <w:lang w:val="en-US"/>
        </w:rPr>
        <w:t xml:space="preserve">Inquiry into Anti-Vilification Protections </w:t>
      </w:r>
      <w:r w:rsidRPr="00410DAB">
        <w:rPr>
          <w:rFonts w:ascii="Public Sans" w:hAnsi="Public Sans"/>
          <w:lang w:val="en-US"/>
        </w:rPr>
        <w:t>(2021) rec 9, 119.</w:t>
      </w:r>
    </w:p>
  </w:footnote>
  <w:footnote w:id="861">
    <w:p w14:paraId="3B7A4176"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Parliament of Victoria, </w:t>
      </w:r>
      <w:r w:rsidRPr="00410DAB">
        <w:rPr>
          <w:rFonts w:ascii="Public Sans" w:hAnsi="Public Sans"/>
          <w:lang w:val="en-US"/>
        </w:rPr>
        <w:t xml:space="preserve">Legislative Assembly Legal and Social Issues Committee, </w:t>
      </w:r>
      <w:r w:rsidRPr="00410DAB">
        <w:rPr>
          <w:rFonts w:ascii="Public Sans" w:hAnsi="Public Sans"/>
          <w:i/>
          <w:lang w:val="en-US"/>
        </w:rPr>
        <w:t xml:space="preserve">Inquiry into Anti-Vilification Protections </w:t>
      </w:r>
      <w:r w:rsidRPr="00410DAB">
        <w:rPr>
          <w:rFonts w:ascii="Public Sans" w:hAnsi="Public Sans"/>
          <w:lang w:val="en-US"/>
        </w:rPr>
        <w:t xml:space="preserve">(2021) rec 9, 119; Explanatory Notes, </w:t>
      </w:r>
      <w:r w:rsidRPr="00410DAB">
        <w:rPr>
          <w:rFonts w:ascii="Public Sans" w:hAnsi="Public Sans"/>
        </w:rPr>
        <w:t xml:space="preserve">Respect at Work and Other Matters Amendment Bill 2024 (Qld) 11; Queensland Parliament Legal Affairs and Safety Committee, </w:t>
      </w:r>
      <w:r w:rsidRPr="00410DAB">
        <w:rPr>
          <w:rFonts w:ascii="Public Sans" w:hAnsi="Public Sans"/>
          <w:i/>
          <w:iCs/>
        </w:rPr>
        <w:t>Inquiry into Serious Vilification and Hate Crimes</w:t>
      </w:r>
      <w:r w:rsidRPr="00410DAB">
        <w:rPr>
          <w:rFonts w:ascii="Public Sans" w:hAnsi="Public Sans"/>
        </w:rPr>
        <w:t>, Report No 22 (2022) 45.</w:t>
      </w:r>
    </w:p>
  </w:footnote>
  <w:footnote w:id="862">
    <w:p w14:paraId="5C2E10F3"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Serious Racial and Religious Vilification</w:t>
      </w:r>
      <w:r w:rsidRPr="00410DAB">
        <w:rPr>
          <w:rFonts w:ascii="Public Sans" w:hAnsi="Public Sans" w:cs="Arial"/>
        </w:rPr>
        <w:t>, Report 151(2024) [4.55]–[4.70].</w:t>
      </w:r>
    </w:p>
  </w:footnote>
  <w:footnote w:id="863">
    <w:p w14:paraId="6E4D263F"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Racial Discrimination Act 1975 </w:t>
      </w:r>
      <w:r w:rsidRPr="00410DAB">
        <w:rPr>
          <w:rFonts w:ascii="Public Sans" w:hAnsi="Public Sans" w:cs="Arial"/>
        </w:rPr>
        <w:t xml:space="preserve">(Cth) s 18C(1)(a); </w:t>
      </w:r>
      <w:r w:rsidRPr="00410DAB">
        <w:rPr>
          <w:rFonts w:ascii="Public Sans" w:hAnsi="Public Sans" w:cs="Arial"/>
          <w:i/>
          <w:iCs/>
        </w:rPr>
        <w:t xml:space="preserve">Anti-Discrimination Act 1992 </w:t>
      </w:r>
      <w:r w:rsidRPr="00410DAB">
        <w:rPr>
          <w:rFonts w:ascii="Public Sans" w:hAnsi="Public Sans" w:cs="Arial"/>
        </w:rPr>
        <w:t xml:space="preserve">(NT) s 20A(1)(a); </w:t>
      </w:r>
      <w:r w:rsidRPr="00410DAB">
        <w:rPr>
          <w:rFonts w:ascii="Public Sans" w:hAnsi="Public Sans" w:cs="Arial"/>
          <w:i/>
          <w:iCs/>
        </w:rPr>
        <w:t>Anti-Discrimination Act 1998</w:t>
      </w:r>
      <w:r w:rsidRPr="00410DAB">
        <w:rPr>
          <w:rFonts w:ascii="Public Sans" w:hAnsi="Public Sans" w:cs="Arial"/>
        </w:rPr>
        <w:t xml:space="preserve"> (Tas) s 17(1).</w:t>
      </w:r>
    </w:p>
  </w:footnote>
  <w:footnote w:id="864">
    <w:p w14:paraId="20C13547" w14:textId="1AC6DACD"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Justice Legislation Amendment (Anti-vilification and Social Cohesion) Act 2025</w:t>
      </w:r>
      <w:r w:rsidRPr="00410DAB">
        <w:rPr>
          <w:rFonts w:ascii="Public Sans" w:hAnsi="Public Sans" w:cs="Arial"/>
        </w:rPr>
        <w:t xml:space="preserve"> (Vic) s 9, inserting </w:t>
      </w:r>
      <w:r w:rsidRPr="00410DAB">
        <w:rPr>
          <w:rFonts w:ascii="Public Sans" w:hAnsi="Public Sans" w:cs="Arial"/>
          <w:i/>
          <w:iCs/>
        </w:rPr>
        <w:t>Equal Opportunity Act 2010</w:t>
      </w:r>
      <w:r w:rsidRPr="00410DAB">
        <w:rPr>
          <w:rFonts w:ascii="Public Sans" w:hAnsi="Public Sans" w:cs="Arial"/>
        </w:rPr>
        <w:t xml:space="preserve"> (Vic) s 102D(1)(b) (uncommenced).</w:t>
      </w:r>
    </w:p>
  </w:footnote>
  <w:footnote w:id="865">
    <w:p w14:paraId="2F2597F8"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Law Reform Commission of Western Australia, </w:t>
      </w:r>
      <w:r w:rsidRPr="00410DAB">
        <w:rPr>
          <w:rFonts w:ascii="Public Sans" w:hAnsi="Public Sans" w:cs="Arial"/>
          <w:i/>
          <w:iCs/>
        </w:rPr>
        <w:t>Review of the Equal Opportunity Act 1984 (WA)</w:t>
      </w:r>
      <w:r w:rsidRPr="00410DAB">
        <w:rPr>
          <w:rFonts w:ascii="Public Sans" w:hAnsi="Public Sans" w:cs="Arial"/>
        </w:rPr>
        <w:t xml:space="preserve">, Project 111, Final Report (2022) [6.3.2]; ACT Law Reform Advisory Council, </w:t>
      </w:r>
      <w:r w:rsidRPr="00410DAB">
        <w:rPr>
          <w:rFonts w:ascii="Public Sans" w:hAnsi="Public Sans" w:cs="Arial"/>
          <w:i/>
          <w:iCs/>
        </w:rPr>
        <w:t>Review of the Discrimination Act 1991 (ACT)</w:t>
      </w:r>
      <w:r w:rsidRPr="00410DAB">
        <w:rPr>
          <w:rFonts w:ascii="Public Sans" w:hAnsi="Public Sans" w:cs="Arial"/>
        </w:rPr>
        <w:t>, Final Report (2015) 95, rec 17.1, rec 17.2.</w:t>
      </w:r>
    </w:p>
  </w:footnote>
  <w:footnote w:id="866">
    <w:p w14:paraId="5043E141"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Racial Discrimination Act 1975</w:t>
      </w:r>
      <w:r w:rsidRPr="00410DAB">
        <w:rPr>
          <w:rFonts w:ascii="Public Sans" w:hAnsi="Public Sans" w:cs="Arial"/>
        </w:rPr>
        <w:t xml:space="preserve"> (Cth) s 18C(1)(a); </w:t>
      </w:r>
      <w:r w:rsidRPr="00410DAB">
        <w:rPr>
          <w:rFonts w:ascii="Public Sans" w:hAnsi="Public Sans" w:cs="Arial"/>
          <w:i/>
          <w:iCs/>
        </w:rPr>
        <w:t xml:space="preserve">Anti-Discrimination Act 1992 </w:t>
      </w:r>
      <w:r w:rsidRPr="00410DAB">
        <w:rPr>
          <w:rFonts w:ascii="Public Sans" w:hAnsi="Public Sans" w:cs="Arial"/>
        </w:rPr>
        <w:t>(NT) s 20A(1)(a).</w:t>
      </w:r>
    </w:p>
  </w:footnote>
  <w:footnote w:id="867">
    <w:p w14:paraId="5725647C"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See, eg, </w:t>
      </w:r>
      <w:r w:rsidRPr="00410DAB">
        <w:rPr>
          <w:rFonts w:ascii="Public Sans" w:hAnsi="Public Sans" w:cs="Arial"/>
          <w:i/>
          <w:iCs/>
        </w:rPr>
        <w:t>Anti-Discrimination Act 1998</w:t>
      </w:r>
      <w:r w:rsidRPr="00410DAB">
        <w:rPr>
          <w:rFonts w:ascii="Public Sans" w:hAnsi="Public Sans" w:cs="Arial"/>
        </w:rPr>
        <w:t xml:space="preserve"> (Tas) s 17(1), s 19. </w:t>
      </w:r>
    </w:p>
  </w:footnote>
  <w:footnote w:id="868">
    <w:p w14:paraId="508CDC23"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1988</w:t>
      </w:r>
      <w:r w:rsidRPr="00410DAB">
        <w:rPr>
          <w:rFonts w:ascii="Public Sans" w:hAnsi="Public Sans" w:cs="Arial"/>
        </w:rPr>
        <w:t xml:space="preserve"> (Tas) s 17(1), s 19.</w:t>
      </w:r>
    </w:p>
  </w:footnote>
  <w:footnote w:id="869">
    <w:p w14:paraId="46E6048E" w14:textId="3601F55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Justice Legislation Amendment (Anti-vilification and Social Cohesion) Act 2025</w:t>
      </w:r>
      <w:r w:rsidRPr="00410DAB">
        <w:rPr>
          <w:rFonts w:ascii="Public Sans" w:hAnsi="Public Sans" w:cs="Arial"/>
        </w:rPr>
        <w:t xml:space="preserve"> (Vic) s 9, inserting </w:t>
      </w:r>
      <w:r w:rsidRPr="00410DAB">
        <w:rPr>
          <w:rFonts w:ascii="Public Sans" w:hAnsi="Public Sans" w:cs="Arial"/>
          <w:i/>
          <w:iCs/>
        </w:rPr>
        <w:t>Equal Opportunity Act 2010</w:t>
      </w:r>
      <w:r w:rsidRPr="00410DAB">
        <w:rPr>
          <w:rFonts w:ascii="Public Sans" w:hAnsi="Public Sans" w:cs="Arial"/>
        </w:rPr>
        <w:t xml:space="preserve"> (Vic) s 102D(1) (uncommenced)</w:t>
      </w:r>
      <w:r w:rsidR="00230240">
        <w:rPr>
          <w:rFonts w:ascii="Public Sans" w:hAnsi="Public Sans" w:cs="Arial"/>
        </w:rPr>
        <w:t>.</w:t>
      </w:r>
    </w:p>
  </w:footnote>
  <w:footnote w:id="870">
    <w:p w14:paraId="01498D43" w14:textId="042DDAB5"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Justice Legislation Amendment (Anti-vilification and Social Cohesion) Act 2025</w:t>
      </w:r>
      <w:r w:rsidRPr="00410DAB">
        <w:rPr>
          <w:rFonts w:ascii="Public Sans" w:hAnsi="Public Sans" w:cs="Arial"/>
        </w:rPr>
        <w:t xml:space="preserve"> (Vic) s 9, inserting </w:t>
      </w:r>
      <w:r w:rsidRPr="00410DAB">
        <w:rPr>
          <w:rFonts w:ascii="Public Sans" w:hAnsi="Public Sans" w:cs="Arial"/>
          <w:i/>
          <w:iCs/>
        </w:rPr>
        <w:t>Equal Opportunity Act 2010</w:t>
      </w:r>
      <w:r w:rsidRPr="00410DAB">
        <w:rPr>
          <w:rFonts w:ascii="Public Sans" w:hAnsi="Public Sans" w:cs="Arial"/>
        </w:rPr>
        <w:t xml:space="preserve"> (Vic) s 102D(3) (uncommenced).</w:t>
      </w:r>
    </w:p>
  </w:footnote>
  <w:footnote w:id="871">
    <w:p w14:paraId="7DBCF65D" w14:textId="34ACCCF2"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Justice Legislation Amendment (Anti-vilification and Social Cohesion) Act 2025</w:t>
      </w:r>
      <w:r w:rsidRPr="00410DAB">
        <w:rPr>
          <w:rFonts w:ascii="Public Sans" w:hAnsi="Public Sans" w:cs="Arial"/>
        </w:rPr>
        <w:t xml:space="preserve"> (Vic) s 9, inserting </w:t>
      </w:r>
      <w:r w:rsidRPr="00410DAB">
        <w:rPr>
          <w:rFonts w:ascii="Public Sans" w:hAnsi="Public Sans" w:cs="Arial"/>
          <w:i/>
          <w:iCs/>
        </w:rPr>
        <w:t>Equal Opportunity Act 2010</w:t>
      </w:r>
      <w:r w:rsidRPr="00410DAB">
        <w:rPr>
          <w:rFonts w:ascii="Public Sans" w:hAnsi="Public Sans" w:cs="Arial"/>
        </w:rPr>
        <w:t xml:space="preserve"> (Vic) s 102E(1) (uncommenced).</w:t>
      </w:r>
    </w:p>
  </w:footnote>
  <w:footnote w:id="872">
    <w:p w14:paraId="55444260" w14:textId="6E2C0BE5" w:rsidR="00FE5562" w:rsidRPr="00410DAB" w:rsidRDefault="00FE5562" w:rsidP="00FE5562">
      <w:pPr>
        <w:pStyle w:val="FootnoteText"/>
        <w:rPr>
          <w:rFonts w:ascii="Public Sans" w:hAnsi="Public Sans" w:cs="Arial"/>
          <w:color w:val="000000" w:themeColor="text1"/>
        </w:rPr>
      </w:pPr>
      <w:r w:rsidRPr="00410DAB">
        <w:rPr>
          <w:rStyle w:val="FootnoteReference"/>
          <w:rFonts w:cs="Arial"/>
          <w:color w:val="000000" w:themeColor="text1"/>
          <w:vertAlign w:val="baseline"/>
        </w:rPr>
        <w:footnoteRef/>
      </w:r>
      <w:r w:rsidRPr="00410DAB">
        <w:rPr>
          <w:rFonts w:ascii="Public Sans" w:hAnsi="Public Sans" w:cs="Arial"/>
          <w:color w:val="000000" w:themeColor="text1"/>
        </w:rPr>
        <w:t>.</w:t>
      </w:r>
      <w:r w:rsidRPr="00410DAB">
        <w:rPr>
          <w:rFonts w:ascii="Public Sans" w:hAnsi="Public Sans" w:cs="Arial"/>
          <w:color w:val="000000" w:themeColor="text1"/>
        </w:rPr>
        <w:tab/>
      </w:r>
      <w:r w:rsidRPr="00410DAB">
        <w:rPr>
          <w:rFonts w:ascii="Public Sans" w:hAnsi="Public Sans" w:cs="Arial"/>
          <w:i/>
          <w:iCs/>
          <w:color w:val="000000" w:themeColor="text1"/>
        </w:rPr>
        <w:t>Justice Legislation Amendment (Anti-vilification and Social Cohesion) Act 2025</w:t>
      </w:r>
      <w:r w:rsidRPr="00410DAB">
        <w:rPr>
          <w:rFonts w:ascii="Public Sans" w:hAnsi="Public Sans" w:cs="Arial"/>
          <w:color w:val="000000" w:themeColor="text1"/>
        </w:rPr>
        <w:t xml:space="preserve"> (Vic) s 9, inserting </w:t>
      </w:r>
      <w:r w:rsidRPr="00410DAB">
        <w:rPr>
          <w:rFonts w:ascii="Public Sans" w:hAnsi="Public Sans" w:cs="Arial"/>
          <w:i/>
          <w:iCs/>
          <w:color w:val="000000" w:themeColor="text1"/>
        </w:rPr>
        <w:t>Equal Opportunity Act 2010</w:t>
      </w:r>
      <w:r w:rsidRPr="00410DAB">
        <w:rPr>
          <w:rFonts w:ascii="Public Sans" w:hAnsi="Public Sans" w:cs="Arial"/>
          <w:color w:val="000000" w:themeColor="text1"/>
        </w:rPr>
        <w:t xml:space="preserve"> (Vic) s 102E(3) (uncommenced). See also </w:t>
      </w:r>
      <w:r w:rsidRPr="00410DAB">
        <w:rPr>
          <w:rFonts w:ascii="Public Sans" w:hAnsi="Public Sans" w:cs="Arial"/>
          <w:i/>
          <w:iCs/>
          <w:color w:val="000000" w:themeColor="text1"/>
        </w:rPr>
        <w:t>Racial and Religious Tolerance Act 2001</w:t>
      </w:r>
      <w:r w:rsidRPr="00410DAB">
        <w:rPr>
          <w:rFonts w:ascii="Public Sans" w:hAnsi="Public Sans" w:cs="Arial"/>
          <w:color w:val="000000" w:themeColor="text1"/>
        </w:rPr>
        <w:t xml:space="preserve"> (Vic) s 9.</w:t>
      </w:r>
    </w:p>
  </w:footnote>
  <w:footnote w:id="873">
    <w:p w14:paraId="36B3342B" w14:textId="16243084"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Respect at Work and Other Matters Amendment Act 2024 </w:t>
      </w:r>
      <w:r w:rsidRPr="00410DAB">
        <w:rPr>
          <w:rFonts w:ascii="Public Sans" w:hAnsi="Public Sans" w:cs="Arial"/>
        </w:rPr>
        <w:t xml:space="preserve">(Qld) s 21, inserting </w:t>
      </w:r>
      <w:r w:rsidRPr="00410DAB">
        <w:rPr>
          <w:rFonts w:ascii="Public Sans" w:hAnsi="Public Sans" w:cs="Arial"/>
          <w:i/>
          <w:iCs/>
        </w:rPr>
        <w:t xml:space="preserve">Anti-Discrimination Act 1991 </w:t>
      </w:r>
      <w:r w:rsidRPr="00410DAB">
        <w:rPr>
          <w:rFonts w:ascii="Public Sans" w:hAnsi="Public Sans" w:cs="Arial"/>
        </w:rPr>
        <w:t>(Qld) s 124C, s 124D (</w:t>
      </w:r>
      <w:r w:rsidR="00D0069E">
        <w:rPr>
          <w:rFonts w:ascii="Public Sans" w:hAnsi="Public Sans" w:cs="Arial"/>
        </w:rPr>
        <w:t>un</w:t>
      </w:r>
      <w:r w:rsidRPr="00410DAB">
        <w:rPr>
          <w:rFonts w:ascii="Public Sans" w:hAnsi="Public Sans" w:cs="Arial"/>
        </w:rPr>
        <w:t>commence</w:t>
      </w:r>
      <w:r w:rsidR="00D0069E">
        <w:rPr>
          <w:rFonts w:ascii="Public Sans" w:hAnsi="Public Sans" w:cs="Arial"/>
        </w:rPr>
        <w:t>d</w:t>
      </w:r>
      <w:r w:rsidRPr="00410DAB">
        <w:rPr>
          <w:rFonts w:ascii="Public Sans" w:hAnsi="Public Sans" w:cs="Arial"/>
        </w:rPr>
        <w:t>).</w:t>
      </w:r>
    </w:p>
  </w:footnote>
  <w:footnote w:id="874">
    <w:p w14:paraId="13E5208D" w14:textId="18AA98BB"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Justice Legislation Amendment (Anti-vilification and Social Cohesion) Act 2025</w:t>
      </w:r>
      <w:r w:rsidRPr="00410DAB">
        <w:rPr>
          <w:rFonts w:ascii="Public Sans" w:hAnsi="Public Sans" w:cs="Arial"/>
        </w:rPr>
        <w:t xml:space="preserve"> (Vic) s 9, inserting </w:t>
      </w:r>
      <w:r w:rsidRPr="00410DAB">
        <w:rPr>
          <w:rFonts w:ascii="Public Sans" w:hAnsi="Public Sans" w:cs="Arial"/>
          <w:i/>
          <w:iCs/>
        </w:rPr>
        <w:t>Equal Opportunity Act 2010</w:t>
      </w:r>
      <w:r w:rsidRPr="00410DAB">
        <w:rPr>
          <w:rFonts w:ascii="Public Sans" w:hAnsi="Public Sans" w:cs="Arial"/>
        </w:rPr>
        <w:t xml:space="preserve"> (Vic) s 102E(1) (uncommenced). See also </w:t>
      </w:r>
      <w:r w:rsidRPr="00410DAB">
        <w:rPr>
          <w:rFonts w:ascii="Public Sans" w:hAnsi="Public Sans" w:cs="Arial"/>
          <w:i/>
          <w:iCs/>
        </w:rPr>
        <w:t xml:space="preserve">Respect at Work and Other Matters Amendment Act 2024 </w:t>
      </w:r>
      <w:r w:rsidRPr="00410DAB">
        <w:rPr>
          <w:rFonts w:ascii="Public Sans" w:hAnsi="Public Sans" w:cs="Arial"/>
        </w:rPr>
        <w:t xml:space="preserve">(Qld) s 21, inserting </w:t>
      </w:r>
      <w:r w:rsidRPr="00410DAB">
        <w:rPr>
          <w:rFonts w:ascii="Public Sans" w:hAnsi="Public Sans" w:cs="Arial"/>
          <w:i/>
          <w:iCs/>
        </w:rPr>
        <w:t xml:space="preserve">Anti-Discrimination Act 1991 </w:t>
      </w:r>
      <w:r w:rsidRPr="00410DAB">
        <w:rPr>
          <w:rFonts w:ascii="Public Sans" w:hAnsi="Public Sans" w:cs="Arial"/>
        </w:rPr>
        <w:t>(Qld) s 124D (</w:t>
      </w:r>
      <w:r w:rsidR="0037332C">
        <w:rPr>
          <w:rFonts w:ascii="Public Sans" w:hAnsi="Public Sans" w:cs="Arial"/>
        </w:rPr>
        <w:t>un</w:t>
      </w:r>
      <w:r w:rsidRPr="00410DAB">
        <w:rPr>
          <w:rFonts w:ascii="Public Sans" w:hAnsi="Public Sans" w:cs="Arial"/>
        </w:rPr>
        <w:t>commence</w:t>
      </w:r>
      <w:r w:rsidR="0037332C">
        <w:rPr>
          <w:rFonts w:ascii="Public Sans" w:hAnsi="Public Sans" w:cs="Arial"/>
        </w:rPr>
        <w:t>d</w:t>
      </w:r>
      <w:r w:rsidRPr="00410DAB">
        <w:rPr>
          <w:rFonts w:ascii="Public Sans" w:hAnsi="Public Sans" w:cs="Arial"/>
        </w:rPr>
        <w:t>).</w:t>
      </w:r>
    </w:p>
  </w:footnote>
  <w:footnote w:id="875">
    <w:p w14:paraId="581E8D46"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Parliament of Victoria, Legislative Assembly Legal and Social Issues Committee, </w:t>
      </w:r>
      <w:r w:rsidRPr="00410DAB">
        <w:rPr>
          <w:rFonts w:ascii="Public Sans" w:hAnsi="Public Sans" w:cs="Arial"/>
          <w:i/>
        </w:rPr>
        <w:t>Inquiry into Anti-Vilification Protections</w:t>
      </w:r>
      <w:r w:rsidRPr="00410DAB">
        <w:rPr>
          <w:rFonts w:ascii="Public Sans" w:hAnsi="Public Sans" w:cs="Arial"/>
        </w:rPr>
        <w:t xml:space="preserve"> (2021) rec 8, rec 9, 112–119; </w:t>
      </w:r>
      <w:bookmarkStart w:id="372" w:name="_Hlk194058112"/>
      <w:r w:rsidRPr="00410DAB">
        <w:rPr>
          <w:rFonts w:ascii="Public Sans" w:hAnsi="Public Sans" w:cs="Arial"/>
        </w:rPr>
        <w:t xml:space="preserve">Department of Justice and Community Safety, </w:t>
      </w:r>
      <w:r w:rsidRPr="00410DAB">
        <w:rPr>
          <w:rFonts w:ascii="Public Sans" w:hAnsi="Public Sans" w:cs="Arial"/>
          <w:i/>
          <w:iCs/>
        </w:rPr>
        <w:t>Strengthening Civil Anti-Vilification Protections for all Victorians: Implementing the Legislative Recommendations of the Victorian Inquiry into Anti-vilification Protections</w:t>
      </w:r>
      <w:r w:rsidRPr="00410DAB">
        <w:rPr>
          <w:rFonts w:ascii="Public Sans" w:hAnsi="Public Sans" w:cs="Arial"/>
        </w:rPr>
        <w:t xml:space="preserve"> (2023) 8–9.</w:t>
      </w:r>
      <w:bookmarkEnd w:id="372"/>
    </w:p>
  </w:footnote>
  <w:footnote w:id="876">
    <w:p w14:paraId="271E9E48" w14:textId="48D33780"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Racial and Religious Tolerance Act 2001</w:t>
      </w:r>
      <w:r w:rsidRPr="00410DAB">
        <w:rPr>
          <w:rFonts w:ascii="Public Sans" w:hAnsi="Public Sans" w:cs="Arial"/>
        </w:rPr>
        <w:t xml:space="preserve"> (Vic) s 7; </w:t>
      </w:r>
      <w:r w:rsidRPr="00410DAB">
        <w:rPr>
          <w:rFonts w:ascii="Public Sans" w:hAnsi="Public Sans" w:cs="Arial"/>
          <w:i/>
          <w:iCs/>
        </w:rPr>
        <w:t>Justice Legislation Amendment (Anti-vilification and Social Cohesion) Act 2025</w:t>
      </w:r>
      <w:r w:rsidRPr="00410DAB">
        <w:rPr>
          <w:rFonts w:ascii="Public Sans" w:hAnsi="Public Sans" w:cs="Arial"/>
        </w:rPr>
        <w:t xml:space="preserve"> (Vic) s 9, inserting </w:t>
      </w:r>
      <w:r w:rsidRPr="00410DAB">
        <w:rPr>
          <w:rFonts w:ascii="Public Sans" w:hAnsi="Public Sans" w:cs="Arial"/>
          <w:i/>
          <w:iCs/>
        </w:rPr>
        <w:t>Equal Opportunity Act 2010</w:t>
      </w:r>
      <w:r w:rsidRPr="00410DAB">
        <w:rPr>
          <w:rFonts w:ascii="Public Sans" w:hAnsi="Public Sans" w:cs="Arial"/>
        </w:rPr>
        <w:t xml:space="preserve"> (Vic) s 102D(2), s 102E(2) (uncommenced).</w:t>
      </w:r>
    </w:p>
  </w:footnote>
  <w:footnote w:id="877">
    <w:p w14:paraId="5CAB008E"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Kingsford Legal Centre, </w:t>
      </w:r>
      <w:r w:rsidRPr="00410DAB">
        <w:rPr>
          <w:rFonts w:ascii="Public Sans" w:hAnsi="Public Sans" w:cs="Arial"/>
          <w:i/>
          <w:iCs/>
        </w:rPr>
        <w:t>Preliminary Submission PAD35</w:t>
      </w:r>
      <w:r w:rsidRPr="00410DAB">
        <w:rPr>
          <w:rFonts w:ascii="Public Sans" w:hAnsi="Public Sans" w:cs="Arial"/>
        </w:rPr>
        <w:t>, 5.</w:t>
      </w:r>
    </w:p>
  </w:footnote>
  <w:footnote w:id="878">
    <w:p w14:paraId="27411D9B"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Law Reform Commission of Western Australia, </w:t>
      </w:r>
      <w:r w:rsidRPr="00410DAB">
        <w:rPr>
          <w:rFonts w:ascii="Public Sans" w:hAnsi="Public Sans" w:cs="Arial"/>
          <w:i/>
          <w:iCs/>
        </w:rPr>
        <w:t>Review of the Equal Opportunity Act 1984 (WA)</w:t>
      </w:r>
      <w:r w:rsidRPr="00410DAB">
        <w:rPr>
          <w:rFonts w:ascii="Public Sans" w:hAnsi="Public Sans" w:cs="Arial"/>
        </w:rPr>
        <w:t>, Project 111, Final Report (2022) rec 113.</w:t>
      </w:r>
    </w:p>
  </w:footnote>
  <w:footnote w:id="879">
    <w:p w14:paraId="08198ADE"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HIV/AIDS Legal Centre, Positive Life NSW, </w:t>
      </w:r>
      <w:r w:rsidRPr="00410DAB">
        <w:rPr>
          <w:rFonts w:ascii="Public Sans" w:hAnsi="Public Sans" w:cs="Arial"/>
          <w:i/>
          <w:iCs/>
        </w:rPr>
        <w:t>Preliminary Submission PAD60</w:t>
      </w:r>
      <w:r w:rsidRPr="00410DAB">
        <w:rPr>
          <w:rFonts w:ascii="Public Sans" w:hAnsi="Public Sans" w:cs="Arial"/>
        </w:rPr>
        <w:t>, 14.</w:t>
      </w:r>
    </w:p>
  </w:footnote>
  <w:footnote w:id="880">
    <w:p w14:paraId="56F12C08"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Anti-Discrimination Act 1977 </w:t>
      </w:r>
      <w:r w:rsidRPr="00410DAB">
        <w:rPr>
          <w:rFonts w:ascii="Public Sans" w:hAnsi="Public Sans" w:cs="Arial"/>
        </w:rPr>
        <w:t xml:space="preserve">(NSW) s 20B, s 49ZS. See also </w:t>
      </w:r>
      <w:r w:rsidRPr="00410DAB">
        <w:rPr>
          <w:rFonts w:ascii="Public Sans" w:hAnsi="Public Sans" w:cs="Arial"/>
          <w:i/>
          <w:iCs/>
        </w:rPr>
        <w:t>Anti-Discrimination Act 1977</w:t>
      </w:r>
      <w:r w:rsidRPr="00410DAB">
        <w:rPr>
          <w:rFonts w:ascii="Public Sans" w:hAnsi="Public Sans" w:cs="Arial"/>
        </w:rPr>
        <w:t xml:space="preserve"> (NSW) s 38R, s 49ZD, s 49ZXA. </w:t>
      </w:r>
    </w:p>
  </w:footnote>
  <w:footnote w:id="881">
    <w:p w14:paraId="7D331062"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377" w:name="_Hlk194062987"/>
      <w:r w:rsidRPr="00410DAB">
        <w:rPr>
          <w:rFonts w:ascii="Public Sans" w:hAnsi="Public Sans" w:cs="Arial"/>
          <w:i/>
          <w:iCs/>
        </w:rPr>
        <w:t>Z v University of A (No 7)</w:t>
      </w:r>
      <w:r w:rsidRPr="00410DAB">
        <w:rPr>
          <w:rFonts w:ascii="Public Sans" w:hAnsi="Public Sans" w:cs="Arial"/>
        </w:rPr>
        <w:t xml:space="preserve"> [2004] NSWADT 81 </w:t>
      </w:r>
      <w:bookmarkEnd w:id="377"/>
      <w:r w:rsidRPr="00410DAB">
        <w:rPr>
          <w:rFonts w:ascii="Public Sans" w:hAnsi="Public Sans" w:cs="Arial"/>
        </w:rPr>
        <w:t>[100].</w:t>
      </w:r>
    </w:p>
  </w:footnote>
  <w:footnote w:id="882">
    <w:p w14:paraId="2B088BDE" w14:textId="77777777" w:rsidR="00FE5562" w:rsidRPr="00410DAB" w:rsidRDefault="00FE5562" w:rsidP="00FE5562">
      <w:pPr>
        <w:pStyle w:val="FootnoteText"/>
        <w:rPr>
          <w:rFonts w:ascii="Public Sans" w:hAnsi="Public Sans" w:cs="Arial"/>
          <w:color w:val="70AD47" w:themeColor="accent6"/>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bookmarkStart w:id="378" w:name="_Hlk194063025"/>
      <w:r w:rsidRPr="00410DAB">
        <w:rPr>
          <w:rFonts w:ascii="Public Sans" w:hAnsi="Public Sans" w:cs="Arial"/>
          <w:i/>
          <w:iCs/>
          <w:szCs w:val="18"/>
        </w:rPr>
        <w:t>Barry v Futter </w:t>
      </w:r>
      <w:r w:rsidRPr="00410DAB">
        <w:rPr>
          <w:rFonts w:ascii="Public Sans" w:hAnsi="Public Sans" w:cs="Arial"/>
          <w:szCs w:val="18"/>
        </w:rPr>
        <w:t>[2011] NSWADT 205</w:t>
      </w:r>
      <w:r w:rsidRPr="00410DAB">
        <w:rPr>
          <w:rFonts w:ascii="Public Sans" w:hAnsi="Public Sans" w:cs="Arial"/>
          <w:i/>
          <w:iCs/>
          <w:szCs w:val="18"/>
        </w:rPr>
        <w:t> </w:t>
      </w:r>
      <w:bookmarkEnd w:id="378"/>
      <w:r w:rsidRPr="00410DAB">
        <w:rPr>
          <w:rFonts w:ascii="Public Sans" w:hAnsi="Public Sans" w:cs="Arial"/>
          <w:szCs w:val="18"/>
        </w:rPr>
        <w:t>[74]–[76].</w:t>
      </w:r>
    </w:p>
  </w:footnote>
  <w:footnote w:id="883">
    <w:p w14:paraId="01EA9EB1"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379" w:name="_Hlk194063043"/>
      <w:r w:rsidRPr="00410DAB">
        <w:rPr>
          <w:rFonts w:ascii="Public Sans" w:hAnsi="Public Sans" w:cs="Arial"/>
          <w:i/>
          <w:iCs/>
        </w:rPr>
        <w:t xml:space="preserve">Anderson v Thompson </w:t>
      </w:r>
      <w:r w:rsidRPr="00410DAB">
        <w:rPr>
          <w:rFonts w:ascii="Public Sans" w:hAnsi="Public Sans" w:cs="Arial"/>
        </w:rPr>
        <w:t>[2001] NSWADT 11 [25].</w:t>
      </w:r>
    </w:p>
    <w:bookmarkEnd w:id="379"/>
  </w:footnote>
  <w:footnote w:id="884">
    <w:p w14:paraId="20D69404"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Lamb v Campbell</w:t>
      </w:r>
      <w:r w:rsidRPr="00410DAB">
        <w:rPr>
          <w:rFonts w:ascii="Public Sans" w:hAnsi="Public Sans" w:cs="Arial"/>
        </w:rPr>
        <w:t xml:space="preserve"> [2021] NSWCATAD 103 [23]–[28].</w:t>
      </w:r>
    </w:p>
  </w:footnote>
  <w:footnote w:id="885">
    <w:p w14:paraId="62F91B45"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380" w:name="_Hlk194063131"/>
      <w:r w:rsidRPr="00410DAB">
        <w:rPr>
          <w:rFonts w:ascii="Public Sans" w:hAnsi="Public Sans" w:cs="Arial"/>
          <w:i/>
          <w:iCs/>
        </w:rPr>
        <w:t>Ekermawi v Commissioner of Police</w:t>
      </w:r>
      <w:r w:rsidRPr="00410DAB">
        <w:rPr>
          <w:rFonts w:ascii="Public Sans" w:hAnsi="Public Sans" w:cs="Arial"/>
        </w:rPr>
        <w:t>,</w:t>
      </w:r>
      <w:r w:rsidRPr="00410DAB">
        <w:rPr>
          <w:rFonts w:ascii="Public Sans" w:hAnsi="Public Sans" w:cs="Arial"/>
          <w:i/>
          <w:iCs/>
        </w:rPr>
        <w:t xml:space="preserve"> NSW Police Force</w:t>
      </w:r>
      <w:r w:rsidRPr="00410DAB">
        <w:rPr>
          <w:rFonts w:ascii="Public Sans" w:hAnsi="Public Sans" w:cs="Arial"/>
        </w:rPr>
        <w:t xml:space="preserve"> [2019] NSWCATAD 79</w:t>
      </w:r>
      <w:bookmarkEnd w:id="380"/>
      <w:r w:rsidRPr="00410DAB">
        <w:rPr>
          <w:rFonts w:ascii="Public Sans" w:hAnsi="Public Sans" w:cs="Arial"/>
        </w:rPr>
        <w:t xml:space="preserve"> [42]–[46].</w:t>
      </w:r>
    </w:p>
  </w:footnote>
  <w:footnote w:id="886">
    <w:p w14:paraId="0998114B" w14:textId="77777777" w:rsidR="00FE5562" w:rsidRPr="00410DAB" w:rsidRDefault="00FE5562" w:rsidP="00FE5562">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bookmarkStart w:id="381" w:name="_Hlk194064219"/>
      <w:r w:rsidRPr="00410DAB">
        <w:rPr>
          <w:rFonts w:ascii="Public Sans" w:hAnsi="Public Sans" w:cs="Arial"/>
          <w:i/>
          <w:iCs/>
          <w:color w:val="000000" w:themeColor="text1"/>
          <w:szCs w:val="18"/>
        </w:rPr>
        <w:t>Wolf v NSW Department of Education</w:t>
      </w:r>
      <w:r w:rsidRPr="00410DAB">
        <w:rPr>
          <w:rFonts w:ascii="Public Sans" w:hAnsi="Public Sans" w:cs="Arial"/>
          <w:color w:val="000000" w:themeColor="text1"/>
          <w:szCs w:val="18"/>
        </w:rPr>
        <w:t xml:space="preserve"> </w:t>
      </w:r>
      <w:bookmarkStart w:id="382" w:name="_Hlk194064189"/>
      <w:r w:rsidRPr="00410DAB">
        <w:rPr>
          <w:rFonts w:ascii="Public Sans" w:hAnsi="Public Sans" w:cs="Arial"/>
          <w:color w:val="000000" w:themeColor="text1"/>
          <w:szCs w:val="18"/>
        </w:rPr>
        <w:t xml:space="preserve">[2023] NSWCATAD 202 </w:t>
      </w:r>
      <w:bookmarkEnd w:id="381"/>
      <w:bookmarkEnd w:id="382"/>
      <w:r w:rsidRPr="00410DAB">
        <w:rPr>
          <w:rFonts w:ascii="Public Sans" w:hAnsi="Public Sans" w:cs="Arial"/>
          <w:color w:val="000000" w:themeColor="text1"/>
          <w:szCs w:val="18"/>
        </w:rPr>
        <w:t xml:space="preserve">[44]–[45]. </w:t>
      </w:r>
    </w:p>
  </w:footnote>
  <w:footnote w:id="887">
    <w:p w14:paraId="29DC1AF3"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383" w:name="_Hlk194064444"/>
      <w:r w:rsidRPr="00410DAB">
        <w:rPr>
          <w:rFonts w:ascii="Public Sans" w:hAnsi="Public Sans" w:cs="Arial"/>
          <w:i/>
          <w:iCs/>
        </w:rPr>
        <w:t>Collier v Sunol</w:t>
      </w:r>
      <w:r w:rsidRPr="00410DAB">
        <w:rPr>
          <w:rFonts w:ascii="Public Sans" w:hAnsi="Public Sans" w:cs="Arial"/>
        </w:rPr>
        <w:t xml:space="preserve"> [2005] NSWADT 261</w:t>
      </w:r>
      <w:bookmarkEnd w:id="383"/>
      <w:r w:rsidRPr="00410DAB">
        <w:rPr>
          <w:rFonts w:ascii="Public Sans" w:hAnsi="Public Sans" w:cs="Arial"/>
        </w:rPr>
        <w:t xml:space="preserve"> [33]. </w:t>
      </w:r>
    </w:p>
  </w:footnote>
  <w:footnote w:id="888">
    <w:p w14:paraId="7C02B8A9"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384" w:name="_Hlk194064476"/>
      <w:r w:rsidRPr="00410DAB">
        <w:rPr>
          <w:rFonts w:ascii="Public Sans" w:hAnsi="Public Sans" w:cs="Arial"/>
          <w:i/>
          <w:iCs/>
        </w:rPr>
        <w:t xml:space="preserve">Burns v Smith </w:t>
      </w:r>
      <w:r w:rsidRPr="00410DAB">
        <w:rPr>
          <w:rFonts w:ascii="Public Sans" w:hAnsi="Public Sans" w:cs="Arial"/>
        </w:rPr>
        <w:t xml:space="preserve">[2019] NSWCATAD 56 </w:t>
      </w:r>
      <w:bookmarkEnd w:id="384"/>
      <w:r w:rsidRPr="00410DAB">
        <w:rPr>
          <w:rFonts w:ascii="Public Sans" w:hAnsi="Public Sans" w:cs="Arial"/>
        </w:rPr>
        <w:t>[34]–[35].</w:t>
      </w:r>
    </w:p>
  </w:footnote>
  <w:footnote w:id="889">
    <w:p w14:paraId="0F732A2D"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385" w:name="_Hlk194064496"/>
      <w:r w:rsidRPr="00410DAB">
        <w:rPr>
          <w:rFonts w:ascii="Public Sans" w:hAnsi="Public Sans" w:cs="Arial"/>
          <w:i/>
          <w:iCs/>
        </w:rPr>
        <w:t>Burns v Sunol</w:t>
      </w:r>
      <w:r w:rsidRPr="00410DAB">
        <w:rPr>
          <w:rFonts w:ascii="Public Sans" w:hAnsi="Public Sans" w:cs="Arial"/>
        </w:rPr>
        <w:t xml:space="preserve"> [2015] NSWCATAD </w:t>
      </w:r>
      <w:bookmarkEnd w:id="385"/>
      <w:r w:rsidRPr="00410DAB">
        <w:rPr>
          <w:rFonts w:ascii="Public Sans" w:hAnsi="Public Sans" w:cs="Arial"/>
        </w:rPr>
        <w:t xml:space="preserve">131 [41]; </w:t>
      </w:r>
      <w:bookmarkStart w:id="386" w:name="_Hlk194064515"/>
      <w:r w:rsidRPr="00410DAB">
        <w:rPr>
          <w:rFonts w:ascii="Public Sans" w:hAnsi="Public Sans" w:cs="Arial"/>
          <w:i/>
          <w:iCs/>
        </w:rPr>
        <w:t>Burns v Sunol</w:t>
      </w:r>
      <w:r w:rsidRPr="00410DAB">
        <w:rPr>
          <w:rFonts w:ascii="Public Sans" w:hAnsi="Public Sans" w:cs="Arial"/>
        </w:rPr>
        <w:t xml:space="preserve"> [2016] NSWCATAD 16 </w:t>
      </w:r>
      <w:bookmarkEnd w:id="386"/>
      <w:r w:rsidRPr="00410DAB">
        <w:rPr>
          <w:rFonts w:ascii="Public Sans" w:hAnsi="Public Sans" w:cs="Arial"/>
        </w:rPr>
        <w:t xml:space="preserve">[35]–[36]. </w:t>
      </w:r>
    </w:p>
  </w:footnote>
  <w:footnote w:id="890">
    <w:p w14:paraId="5025C0B6"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387" w:name="_Hlk194064576"/>
      <w:r w:rsidRPr="00410DAB">
        <w:rPr>
          <w:rFonts w:ascii="Public Sans" w:hAnsi="Public Sans" w:cs="Arial"/>
          <w:i/>
          <w:iCs/>
        </w:rPr>
        <w:t>Riley v NSW Department of Education</w:t>
      </w:r>
      <w:r w:rsidRPr="00410DAB">
        <w:rPr>
          <w:rFonts w:ascii="Public Sans" w:hAnsi="Public Sans" w:cs="Arial"/>
        </w:rPr>
        <w:t xml:space="preserve"> </w:t>
      </w:r>
      <w:bookmarkEnd w:id="387"/>
      <w:r w:rsidRPr="00410DAB">
        <w:rPr>
          <w:rFonts w:ascii="Public Sans" w:hAnsi="Public Sans" w:cs="Arial"/>
        </w:rPr>
        <w:t>[</w:t>
      </w:r>
      <w:bookmarkStart w:id="388" w:name="_Hlk194064593"/>
      <w:r w:rsidRPr="00410DAB">
        <w:rPr>
          <w:rFonts w:ascii="Public Sans" w:hAnsi="Public Sans" w:cs="Arial"/>
        </w:rPr>
        <w:t xml:space="preserve">2019] NSWCATAD 223 </w:t>
      </w:r>
      <w:bookmarkEnd w:id="388"/>
      <w:r w:rsidRPr="00410DAB">
        <w:rPr>
          <w:rFonts w:ascii="Public Sans" w:hAnsi="Public Sans" w:cs="Arial"/>
        </w:rPr>
        <w:t>[118].</w:t>
      </w:r>
    </w:p>
  </w:footnote>
  <w:footnote w:id="891">
    <w:p w14:paraId="535EE114"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389" w:name="_Hlk194066492"/>
      <w:r w:rsidRPr="00410DAB">
        <w:rPr>
          <w:rFonts w:ascii="Public Sans" w:hAnsi="Public Sans" w:cs="Arial"/>
          <w:i/>
          <w:iCs/>
          <w:szCs w:val="18"/>
        </w:rPr>
        <w:t>Burns v McKee</w:t>
      </w:r>
      <w:r w:rsidRPr="00410DAB">
        <w:rPr>
          <w:rFonts w:ascii="Public Sans" w:hAnsi="Public Sans" w:cs="Arial"/>
          <w:szCs w:val="18"/>
        </w:rPr>
        <w:t xml:space="preserve"> [2017] NSWCATAD 66 </w:t>
      </w:r>
      <w:bookmarkEnd w:id="389"/>
      <w:r w:rsidRPr="00410DAB">
        <w:rPr>
          <w:rFonts w:ascii="Public Sans" w:hAnsi="Public Sans" w:cs="Arial"/>
          <w:szCs w:val="18"/>
        </w:rPr>
        <w:t>[62].</w:t>
      </w:r>
    </w:p>
  </w:footnote>
  <w:footnote w:id="892">
    <w:p w14:paraId="79EDA9BC"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Greens, </w:t>
      </w:r>
      <w:r w:rsidRPr="00410DAB">
        <w:rPr>
          <w:rFonts w:ascii="Public Sans" w:hAnsi="Public Sans" w:cs="Arial"/>
          <w:i/>
          <w:iCs/>
        </w:rPr>
        <w:t>Preliminary Submission PAD85</w:t>
      </w:r>
      <w:r w:rsidRPr="00410DAB">
        <w:rPr>
          <w:rFonts w:ascii="Public Sans" w:hAnsi="Public Sans" w:cs="Arial"/>
        </w:rPr>
        <w:t xml:space="preserve">, 9–10; Inner City Legal Centre, </w:t>
      </w:r>
      <w:r w:rsidRPr="00410DAB">
        <w:rPr>
          <w:rFonts w:ascii="Public Sans" w:hAnsi="Public Sans" w:cs="Arial"/>
          <w:i/>
          <w:iCs/>
        </w:rPr>
        <w:t>Preliminary Submission PAD40</w:t>
      </w:r>
      <w:r w:rsidRPr="00410DAB">
        <w:rPr>
          <w:rFonts w:ascii="Public Sans" w:hAnsi="Public Sans" w:cs="Arial"/>
        </w:rPr>
        <w:t xml:space="preserve">, 3; Anti-Discrimination NSW, </w:t>
      </w:r>
      <w:r w:rsidRPr="00410DAB">
        <w:rPr>
          <w:rFonts w:ascii="Public Sans" w:hAnsi="Public Sans" w:cs="Arial"/>
          <w:i/>
          <w:iCs/>
        </w:rPr>
        <w:t>Preliminary Submission PAD83</w:t>
      </w:r>
      <w:r w:rsidRPr="00410DAB">
        <w:rPr>
          <w:rFonts w:ascii="Public Sans" w:hAnsi="Public Sans" w:cs="Arial"/>
        </w:rPr>
        <w:t>, 16.</w:t>
      </w:r>
    </w:p>
  </w:footnote>
  <w:footnote w:id="893">
    <w:p w14:paraId="2D957999"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Catholic Women’s League Australia, NSW Inc, </w:t>
      </w:r>
      <w:r w:rsidRPr="00410DAB">
        <w:rPr>
          <w:rFonts w:ascii="Public Sans" w:hAnsi="Public Sans" w:cs="Arial"/>
          <w:i/>
          <w:iCs/>
        </w:rPr>
        <w:t>Preliminary Submission PAD88</w:t>
      </w:r>
      <w:r w:rsidRPr="00410DAB">
        <w:rPr>
          <w:rFonts w:ascii="Public Sans" w:hAnsi="Public Sans" w:cs="Arial"/>
        </w:rPr>
        <w:t xml:space="preserve">, 5; Australian Christian Lobby, </w:t>
      </w:r>
      <w:r w:rsidRPr="00410DAB">
        <w:rPr>
          <w:rFonts w:ascii="Public Sans" w:hAnsi="Public Sans" w:cs="Arial"/>
          <w:i/>
          <w:iCs/>
        </w:rPr>
        <w:t>Preliminary Submission PAD12</w:t>
      </w:r>
      <w:r w:rsidRPr="00410DAB">
        <w:rPr>
          <w:rFonts w:ascii="Public Sans" w:hAnsi="Public Sans" w:cs="Arial"/>
        </w:rPr>
        <w:t>, 20.</w:t>
      </w:r>
    </w:p>
  </w:footnote>
  <w:footnote w:id="894">
    <w:p w14:paraId="5A66B66D"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Style w:val="normaltextrun"/>
          <w:rFonts w:ascii="Public Sans" w:hAnsi="Public Sans"/>
          <w:color w:val="0D0D0D" w:themeColor="text1" w:themeTint="F2"/>
          <w:szCs w:val="18"/>
          <w:shd w:val="clear" w:color="auto" w:fill="FFFFFF"/>
        </w:rPr>
        <w:t xml:space="preserve">NSW Law Reform Commission, </w:t>
      </w:r>
      <w:r w:rsidRPr="00410DAB">
        <w:rPr>
          <w:rStyle w:val="normaltextrun"/>
          <w:rFonts w:ascii="Public Sans" w:hAnsi="Public Sans"/>
          <w:i/>
          <w:iCs/>
          <w:color w:val="0D0D0D" w:themeColor="text1" w:themeTint="F2"/>
          <w:szCs w:val="18"/>
          <w:shd w:val="clear" w:color="auto" w:fill="FFFFFF"/>
        </w:rPr>
        <w:t>Serious Racial and Religious Vilification</w:t>
      </w:r>
      <w:r w:rsidRPr="00410DAB">
        <w:rPr>
          <w:rStyle w:val="normaltextrun"/>
          <w:rFonts w:ascii="Public Sans" w:hAnsi="Public Sans"/>
          <w:color w:val="0D0D0D" w:themeColor="text1" w:themeTint="F2"/>
          <w:szCs w:val="18"/>
          <w:shd w:val="clear" w:color="auto" w:fill="FFFFFF"/>
        </w:rPr>
        <w:t>,</w:t>
      </w:r>
      <w:r w:rsidRPr="00410DAB">
        <w:rPr>
          <w:rStyle w:val="normaltextrun"/>
          <w:rFonts w:ascii="Public Sans" w:hAnsi="Public Sans"/>
          <w:i/>
          <w:iCs/>
          <w:color w:val="0D0D0D" w:themeColor="text1" w:themeTint="F2"/>
          <w:szCs w:val="18"/>
          <w:shd w:val="clear" w:color="auto" w:fill="FFFFFF"/>
        </w:rPr>
        <w:t xml:space="preserve"> </w:t>
      </w:r>
      <w:r w:rsidRPr="00410DAB">
        <w:rPr>
          <w:rStyle w:val="normaltextrun"/>
          <w:rFonts w:ascii="Public Sans" w:hAnsi="Public Sans"/>
          <w:color w:val="0D0D0D" w:themeColor="text1" w:themeTint="F2"/>
          <w:szCs w:val="18"/>
          <w:shd w:val="clear" w:color="auto" w:fill="FFFFFF"/>
        </w:rPr>
        <w:t>Report 151 (2024)</w:t>
      </w:r>
      <w:r w:rsidRPr="00410DAB">
        <w:rPr>
          <w:rStyle w:val="eop"/>
          <w:rFonts w:ascii="Public Sans" w:hAnsi="Public Sans"/>
          <w:color w:val="0D0D0D" w:themeColor="text1" w:themeTint="F2"/>
          <w:szCs w:val="18"/>
          <w:shd w:val="clear" w:color="auto" w:fill="FFFFFF"/>
        </w:rPr>
        <w:t> </w:t>
      </w:r>
      <w:r w:rsidRPr="00410DAB">
        <w:rPr>
          <w:rFonts w:ascii="Public Sans" w:hAnsi="Public Sans" w:cs="Arial"/>
          <w:color w:val="0D0D0D" w:themeColor="text1" w:themeTint="F2"/>
        </w:rPr>
        <w:t>[6.26]– [6.55]</w:t>
      </w:r>
    </w:p>
  </w:footnote>
  <w:footnote w:id="895">
    <w:p w14:paraId="31715741"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Anti-Discrimination NSW, </w:t>
      </w:r>
      <w:r w:rsidRPr="00410DAB">
        <w:rPr>
          <w:rFonts w:ascii="Public Sans" w:hAnsi="Public Sans" w:cs="Arial"/>
          <w:i/>
          <w:iCs/>
        </w:rPr>
        <w:t>Preliminary Submission PAD83</w:t>
      </w:r>
      <w:r w:rsidRPr="00410DAB">
        <w:rPr>
          <w:rFonts w:ascii="Public Sans" w:hAnsi="Public Sans" w:cs="Arial"/>
        </w:rPr>
        <w:t xml:space="preserve">, 16; Inner City Legal Centre, </w:t>
      </w:r>
      <w:r w:rsidRPr="00410DAB">
        <w:rPr>
          <w:rFonts w:ascii="Public Sans" w:hAnsi="Public Sans" w:cs="Arial"/>
          <w:i/>
          <w:iCs/>
        </w:rPr>
        <w:t>Preliminary Submission PAD40</w:t>
      </w:r>
      <w:r w:rsidRPr="00410DAB">
        <w:rPr>
          <w:rFonts w:ascii="Public Sans" w:hAnsi="Public Sans" w:cs="Arial"/>
        </w:rPr>
        <w:t>, 3.</w:t>
      </w:r>
    </w:p>
  </w:footnote>
  <w:footnote w:id="896">
    <w:p w14:paraId="642D226A" w14:textId="77777777" w:rsidR="00FE5562" w:rsidRPr="00410DAB" w:rsidRDefault="00FE5562" w:rsidP="00FE5562">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 xml:space="preserve">Crimes Act 1900 </w:t>
      </w:r>
      <w:r w:rsidRPr="00410DAB">
        <w:rPr>
          <w:rFonts w:ascii="Public Sans" w:hAnsi="Public Sans" w:cs="Arial"/>
          <w:color w:val="000000" w:themeColor="text1"/>
          <w:szCs w:val="18"/>
        </w:rPr>
        <w:t>(NSW) s 93Z(5).</w:t>
      </w:r>
    </w:p>
  </w:footnote>
  <w:footnote w:id="897">
    <w:p w14:paraId="328E397D" w14:textId="77777777" w:rsidR="00FE5562" w:rsidRPr="00410DAB" w:rsidRDefault="00FE5562" w:rsidP="00FE5562">
      <w:pPr>
        <w:pStyle w:val="FootnoteText"/>
        <w:rPr>
          <w:rFonts w:ascii="Public Sans" w:hAnsi="Public Sans"/>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Crimes Act 1900</w:t>
      </w:r>
      <w:r w:rsidRPr="00410DAB">
        <w:rPr>
          <w:rFonts w:ascii="Public Sans" w:hAnsi="Public Sans"/>
          <w:i/>
          <w:iCs/>
        </w:rPr>
        <w:t xml:space="preserve"> </w:t>
      </w:r>
      <w:r w:rsidRPr="00410DAB">
        <w:rPr>
          <w:rFonts w:ascii="Public Sans" w:hAnsi="Public Sans"/>
        </w:rPr>
        <w:t xml:space="preserve">(NSW) s 93Z(5) definition of “public act”, amended by </w:t>
      </w:r>
      <w:r w:rsidRPr="00410DAB">
        <w:rPr>
          <w:rFonts w:ascii="Public Sans" w:hAnsi="Public Sans" w:cs="Arial"/>
          <w:i/>
          <w:iCs/>
        </w:rPr>
        <w:t xml:space="preserve">Crimes Legislation Amendment (Racial and Religious Hatred) Act 2025 </w:t>
      </w:r>
      <w:r w:rsidRPr="00410DAB">
        <w:rPr>
          <w:rFonts w:ascii="Public Sans" w:hAnsi="Public Sans" w:cs="Arial"/>
        </w:rPr>
        <w:t>(NSW) sch 1 [1].</w:t>
      </w:r>
    </w:p>
  </w:footnote>
  <w:footnote w:id="898">
    <w:p w14:paraId="1540495A"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392" w:name="_Hlk195773460"/>
      <w:r w:rsidRPr="00410DAB">
        <w:rPr>
          <w:rFonts w:ascii="Public Sans" w:hAnsi="Public Sans" w:cs="Arial"/>
          <w:i/>
          <w:iCs/>
        </w:rPr>
        <w:t>Burns v Dye</w:t>
      </w:r>
      <w:r w:rsidRPr="00410DAB">
        <w:rPr>
          <w:rFonts w:ascii="Public Sans" w:hAnsi="Public Sans" w:cs="Arial"/>
        </w:rPr>
        <w:t xml:space="preserve"> [2002] NSWADT 32 [86]–[88].</w:t>
      </w:r>
      <w:bookmarkEnd w:id="392"/>
    </w:p>
  </w:footnote>
  <w:footnote w:id="899">
    <w:p w14:paraId="5E4ACC79"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Anti-Discrimination Act 1977 </w:t>
      </w:r>
      <w:r w:rsidRPr="00410DAB">
        <w:rPr>
          <w:rFonts w:ascii="Public Sans" w:hAnsi="Public Sans" w:cs="Arial"/>
        </w:rPr>
        <w:t>(NSW) s 20B(c).</w:t>
      </w:r>
    </w:p>
  </w:footnote>
  <w:footnote w:id="900">
    <w:p w14:paraId="7693226F"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 xml:space="preserve">Crimes Act 1900 </w:t>
      </w:r>
      <w:r w:rsidRPr="00410DAB">
        <w:rPr>
          <w:rFonts w:ascii="Public Sans" w:hAnsi="Public Sans" w:cs="Arial"/>
        </w:rPr>
        <w:t>(NSW) s 93Z(5) definition of “public act”.</w:t>
      </w:r>
    </w:p>
  </w:footnote>
  <w:footnote w:id="901">
    <w:p w14:paraId="059CEC6C"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Style w:val="normaltextrun"/>
          <w:rFonts w:ascii="Public Sans" w:hAnsi="Public Sans"/>
          <w:color w:val="000000"/>
          <w:szCs w:val="18"/>
          <w:shd w:val="clear" w:color="auto" w:fill="FFFFFF"/>
        </w:rPr>
        <w:t xml:space="preserve">NSW Law Reform Commission, </w:t>
      </w:r>
      <w:r w:rsidRPr="00410DAB">
        <w:rPr>
          <w:rStyle w:val="normaltextrun"/>
          <w:rFonts w:ascii="Public Sans" w:hAnsi="Public Sans"/>
          <w:i/>
          <w:iCs/>
          <w:color w:val="000000"/>
          <w:szCs w:val="18"/>
          <w:shd w:val="clear" w:color="auto" w:fill="FFFFFF"/>
        </w:rPr>
        <w:t>Review of the Anti-Discrimination Act 1977 (NSW)</w:t>
      </w:r>
      <w:r w:rsidRPr="00410DAB">
        <w:rPr>
          <w:rStyle w:val="normaltextrun"/>
          <w:rFonts w:ascii="Public Sans" w:hAnsi="Public Sans"/>
          <w:color w:val="000000"/>
          <w:szCs w:val="18"/>
          <w:shd w:val="clear" w:color="auto" w:fill="FFFFFF"/>
        </w:rPr>
        <w:t>, Report 92 (1999)</w:t>
      </w:r>
      <w:r w:rsidRPr="00410DAB">
        <w:rPr>
          <w:rFonts w:ascii="Public Sans" w:hAnsi="Public Sans" w:cs="Arial"/>
        </w:rPr>
        <w:t xml:space="preserve"> [7.113].</w:t>
      </w:r>
    </w:p>
  </w:footnote>
  <w:footnote w:id="902">
    <w:p w14:paraId="70269484" w14:textId="7C3255C4"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Justice Legislation Amendment (Anti-vilification and Social Cohesion) Act 2025</w:t>
      </w:r>
      <w:r w:rsidRPr="00410DAB">
        <w:rPr>
          <w:rFonts w:ascii="Public Sans" w:hAnsi="Public Sans" w:cs="Arial"/>
        </w:rPr>
        <w:t xml:space="preserve"> (Vic) s 9, inserting </w:t>
      </w:r>
      <w:r w:rsidRPr="00410DAB">
        <w:rPr>
          <w:rFonts w:ascii="Public Sans" w:hAnsi="Public Sans" w:cs="Arial"/>
          <w:i/>
          <w:iCs/>
        </w:rPr>
        <w:t>Equal Opportunity Act 2010</w:t>
      </w:r>
      <w:r w:rsidRPr="00410DAB">
        <w:rPr>
          <w:rFonts w:ascii="Public Sans" w:hAnsi="Public Sans" w:cs="Arial"/>
        </w:rPr>
        <w:t xml:space="preserve"> (Vic) s 102C(2)–(3) (uncommenced).</w:t>
      </w:r>
    </w:p>
  </w:footnote>
  <w:footnote w:id="903">
    <w:p w14:paraId="131C8F61" w14:textId="45D7DBCD"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szCs w:val="18"/>
        </w:rPr>
        <w:t>Respect at Work and Other Matters Amendment</w:t>
      </w:r>
      <w:r w:rsidRPr="00410DAB">
        <w:rPr>
          <w:rFonts w:ascii="Public Sans" w:hAnsi="Public Sans" w:cs="Arial"/>
          <w:szCs w:val="18"/>
        </w:rPr>
        <w:t xml:space="preserve"> </w:t>
      </w:r>
      <w:r w:rsidRPr="00410DAB">
        <w:rPr>
          <w:rFonts w:ascii="Public Sans" w:hAnsi="Public Sans" w:cs="Arial"/>
          <w:i/>
          <w:iCs/>
          <w:szCs w:val="18"/>
        </w:rPr>
        <w:t>Act 2024</w:t>
      </w:r>
      <w:r w:rsidRPr="00410DAB">
        <w:rPr>
          <w:rFonts w:ascii="Public Sans" w:hAnsi="Public Sans" w:cs="Arial"/>
          <w:szCs w:val="18"/>
        </w:rPr>
        <w:t xml:space="preserve"> (Qld) s 21, inserting </w:t>
      </w:r>
      <w:r w:rsidRPr="00410DAB">
        <w:rPr>
          <w:rFonts w:ascii="Public Sans" w:hAnsi="Public Sans" w:cs="Arial"/>
          <w:i/>
          <w:iCs/>
          <w:szCs w:val="18"/>
        </w:rPr>
        <w:t>Anti-Discrimination Act 1991</w:t>
      </w:r>
      <w:r w:rsidRPr="00410DAB">
        <w:rPr>
          <w:rFonts w:ascii="Public Sans" w:hAnsi="Public Sans" w:cs="Arial"/>
          <w:szCs w:val="18"/>
        </w:rPr>
        <w:t xml:space="preserve"> (Qld) s 124B(2) (</w:t>
      </w:r>
      <w:r w:rsidR="00CC3975">
        <w:rPr>
          <w:rFonts w:ascii="Public Sans" w:hAnsi="Public Sans" w:cs="Arial"/>
          <w:szCs w:val="18"/>
        </w:rPr>
        <w:t>un</w:t>
      </w:r>
      <w:r w:rsidRPr="00410DAB">
        <w:rPr>
          <w:rFonts w:ascii="Public Sans" w:hAnsi="Public Sans" w:cs="Arial"/>
          <w:szCs w:val="18"/>
        </w:rPr>
        <w:t>commence</w:t>
      </w:r>
      <w:r w:rsidR="00CC3975">
        <w:rPr>
          <w:rFonts w:ascii="Public Sans" w:hAnsi="Public Sans" w:cs="Arial"/>
          <w:szCs w:val="18"/>
        </w:rPr>
        <w:t>d</w:t>
      </w:r>
      <w:r w:rsidRPr="00410DAB">
        <w:rPr>
          <w:rFonts w:ascii="Public Sans" w:hAnsi="Public Sans" w:cs="Arial"/>
          <w:szCs w:val="18"/>
        </w:rPr>
        <w:t>).</w:t>
      </w:r>
    </w:p>
  </w:footnote>
  <w:footnote w:id="904">
    <w:p w14:paraId="49B546CB"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20C(2), s 38S(2), s 49ZE(2), s 49ZT(2), s 49ZXB(2).</w:t>
      </w:r>
    </w:p>
  </w:footnote>
  <w:footnote w:id="905">
    <w:p w14:paraId="4A69A952"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w:t>
      </w:r>
      <w:r w:rsidRPr="00410DAB">
        <w:rPr>
          <w:rFonts w:ascii="Public Sans" w:hAnsi="Public Sans" w:cs="Arial"/>
          <w:i/>
          <w:iCs/>
        </w:rPr>
        <w:t xml:space="preserve"> </w:t>
      </w:r>
      <w:r w:rsidRPr="00410DAB">
        <w:rPr>
          <w:rFonts w:ascii="Public Sans" w:hAnsi="Public Sans" w:cs="Arial"/>
        </w:rPr>
        <w:t xml:space="preserve">Report 92 (1999) [7.132]–[7.133]. </w:t>
      </w:r>
    </w:p>
  </w:footnote>
  <w:footnote w:id="906">
    <w:p w14:paraId="529184E2"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w:t>
      </w:r>
      <w:r w:rsidRPr="00410DAB">
        <w:rPr>
          <w:rFonts w:ascii="Public Sans" w:hAnsi="Public Sans" w:cs="Arial"/>
          <w:i/>
          <w:iCs/>
        </w:rPr>
        <w:t xml:space="preserve"> </w:t>
      </w:r>
      <w:r w:rsidRPr="00410DAB">
        <w:rPr>
          <w:rFonts w:ascii="Public Sans" w:hAnsi="Public Sans" w:cs="Arial"/>
        </w:rPr>
        <w:t xml:space="preserve">Report 92 (1999) rec 95. </w:t>
      </w:r>
    </w:p>
  </w:footnote>
  <w:footnote w:id="907">
    <w:p w14:paraId="33A3A0A1"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Defamation Act 2005</w:t>
      </w:r>
      <w:r w:rsidRPr="00410DAB">
        <w:rPr>
          <w:rFonts w:ascii="Public Sans" w:hAnsi="Public Sans"/>
        </w:rPr>
        <w:t xml:space="preserve"> (NSW) s 27(1)–(2)(b1).</w:t>
      </w:r>
    </w:p>
  </w:footnote>
  <w:footnote w:id="908">
    <w:p w14:paraId="275601C1"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w:t>
      </w:r>
      <w:r w:rsidRPr="00410DAB">
        <w:rPr>
          <w:rFonts w:ascii="Public Sans" w:hAnsi="Public Sans" w:cs="Arial"/>
          <w:i/>
          <w:iCs/>
        </w:rPr>
        <w:t xml:space="preserve"> </w:t>
      </w:r>
      <w:r w:rsidRPr="00410DAB">
        <w:rPr>
          <w:rFonts w:ascii="Public Sans" w:hAnsi="Public Sans" w:cs="Arial"/>
        </w:rPr>
        <w:t>Report 92 (1999) [7.136].</w:t>
      </w:r>
    </w:p>
  </w:footnote>
  <w:footnote w:id="909">
    <w:p w14:paraId="298E049C"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w:t>
      </w:r>
      <w:r w:rsidRPr="00410DAB">
        <w:rPr>
          <w:rFonts w:ascii="Public Sans" w:hAnsi="Public Sans" w:cs="Arial"/>
          <w:i/>
          <w:iCs/>
        </w:rPr>
        <w:t>Parliamentary Debates</w:t>
      </w:r>
      <w:r w:rsidRPr="00410DAB">
        <w:rPr>
          <w:rFonts w:ascii="Public Sans" w:hAnsi="Public Sans" w:cs="Arial"/>
        </w:rPr>
        <w:t>, Legislative Assembly, Second Reading Speech, 4 May 1989, 7488.</w:t>
      </w:r>
    </w:p>
  </w:footnote>
  <w:footnote w:id="910">
    <w:p w14:paraId="485390B0"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20C(2)(c), s 38S(2)(c), s 49ZE(2)(c), s 49ZT(2)(c), s 49ZXB(2)(c).</w:t>
      </w:r>
    </w:p>
  </w:footnote>
  <w:footnote w:id="911">
    <w:p w14:paraId="48E29CBC"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w:t>
      </w:r>
      <w:r w:rsidRPr="00410DAB">
        <w:rPr>
          <w:rFonts w:ascii="Public Sans" w:hAnsi="Public Sans" w:cs="Arial"/>
          <w:i/>
          <w:iCs/>
        </w:rPr>
        <w:t xml:space="preserve"> </w:t>
      </w:r>
      <w:r w:rsidRPr="00410DAB">
        <w:rPr>
          <w:rFonts w:ascii="Public Sans" w:hAnsi="Public Sans" w:cs="Arial"/>
        </w:rPr>
        <w:t xml:space="preserve">Report 92 (1999) [7.140]. </w:t>
      </w:r>
    </w:p>
  </w:footnote>
  <w:footnote w:id="912">
    <w:p w14:paraId="38A3A83F"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Scarlet Alliance, Australian Sex Workers Association, </w:t>
      </w:r>
      <w:r w:rsidRPr="00410DAB">
        <w:rPr>
          <w:rFonts w:ascii="Public Sans" w:hAnsi="Public Sans" w:cs="Arial"/>
          <w:i/>
          <w:iCs/>
        </w:rPr>
        <w:t>Preliminary Submission PAD74</w:t>
      </w:r>
      <w:r w:rsidRPr="00410DAB">
        <w:rPr>
          <w:rFonts w:ascii="Public Sans" w:hAnsi="Public Sans" w:cs="Arial"/>
        </w:rPr>
        <w:t>, 5.</w:t>
      </w:r>
    </w:p>
  </w:footnote>
  <w:footnote w:id="913">
    <w:p w14:paraId="797A4B74"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w:t>
      </w:r>
      <w:r w:rsidRPr="00410DAB">
        <w:rPr>
          <w:rFonts w:ascii="Public Sans" w:hAnsi="Public Sans" w:cs="Arial"/>
          <w:i/>
          <w:iCs/>
        </w:rPr>
        <w:t xml:space="preserve"> </w:t>
      </w:r>
      <w:r w:rsidRPr="00410DAB">
        <w:rPr>
          <w:rFonts w:ascii="Public Sans" w:hAnsi="Public Sans" w:cs="Arial"/>
        </w:rPr>
        <w:t>Report 92 (1999) [7.138].</w:t>
      </w:r>
    </w:p>
  </w:footnote>
  <w:footnote w:id="914">
    <w:p w14:paraId="63ADA7C9"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 xml:space="preserve">Racial Discrimination Act 1975 </w:t>
      </w:r>
      <w:r w:rsidRPr="00410DAB">
        <w:rPr>
          <w:rFonts w:ascii="Public Sans" w:hAnsi="Public Sans"/>
        </w:rPr>
        <w:t xml:space="preserve">(Cth) s 18D; </w:t>
      </w:r>
      <w:r w:rsidRPr="00410DAB">
        <w:rPr>
          <w:rFonts w:ascii="Public Sans" w:hAnsi="Public Sans"/>
          <w:i/>
          <w:iCs/>
        </w:rPr>
        <w:t>Anti-Discrimination Act 1992</w:t>
      </w:r>
      <w:r w:rsidRPr="00410DAB">
        <w:rPr>
          <w:rFonts w:ascii="Public Sans" w:hAnsi="Public Sans"/>
        </w:rPr>
        <w:t xml:space="preserve"> (NT) s 20B; </w:t>
      </w:r>
      <w:r w:rsidRPr="00410DAB">
        <w:rPr>
          <w:rFonts w:ascii="Public Sans" w:hAnsi="Public Sans"/>
          <w:i/>
          <w:iCs/>
        </w:rPr>
        <w:t xml:space="preserve">Racial and Religious Tolerance Act 2001 </w:t>
      </w:r>
      <w:r w:rsidRPr="00410DAB">
        <w:rPr>
          <w:rFonts w:ascii="Public Sans" w:hAnsi="Public Sans"/>
        </w:rPr>
        <w:t>(Vic) s 11(1)(b)(i).</w:t>
      </w:r>
    </w:p>
  </w:footnote>
  <w:footnote w:id="915">
    <w:p w14:paraId="180AB399"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Parliament of Victoria, Legislative Assembly Legal and Social Issues Committee, </w:t>
      </w:r>
      <w:r w:rsidRPr="00410DAB">
        <w:rPr>
          <w:rFonts w:ascii="Public Sans" w:hAnsi="Public Sans" w:cs="Arial"/>
          <w:i/>
        </w:rPr>
        <w:t>Inquiry into Anti-Vilification Protections</w:t>
      </w:r>
      <w:r w:rsidRPr="00410DAB">
        <w:rPr>
          <w:rFonts w:ascii="Public Sans" w:hAnsi="Public Sans" w:cs="Arial"/>
        </w:rPr>
        <w:t xml:space="preserve"> (2021) rec 12, 126. </w:t>
      </w:r>
    </w:p>
  </w:footnote>
  <w:footnote w:id="916">
    <w:p w14:paraId="6D98A56F" w14:textId="3CF39489"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Justice Legislation Amendment (Anti-vilification and Social Cohesion) Act 2025</w:t>
      </w:r>
      <w:r w:rsidRPr="00410DAB">
        <w:rPr>
          <w:rFonts w:ascii="Public Sans" w:hAnsi="Public Sans" w:cs="Arial"/>
        </w:rPr>
        <w:t xml:space="preserve"> (Vic) s 9, inserting </w:t>
      </w:r>
      <w:r w:rsidRPr="00410DAB">
        <w:rPr>
          <w:rFonts w:ascii="Public Sans" w:hAnsi="Public Sans" w:cs="Arial"/>
          <w:i/>
          <w:iCs/>
        </w:rPr>
        <w:t>Equal Opportunity Act 2010</w:t>
      </w:r>
      <w:r w:rsidRPr="00410DAB">
        <w:rPr>
          <w:rFonts w:ascii="Public Sans" w:hAnsi="Public Sans" w:cs="Arial"/>
        </w:rPr>
        <w:t xml:space="preserve"> (Vic) s 102G(1)(b) (uncommenced).</w:t>
      </w:r>
    </w:p>
  </w:footnote>
  <w:footnote w:id="917">
    <w:p w14:paraId="140F7DA7" w14:textId="0422742F"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Justice Legislation Amendment (Anti-vilification and Social Cohesion) Act 2025</w:t>
      </w:r>
      <w:r w:rsidRPr="00410DAB">
        <w:rPr>
          <w:rFonts w:ascii="Public Sans" w:hAnsi="Public Sans" w:cs="Arial"/>
        </w:rPr>
        <w:t xml:space="preserve"> (Vic) s 9, inserting </w:t>
      </w:r>
      <w:r w:rsidRPr="00410DAB">
        <w:rPr>
          <w:rFonts w:ascii="Public Sans" w:hAnsi="Public Sans" w:cs="Arial"/>
          <w:i/>
          <w:iCs/>
        </w:rPr>
        <w:t>Equal Opportunity Act 2010</w:t>
      </w:r>
      <w:r w:rsidRPr="00410DAB">
        <w:rPr>
          <w:rFonts w:ascii="Public Sans" w:hAnsi="Public Sans" w:cs="Arial"/>
        </w:rPr>
        <w:t xml:space="preserve"> (Vic) s 102G(1)(a), s 102G(1)(c) (uncommenced). See also </w:t>
      </w:r>
      <w:r w:rsidRPr="00410DAB">
        <w:rPr>
          <w:rFonts w:ascii="Public Sans" w:hAnsi="Public Sans" w:cs="Arial"/>
          <w:i/>
          <w:iCs/>
        </w:rPr>
        <w:t>Racial and Religious Tolerance Act 2001</w:t>
      </w:r>
      <w:r w:rsidRPr="00410DAB">
        <w:rPr>
          <w:rFonts w:ascii="Public Sans" w:hAnsi="Public Sans" w:cs="Arial"/>
        </w:rPr>
        <w:t xml:space="preserve"> (Vic) s 11(1)(a), s 11(1)(c).</w:t>
      </w:r>
    </w:p>
  </w:footnote>
  <w:footnote w:id="918">
    <w:p w14:paraId="3154198E"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 xml:space="preserve">Racial Discrimination Act 1975 </w:t>
      </w:r>
      <w:r w:rsidRPr="00410DAB">
        <w:rPr>
          <w:rFonts w:ascii="Public Sans" w:hAnsi="Public Sans"/>
        </w:rPr>
        <w:t xml:space="preserve">(Cth) s 18D(c)(ii); </w:t>
      </w:r>
      <w:r w:rsidRPr="00410DAB">
        <w:rPr>
          <w:rFonts w:ascii="Public Sans" w:hAnsi="Public Sans"/>
          <w:i/>
          <w:iCs/>
        </w:rPr>
        <w:t>Anti-Discrimination Act 1992</w:t>
      </w:r>
      <w:r w:rsidRPr="00410DAB">
        <w:rPr>
          <w:rFonts w:ascii="Public Sans" w:hAnsi="Public Sans"/>
        </w:rPr>
        <w:t xml:space="preserve"> (NT) s 20B(c)(ii).</w:t>
      </w:r>
    </w:p>
  </w:footnote>
  <w:footnote w:id="919">
    <w:p w14:paraId="026524AC"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Law Reform Commission, </w:t>
      </w:r>
      <w:r w:rsidRPr="00410DAB">
        <w:rPr>
          <w:rFonts w:ascii="Public Sans" w:hAnsi="Public Sans" w:cs="Arial"/>
          <w:i/>
          <w:iCs/>
        </w:rPr>
        <w:t>Review of the Anti-Discrimination Act 1977 (NSW)</w:t>
      </w:r>
      <w:r w:rsidRPr="00410DAB">
        <w:rPr>
          <w:rFonts w:ascii="Public Sans" w:hAnsi="Public Sans" w:cs="Arial"/>
        </w:rPr>
        <w:t>, Report 92 (1999) [7.134].</w:t>
      </w:r>
    </w:p>
  </w:footnote>
  <w:footnote w:id="920">
    <w:p w14:paraId="7D3C83EB"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49ZT(2)(c), s 38S(2)(c), s 49ZXB(2)(c), s 49ZE(2)(c).</w:t>
      </w:r>
    </w:p>
  </w:footnote>
  <w:footnote w:id="921">
    <w:p w14:paraId="159DB960" w14:textId="1813F953"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Crimes Amendment (Inciting Racial Hatred) Act 2025</w:t>
      </w:r>
      <w:r w:rsidRPr="00410DAB">
        <w:rPr>
          <w:rFonts w:ascii="Public Sans" w:hAnsi="Public Sans" w:cs="Arial"/>
        </w:rPr>
        <w:t xml:space="preserve"> (NSW) sch 1, inserting </w:t>
      </w:r>
      <w:r w:rsidRPr="00410DAB">
        <w:rPr>
          <w:rFonts w:ascii="Public Sans" w:hAnsi="Public Sans" w:cs="Arial"/>
          <w:i/>
          <w:iCs/>
        </w:rPr>
        <w:t>Crimes Act</w:t>
      </w:r>
      <w:r w:rsidRPr="00410DAB">
        <w:rPr>
          <w:rFonts w:ascii="Public Sans" w:hAnsi="Public Sans" w:cs="Arial"/>
        </w:rPr>
        <w:t xml:space="preserve"> </w:t>
      </w:r>
      <w:r w:rsidRPr="00410DAB">
        <w:rPr>
          <w:rFonts w:ascii="Public Sans" w:hAnsi="Public Sans" w:cs="Arial"/>
          <w:i/>
          <w:iCs/>
        </w:rPr>
        <w:t>1900</w:t>
      </w:r>
      <w:r w:rsidRPr="00410DAB">
        <w:rPr>
          <w:rFonts w:ascii="Public Sans" w:hAnsi="Public Sans" w:cs="Arial"/>
        </w:rPr>
        <w:t xml:space="preserve"> (NSW) s 93ZAA(2) (uncommenced).</w:t>
      </w:r>
    </w:p>
  </w:footnote>
  <w:footnote w:id="922">
    <w:p w14:paraId="5EDD4AC0" w14:textId="3ADE1C70"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 xml:space="preserve">Racial Discrimination Act 1975 </w:t>
      </w:r>
      <w:r w:rsidRPr="00410DAB">
        <w:rPr>
          <w:rFonts w:ascii="Public Sans" w:hAnsi="Public Sans"/>
        </w:rPr>
        <w:t>(Cth)</w:t>
      </w:r>
      <w:r w:rsidRPr="00410DAB">
        <w:rPr>
          <w:rFonts w:ascii="Public Sans" w:hAnsi="Public Sans" w:cs="Arial"/>
        </w:rPr>
        <w:t xml:space="preserve"> s 18D; </w:t>
      </w:r>
      <w:r w:rsidRPr="00410DAB">
        <w:rPr>
          <w:rFonts w:ascii="Public Sans" w:hAnsi="Public Sans" w:cs="Arial"/>
          <w:i/>
          <w:iCs/>
        </w:rPr>
        <w:t>Discrimination Act 1991</w:t>
      </w:r>
      <w:r w:rsidRPr="00410DAB">
        <w:rPr>
          <w:rFonts w:ascii="Public Sans" w:hAnsi="Public Sans" w:cs="Arial"/>
        </w:rPr>
        <w:t xml:space="preserve"> (ACT) s 67A(2); </w:t>
      </w:r>
      <w:r w:rsidRPr="00410DAB">
        <w:rPr>
          <w:rFonts w:ascii="Public Sans" w:hAnsi="Public Sans"/>
          <w:i/>
          <w:iCs/>
        </w:rPr>
        <w:t>Anti-Discrimination Act 1992</w:t>
      </w:r>
      <w:r w:rsidRPr="00410DAB">
        <w:rPr>
          <w:rFonts w:ascii="Public Sans" w:hAnsi="Public Sans"/>
        </w:rPr>
        <w:t xml:space="preserve"> (</w:t>
      </w:r>
      <w:r w:rsidRPr="00410DAB">
        <w:rPr>
          <w:rFonts w:ascii="Public Sans" w:hAnsi="Public Sans" w:cs="Arial"/>
        </w:rPr>
        <w:t xml:space="preserve">NT) s 20B. See also </w:t>
      </w:r>
      <w:r w:rsidRPr="00410DAB">
        <w:rPr>
          <w:rFonts w:ascii="Public Sans" w:hAnsi="Public Sans" w:cs="Arial"/>
          <w:i/>
          <w:iCs/>
        </w:rPr>
        <w:t>Respect at Work and Other Matters Amendment Act 2024</w:t>
      </w:r>
      <w:r w:rsidRPr="00410DAB">
        <w:rPr>
          <w:rFonts w:ascii="Public Sans" w:hAnsi="Public Sans" w:cs="Arial"/>
        </w:rPr>
        <w:t xml:space="preserve"> (Qld) s 21, inserting </w:t>
      </w:r>
      <w:r w:rsidRPr="00410DAB">
        <w:rPr>
          <w:rFonts w:ascii="Public Sans" w:hAnsi="Public Sans" w:cs="Arial"/>
          <w:i/>
          <w:iCs/>
        </w:rPr>
        <w:t>Anti-Discrimination Act 1991</w:t>
      </w:r>
      <w:r w:rsidRPr="00410DAB">
        <w:rPr>
          <w:rFonts w:ascii="Public Sans" w:hAnsi="Public Sans" w:cs="Arial"/>
        </w:rPr>
        <w:t xml:space="preserve"> (Qld) s 124D(2)(c) (</w:t>
      </w:r>
      <w:r w:rsidR="001C23B2">
        <w:rPr>
          <w:rFonts w:ascii="Public Sans" w:hAnsi="Public Sans" w:cs="Arial"/>
        </w:rPr>
        <w:t>uncommenced</w:t>
      </w:r>
      <w:r w:rsidRPr="00410DAB">
        <w:rPr>
          <w:rFonts w:ascii="Public Sans" w:hAnsi="Public Sans" w:cs="Arial"/>
        </w:rPr>
        <w:t>).</w:t>
      </w:r>
    </w:p>
  </w:footnote>
  <w:footnote w:id="923">
    <w:p w14:paraId="6A898E66"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rPr>
        <w:t xml:space="preserve">Racial and Religious Tolerance Act 2001 </w:t>
      </w:r>
      <w:r w:rsidRPr="00410DAB">
        <w:rPr>
          <w:rFonts w:ascii="Public Sans" w:hAnsi="Public Sans"/>
        </w:rPr>
        <w:t>(Vic) s 11(1)(b)(i), s 11(2).</w:t>
      </w:r>
    </w:p>
  </w:footnote>
  <w:footnote w:id="924">
    <w:p w14:paraId="3A28D96A" w14:textId="3E787810"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bookmarkStart w:id="399" w:name="_Hlk194129246"/>
      <w:r w:rsidRPr="00410DAB">
        <w:rPr>
          <w:rFonts w:ascii="Public Sans" w:hAnsi="Public Sans" w:cs="Arial"/>
          <w:i/>
          <w:iCs/>
        </w:rPr>
        <w:t>Justice Legislation Amendment (Anti-vilification and Social Cohesion) Act 2025</w:t>
      </w:r>
      <w:r w:rsidRPr="00410DAB">
        <w:rPr>
          <w:rFonts w:ascii="Public Sans" w:hAnsi="Public Sans" w:cs="Arial"/>
        </w:rPr>
        <w:t xml:space="preserve"> (Vic)</w:t>
      </w:r>
      <w:bookmarkEnd w:id="399"/>
      <w:r w:rsidRPr="00410DAB">
        <w:rPr>
          <w:rFonts w:ascii="Public Sans" w:hAnsi="Public Sans" w:cs="Arial"/>
        </w:rPr>
        <w:t xml:space="preserve"> s 9, inserting </w:t>
      </w:r>
      <w:r w:rsidRPr="00410DAB">
        <w:rPr>
          <w:rFonts w:ascii="Public Sans" w:hAnsi="Public Sans" w:cs="Arial"/>
          <w:i/>
          <w:iCs/>
        </w:rPr>
        <w:t>Equal Opportunity Act 2010</w:t>
      </w:r>
      <w:r w:rsidRPr="00410DAB">
        <w:rPr>
          <w:rFonts w:ascii="Public Sans" w:hAnsi="Public Sans" w:cs="Arial"/>
        </w:rPr>
        <w:t xml:space="preserve"> (Vic) s 102G(2) (uncommenced). </w:t>
      </w:r>
    </w:p>
  </w:footnote>
  <w:footnote w:id="925">
    <w:p w14:paraId="4C2982BC"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56(d).</w:t>
      </w:r>
    </w:p>
  </w:footnote>
  <w:footnote w:id="926">
    <w:p w14:paraId="6F894E38"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59A.</w:t>
      </w:r>
    </w:p>
  </w:footnote>
  <w:footnote w:id="927">
    <w:p w14:paraId="018AB814"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Law Reform Commission of Western Australia, </w:t>
      </w:r>
      <w:r w:rsidRPr="00410DAB">
        <w:rPr>
          <w:rFonts w:ascii="Public Sans" w:hAnsi="Public Sans" w:cs="Arial"/>
          <w:i/>
          <w:iCs/>
        </w:rPr>
        <w:t>Review of the Equal Opportunity Act 1984 (WA)</w:t>
      </w:r>
      <w:r w:rsidRPr="00410DAB">
        <w:rPr>
          <w:rFonts w:ascii="Public Sans" w:hAnsi="Public Sans" w:cs="Arial"/>
        </w:rPr>
        <w:t>, Project 111, Final Report (2022) 231.</w:t>
      </w:r>
    </w:p>
  </w:footnote>
  <w:footnote w:id="928">
    <w:p w14:paraId="41C482F3"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49ZE(1)(a).</w:t>
      </w:r>
    </w:p>
  </w:footnote>
  <w:footnote w:id="929">
    <w:p w14:paraId="2AE07A26"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color w:val="000000" w:themeColor="text1"/>
        </w:rPr>
        <w:t xml:space="preserve">See, eg, </w:t>
      </w:r>
      <w:r w:rsidRPr="00410DAB">
        <w:rPr>
          <w:rFonts w:ascii="Public Sans" w:hAnsi="Public Sans" w:cs="Arial"/>
        </w:rPr>
        <w:t xml:space="preserve">National Catholic Education Commission, </w:t>
      </w:r>
      <w:r w:rsidRPr="00410DAB">
        <w:rPr>
          <w:rFonts w:ascii="Public Sans" w:hAnsi="Public Sans" w:cs="Arial"/>
          <w:i/>
          <w:iCs/>
        </w:rPr>
        <w:t>Preliminary Submission PAD16</w:t>
      </w:r>
      <w:r w:rsidRPr="00410DAB">
        <w:rPr>
          <w:rFonts w:ascii="Public Sans" w:hAnsi="Public Sans" w:cs="Arial"/>
        </w:rPr>
        <w:t>,</w:t>
      </w:r>
      <w:r w:rsidRPr="00410DAB">
        <w:rPr>
          <w:rFonts w:ascii="Public Sans" w:hAnsi="Public Sans" w:cs="Arial"/>
          <w:i/>
          <w:iCs/>
        </w:rPr>
        <w:t xml:space="preserve"> </w:t>
      </w:r>
      <w:r w:rsidRPr="00410DAB">
        <w:rPr>
          <w:rFonts w:ascii="Public Sans" w:hAnsi="Public Sans" w:cs="Arial"/>
        </w:rPr>
        <w:t xml:space="preserve">2; Australian National Imams Council, </w:t>
      </w:r>
      <w:r w:rsidRPr="00410DAB">
        <w:rPr>
          <w:rFonts w:ascii="Public Sans" w:hAnsi="Public Sans" w:cs="Arial"/>
          <w:i/>
          <w:iCs/>
        </w:rPr>
        <w:t>Preliminary Submission PAD23</w:t>
      </w:r>
      <w:r w:rsidRPr="00410DAB">
        <w:rPr>
          <w:rFonts w:ascii="Public Sans" w:hAnsi="Public Sans" w:cs="Arial"/>
        </w:rPr>
        <w:t xml:space="preserve">, 7; Australian Muslim Advocacy Network, </w:t>
      </w:r>
      <w:r w:rsidRPr="00410DAB">
        <w:rPr>
          <w:rFonts w:ascii="Public Sans" w:hAnsi="Public Sans" w:cs="Arial"/>
          <w:i/>
          <w:iCs/>
        </w:rPr>
        <w:t>Preliminary Submission PAD47</w:t>
      </w:r>
      <w:r w:rsidRPr="00410DAB">
        <w:rPr>
          <w:rFonts w:ascii="Public Sans" w:hAnsi="Public Sans" w:cs="Arial"/>
        </w:rPr>
        <w:t xml:space="preserve"> [2.3]; Hindu Council of Australia, </w:t>
      </w:r>
      <w:r w:rsidRPr="00410DAB">
        <w:rPr>
          <w:rFonts w:ascii="Public Sans" w:hAnsi="Public Sans" w:cs="Arial"/>
          <w:i/>
          <w:iCs/>
        </w:rPr>
        <w:t>Preliminary Submissions PAD58</w:t>
      </w:r>
      <w:r w:rsidRPr="00410DAB">
        <w:rPr>
          <w:rFonts w:ascii="Public Sans" w:hAnsi="Public Sans" w:cs="Arial"/>
        </w:rPr>
        <w:t xml:space="preserve"> [35].</w:t>
      </w:r>
    </w:p>
  </w:footnote>
  <w:footnote w:id="930">
    <w:p w14:paraId="00BAC8E5"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Public Interest Advocacy Centre, </w:t>
      </w:r>
      <w:r w:rsidRPr="00410DAB">
        <w:rPr>
          <w:rFonts w:ascii="Public Sans" w:hAnsi="Public Sans" w:cs="Arial"/>
          <w:i/>
          <w:iCs/>
        </w:rPr>
        <w:t>Submission SV10</w:t>
      </w:r>
      <w:r w:rsidRPr="00410DAB">
        <w:rPr>
          <w:rFonts w:ascii="Public Sans" w:hAnsi="Public Sans" w:cs="Arial"/>
        </w:rPr>
        <w:t xml:space="preserve">, 3; Public Interest Advocacy Centre, </w:t>
      </w:r>
      <w:r w:rsidRPr="00410DAB">
        <w:rPr>
          <w:rFonts w:ascii="Public Sans" w:hAnsi="Public Sans" w:cs="Arial"/>
          <w:i/>
          <w:iCs/>
        </w:rPr>
        <w:t>Preliminary Submission PAD82</w:t>
      </w:r>
      <w:r w:rsidRPr="00410DAB">
        <w:rPr>
          <w:rFonts w:ascii="Public Sans" w:hAnsi="Public Sans" w:cs="Arial"/>
        </w:rPr>
        <w:t xml:space="preserve">, 11; NSW Greens, </w:t>
      </w:r>
      <w:r w:rsidRPr="00410DAB">
        <w:rPr>
          <w:rFonts w:ascii="Public Sans" w:hAnsi="Public Sans" w:cs="Arial"/>
          <w:i/>
          <w:iCs/>
        </w:rPr>
        <w:t>Preliminary Submission PAD85</w:t>
      </w:r>
      <w:r w:rsidRPr="00410DAB">
        <w:rPr>
          <w:rFonts w:ascii="Public Sans" w:hAnsi="Public Sans" w:cs="Arial"/>
        </w:rPr>
        <w:t xml:space="preserve">, 12; Legal Aid NSW, </w:t>
      </w:r>
      <w:r w:rsidRPr="00410DAB">
        <w:rPr>
          <w:rFonts w:ascii="Public Sans" w:hAnsi="Public Sans" w:cs="Arial"/>
          <w:i/>
          <w:iCs/>
        </w:rPr>
        <w:t>Preliminary Submission PAD87</w:t>
      </w:r>
      <w:r w:rsidRPr="00410DAB">
        <w:rPr>
          <w:rFonts w:ascii="Public Sans" w:hAnsi="Public Sans" w:cs="Arial"/>
        </w:rPr>
        <w:t>, 30.</w:t>
      </w:r>
    </w:p>
  </w:footnote>
  <w:footnote w:id="931">
    <w:p w14:paraId="18B99870"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w:t>
      </w:r>
      <w:r w:rsidRPr="00410DAB">
        <w:rPr>
          <w:rFonts w:ascii="Public Sans" w:hAnsi="Public Sans" w:cs="Arial"/>
          <w:i/>
          <w:iCs/>
        </w:rPr>
        <w:t>Parliamentary Debates</w:t>
      </w:r>
      <w:r w:rsidRPr="00410DAB">
        <w:rPr>
          <w:rFonts w:ascii="Public Sans" w:hAnsi="Public Sans" w:cs="Arial"/>
        </w:rPr>
        <w:t xml:space="preserve">, Legislative Assembly, 2 August 2023, 48. </w:t>
      </w:r>
    </w:p>
  </w:footnote>
  <w:footnote w:id="932">
    <w:p w14:paraId="2319D0B7"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Public Interest Advocacy Centre, </w:t>
      </w:r>
      <w:r w:rsidRPr="00410DAB">
        <w:rPr>
          <w:rFonts w:ascii="Public Sans" w:hAnsi="Public Sans" w:cs="Arial"/>
          <w:i/>
          <w:iCs/>
        </w:rPr>
        <w:t>Submission SV10</w:t>
      </w:r>
      <w:r w:rsidRPr="00410DAB">
        <w:rPr>
          <w:rFonts w:ascii="Public Sans" w:hAnsi="Public Sans" w:cs="Arial"/>
        </w:rPr>
        <w:t>, 15.</w:t>
      </w:r>
    </w:p>
  </w:footnote>
  <w:footnote w:id="933">
    <w:p w14:paraId="3068BB29"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Public Interest Advocacy Centre, </w:t>
      </w:r>
      <w:r w:rsidRPr="00410DAB">
        <w:rPr>
          <w:rFonts w:ascii="Public Sans" w:hAnsi="Public Sans" w:cs="Arial"/>
          <w:i/>
          <w:iCs/>
        </w:rPr>
        <w:t>Submission SV10</w:t>
      </w:r>
      <w:r w:rsidRPr="00410DAB">
        <w:rPr>
          <w:rFonts w:ascii="Public Sans" w:hAnsi="Public Sans" w:cs="Arial"/>
        </w:rPr>
        <w:t xml:space="preserve">, 4; Public Interest Advocacy Centre, </w:t>
      </w:r>
      <w:r w:rsidRPr="00410DAB">
        <w:rPr>
          <w:rFonts w:ascii="Public Sans" w:hAnsi="Public Sans" w:cs="Arial"/>
          <w:i/>
          <w:iCs/>
        </w:rPr>
        <w:t>Preliminary Submission PAD82</w:t>
      </w:r>
      <w:r w:rsidRPr="00410DAB">
        <w:rPr>
          <w:rFonts w:ascii="Public Sans" w:hAnsi="Public Sans" w:cs="Arial"/>
        </w:rPr>
        <w:t>, 11.</w:t>
      </w:r>
    </w:p>
  </w:footnote>
  <w:footnote w:id="934">
    <w:p w14:paraId="3CE0D858"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Crimes Act 1900</w:t>
      </w:r>
      <w:r w:rsidRPr="00410DAB">
        <w:rPr>
          <w:rFonts w:ascii="Public Sans" w:hAnsi="Public Sans" w:cs="Arial"/>
        </w:rPr>
        <w:t xml:space="preserve"> (NSW) s 93Z(5) definition of “religious belief or affiliation”.</w:t>
      </w:r>
    </w:p>
  </w:footnote>
  <w:footnote w:id="935">
    <w:p w14:paraId="18D86BE5"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Public Interest Advocacy Centre, </w:t>
      </w:r>
      <w:r w:rsidRPr="00410DAB">
        <w:rPr>
          <w:rFonts w:ascii="Public Sans" w:hAnsi="Public Sans" w:cs="Arial"/>
          <w:i/>
          <w:iCs/>
        </w:rPr>
        <w:t>Submission SV10</w:t>
      </w:r>
      <w:r w:rsidRPr="00410DAB">
        <w:rPr>
          <w:rFonts w:ascii="Public Sans" w:hAnsi="Public Sans" w:cs="Arial"/>
        </w:rPr>
        <w:t xml:space="preserve">, 3; Australian Lawyers for Human Rights, </w:t>
      </w:r>
      <w:r w:rsidRPr="00410DAB">
        <w:rPr>
          <w:rFonts w:ascii="Public Sans" w:hAnsi="Public Sans" w:cs="Arial"/>
          <w:i/>
          <w:iCs/>
        </w:rPr>
        <w:t>Preliminary Submission PAD62</w:t>
      </w:r>
      <w:r w:rsidRPr="00410DAB">
        <w:rPr>
          <w:rFonts w:ascii="Public Sans" w:hAnsi="Public Sans" w:cs="Arial"/>
        </w:rPr>
        <w:t xml:space="preserve">, 8; Legal Aid NSW, </w:t>
      </w:r>
      <w:r w:rsidRPr="00410DAB">
        <w:rPr>
          <w:rFonts w:ascii="Public Sans" w:hAnsi="Public Sans" w:cs="Arial"/>
          <w:i/>
          <w:iCs/>
        </w:rPr>
        <w:t>Preliminary Submission PAD87</w:t>
      </w:r>
      <w:r w:rsidRPr="00410DAB">
        <w:rPr>
          <w:rFonts w:ascii="Public Sans" w:hAnsi="Public Sans" w:cs="Arial"/>
        </w:rPr>
        <w:t>, 30.</w:t>
      </w:r>
    </w:p>
  </w:footnote>
  <w:footnote w:id="936">
    <w:p w14:paraId="41AFE9BD" w14:textId="77777777" w:rsidR="00FE5562" w:rsidRPr="00410DAB" w:rsidRDefault="00FE5562" w:rsidP="00FE5562">
      <w:pPr>
        <w:pStyle w:val="FootnoteText"/>
        <w:rPr>
          <w:rFonts w:ascii="Public Sans" w:hAnsi="Public Sans"/>
          <w:szCs w:val="18"/>
        </w:rPr>
      </w:pPr>
      <w:r w:rsidRPr="00410DAB">
        <w:rPr>
          <w:rStyle w:val="FootnoteReference"/>
          <w:szCs w:val="18"/>
          <w:vertAlign w:val="baseline"/>
        </w:rPr>
        <w:footnoteRef/>
      </w:r>
      <w:r w:rsidRPr="00410DAB">
        <w:rPr>
          <w:rFonts w:ascii="Public Sans" w:hAnsi="Public Sans"/>
          <w:szCs w:val="18"/>
        </w:rPr>
        <w:t xml:space="preserve">. </w:t>
      </w:r>
      <w:r w:rsidRPr="00410DAB">
        <w:rPr>
          <w:rFonts w:ascii="Public Sans" w:hAnsi="Public Sans"/>
          <w:szCs w:val="18"/>
        </w:rPr>
        <w:tab/>
        <w:t xml:space="preserve">NSW, </w:t>
      </w:r>
      <w:r w:rsidRPr="00410DAB">
        <w:rPr>
          <w:rFonts w:ascii="Public Sans" w:hAnsi="Public Sans"/>
          <w:i/>
          <w:iCs/>
          <w:szCs w:val="18"/>
        </w:rPr>
        <w:t>Parliamentary Debates</w:t>
      </w:r>
      <w:r w:rsidRPr="00410DAB">
        <w:rPr>
          <w:rFonts w:ascii="Public Sans" w:hAnsi="Public Sans"/>
          <w:szCs w:val="18"/>
        </w:rPr>
        <w:t>, Legislative Council, 3 August 2023, 8196–</w:t>
      </w:r>
      <w:r w:rsidRPr="00410DAB">
        <w:rPr>
          <w:rFonts w:ascii="Public Sans" w:hAnsi="Public Sans" w:cs="Arial"/>
        </w:rPr>
        <w:t>8197</w:t>
      </w:r>
      <w:r w:rsidRPr="00410DAB">
        <w:rPr>
          <w:rFonts w:ascii="Public Sans" w:hAnsi="Public Sans"/>
          <w:szCs w:val="18"/>
        </w:rPr>
        <w:t xml:space="preserve">, 8203–8204. See also </w:t>
      </w:r>
      <w:r w:rsidRPr="00410DAB">
        <w:rPr>
          <w:rFonts w:ascii="Public Sans" w:hAnsi="Public Sans"/>
          <w:i/>
          <w:iCs/>
          <w:szCs w:val="18"/>
        </w:rPr>
        <w:t>Church of the New Faith v Commissioner for Pay-Roll Tax (Vic)</w:t>
      </w:r>
      <w:r w:rsidRPr="00410DAB">
        <w:rPr>
          <w:rFonts w:ascii="Public Sans" w:hAnsi="Public Sans"/>
          <w:szCs w:val="18"/>
        </w:rPr>
        <w:t xml:space="preserve"> (1983) 154 CLR 120, 136.</w:t>
      </w:r>
    </w:p>
  </w:footnote>
  <w:footnote w:id="937">
    <w:p w14:paraId="14A6BE52"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Council for Civil Liberties, </w:t>
      </w:r>
      <w:r w:rsidRPr="00410DAB">
        <w:rPr>
          <w:rFonts w:ascii="Public Sans" w:hAnsi="Public Sans" w:cs="Arial"/>
          <w:i/>
          <w:iCs/>
        </w:rPr>
        <w:t>Preliminary Submission PAD21</w:t>
      </w:r>
      <w:r w:rsidRPr="00410DAB">
        <w:rPr>
          <w:rFonts w:ascii="Public Sans" w:hAnsi="Public Sans" w:cs="Arial"/>
        </w:rPr>
        <w:t xml:space="preserve"> [71]; Australian Lawyers for Human Rights, </w:t>
      </w:r>
      <w:r w:rsidRPr="00410DAB">
        <w:rPr>
          <w:rFonts w:ascii="Public Sans" w:hAnsi="Public Sans" w:cs="Arial"/>
          <w:i/>
          <w:iCs/>
        </w:rPr>
        <w:t>Preliminary Submission PAD62</w:t>
      </w:r>
      <w:r w:rsidRPr="00410DAB">
        <w:rPr>
          <w:rFonts w:ascii="Public Sans" w:hAnsi="Public Sans" w:cs="Arial"/>
        </w:rPr>
        <w:t>, 8.</w:t>
      </w:r>
    </w:p>
  </w:footnote>
  <w:footnote w:id="938">
    <w:p w14:paraId="5BE00E47"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w:t>
      </w:r>
      <w:r w:rsidRPr="00410DAB">
        <w:rPr>
          <w:rFonts w:ascii="Public Sans" w:hAnsi="Public Sans" w:cs="Arial"/>
          <w:i/>
          <w:iCs/>
        </w:rPr>
        <w:t>Parliamentary Debates</w:t>
      </w:r>
      <w:r w:rsidRPr="00410DAB">
        <w:rPr>
          <w:rFonts w:ascii="Public Sans" w:hAnsi="Public Sans" w:cs="Arial"/>
        </w:rPr>
        <w:t>, Legislative Assembly, Second Reading Speech, 28 June 2023, 4.</w:t>
      </w:r>
    </w:p>
  </w:footnote>
  <w:footnote w:id="939">
    <w:p w14:paraId="3D90A65D"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Public Interest Advocacy Centre, </w:t>
      </w:r>
      <w:r w:rsidRPr="00410DAB">
        <w:rPr>
          <w:rFonts w:ascii="Public Sans" w:hAnsi="Public Sans" w:cs="Arial"/>
          <w:i/>
          <w:iCs/>
        </w:rPr>
        <w:t>Submission SV10</w:t>
      </w:r>
      <w:r w:rsidRPr="00410DAB">
        <w:rPr>
          <w:rFonts w:ascii="Public Sans" w:hAnsi="Public Sans" w:cs="Arial"/>
        </w:rPr>
        <w:t xml:space="preserve">, 3; NSW Council for Civil Liberties, </w:t>
      </w:r>
      <w:r w:rsidRPr="00410DAB">
        <w:rPr>
          <w:rFonts w:ascii="Public Sans" w:hAnsi="Public Sans" w:cs="Arial"/>
          <w:i/>
          <w:iCs/>
        </w:rPr>
        <w:t>Preliminary Submission PAD21</w:t>
      </w:r>
      <w:r w:rsidRPr="00410DAB">
        <w:rPr>
          <w:rFonts w:ascii="Public Sans" w:hAnsi="Public Sans" w:cs="Arial"/>
        </w:rPr>
        <w:t xml:space="preserve"> [74]; Legal Aid NSW, </w:t>
      </w:r>
      <w:r w:rsidRPr="00410DAB">
        <w:rPr>
          <w:rFonts w:ascii="Public Sans" w:hAnsi="Public Sans" w:cs="Arial"/>
          <w:i/>
          <w:iCs/>
        </w:rPr>
        <w:t>Preliminary Submission PAD87</w:t>
      </w:r>
      <w:r w:rsidRPr="00410DAB">
        <w:rPr>
          <w:rFonts w:ascii="Public Sans" w:hAnsi="Public Sans" w:cs="Arial"/>
        </w:rPr>
        <w:t>.</w:t>
      </w:r>
    </w:p>
  </w:footnote>
  <w:footnote w:id="940">
    <w:p w14:paraId="714B1F30"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Anti-Discrimination Act 1977</w:t>
      </w:r>
      <w:r w:rsidRPr="00410DAB">
        <w:rPr>
          <w:rFonts w:ascii="Public Sans" w:hAnsi="Public Sans" w:cs="Arial"/>
        </w:rPr>
        <w:t xml:space="preserve"> (NSW) s 49ZE(1).</w:t>
      </w:r>
    </w:p>
  </w:footnote>
  <w:footnote w:id="941">
    <w:p w14:paraId="69F879BC"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Interpretation Act 1987</w:t>
      </w:r>
      <w:r w:rsidRPr="00410DAB">
        <w:rPr>
          <w:rFonts w:ascii="Public Sans" w:hAnsi="Public Sans" w:cs="Arial"/>
        </w:rPr>
        <w:t xml:space="preserve"> (NSW) sch 4 definition of “person”.</w:t>
      </w:r>
    </w:p>
  </w:footnote>
  <w:footnote w:id="942">
    <w:p w14:paraId="7C630087"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Public Interest Advocacy Centre, </w:t>
      </w:r>
      <w:r w:rsidRPr="00410DAB">
        <w:rPr>
          <w:rFonts w:ascii="Public Sans" w:hAnsi="Public Sans" w:cs="Arial"/>
          <w:i/>
          <w:iCs/>
        </w:rPr>
        <w:t>Submission SV10</w:t>
      </w:r>
      <w:r w:rsidRPr="00410DAB">
        <w:rPr>
          <w:rFonts w:ascii="Public Sans" w:hAnsi="Public Sans" w:cs="Arial"/>
        </w:rPr>
        <w:t>, 13.</w:t>
      </w:r>
    </w:p>
  </w:footnote>
  <w:footnote w:id="943">
    <w:p w14:paraId="7D183612"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NSW Council for Civil Liberties, </w:t>
      </w:r>
      <w:r w:rsidRPr="00410DAB">
        <w:rPr>
          <w:rFonts w:ascii="Public Sans" w:hAnsi="Public Sans" w:cs="Arial"/>
          <w:i/>
          <w:iCs/>
        </w:rPr>
        <w:t>Preliminary Submission PAD21</w:t>
      </w:r>
      <w:r w:rsidRPr="00410DAB" w:rsidDel="00C05E10">
        <w:rPr>
          <w:rFonts w:ascii="Public Sans" w:hAnsi="Public Sans" w:cs="Arial"/>
        </w:rPr>
        <w:t xml:space="preserve"> </w:t>
      </w:r>
      <w:r w:rsidRPr="00410DAB">
        <w:rPr>
          <w:rFonts w:ascii="Public Sans" w:hAnsi="Public Sans" w:cs="Arial"/>
        </w:rPr>
        <w:t>[74].</w:t>
      </w:r>
    </w:p>
  </w:footnote>
  <w:footnote w:id="944">
    <w:p w14:paraId="24DF5AA2" w14:textId="77777777" w:rsidR="00FE5562" w:rsidRPr="00410DAB" w:rsidRDefault="00FE5562" w:rsidP="00FE5562">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Public Interest Advocacy Centre, </w:t>
      </w:r>
      <w:r w:rsidRPr="00410DAB">
        <w:rPr>
          <w:rFonts w:ascii="Public Sans" w:hAnsi="Public Sans" w:cs="Arial"/>
          <w:i/>
          <w:iCs/>
        </w:rPr>
        <w:t>Submission SV10</w:t>
      </w:r>
      <w:r w:rsidRPr="00410DAB">
        <w:rPr>
          <w:rFonts w:ascii="Public Sans" w:hAnsi="Public Sans" w:cs="Arial"/>
        </w:rPr>
        <w:t xml:space="preserve">, 13–14; NSW Council for Civil Liberties, </w:t>
      </w:r>
      <w:r w:rsidRPr="00410DAB">
        <w:rPr>
          <w:rFonts w:ascii="Public Sans" w:hAnsi="Public Sans" w:cs="Arial"/>
          <w:i/>
          <w:iCs/>
        </w:rPr>
        <w:t>Preliminary Submission PAD21</w:t>
      </w:r>
      <w:r w:rsidRPr="00410DAB">
        <w:rPr>
          <w:rFonts w:ascii="Public Sans" w:hAnsi="Public Sans" w:cs="Arial"/>
        </w:rPr>
        <w:t xml:space="preserve"> [74]–[75].</w:t>
      </w:r>
    </w:p>
  </w:footnote>
  <w:footnote w:id="945">
    <w:p w14:paraId="06D696D1"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22A.</w:t>
      </w:r>
    </w:p>
  </w:footnote>
  <w:footnote w:id="946">
    <w:p w14:paraId="71648E90"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szCs w:val="18"/>
          <w:shd w:val="clear" w:color="auto" w:fill="FFFFFF"/>
        </w:rPr>
        <w:t xml:space="preserve">Australian Human Rights Commission, </w:t>
      </w:r>
      <w:r w:rsidRPr="00410DAB">
        <w:rPr>
          <w:rStyle w:val="findhit"/>
          <w:rFonts w:ascii="Public Sans" w:hAnsi="Public Sans"/>
          <w:i/>
          <w:iCs/>
          <w:szCs w:val="18"/>
          <w:shd w:val="clear" w:color="auto" w:fill="FFFFFF"/>
        </w:rPr>
        <w:t>R</w:t>
      </w:r>
      <w:r w:rsidRPr="00410DAB">
        <w:rPr>
          <w:rStyle w:val="findhit"/>
          <w:rFonts w:ascii="Public Sans" w:hAnsi="Public Sans"/>
          <w:szCs w:val="18"/>
          <w:shd w:val="clear" w:color="auto" w:fill="FFFFFF"/>
        </w:rPr>
        <w:t>e</w:t>
      </w:r>
      <w:r w:rsidRPr="00410DAB">
        <w:rPr>
          <w:rStyle w:val="findhit"/>
          <w:rFonts w:ascii="Public Sans" w:hAnsi="Public Sans"/>
          <w:i/>
          <w:iCs/>
          <w:szCs w:val="18"/>
          <w:shd w:val="clear" w:color="auto" w:fill="FFFFFF"/>
        </w:rPr>
        <w:t>spect</w:t>
      </w:r>
      <w:r w:rsidRPr="00410DAB">
        <w:rPr>
          <w:rStyle w:val="normaltextrun"/>
          <w:rFonts w:ascii="Public Sans" w:hAnsi="Public Sans"/>
          <w:i/>
          <w:iCs/>
          <w:szCs w:val="18"/>
          <w:shd w:val="clear" w:color="auto" w:fill="FFFFFF"/>
        </w:rPr>
        <w:t xml:space="preserve">@Work: National Inquiry into Sexual Harassment in Australian Workplaces </w:t>
      </w:r>
      <w:r w:rsidRPr="00410DAB">
        <w:rPr>
          <w:rStyle w:val="normaltextrun"/>
          <w:rFonts w:ascii="Public Sans" w:hAnsi="Public Sans"/>
          <w:szCs w:val="18"/>
          <w:shd w:val="clear" w:color="auto" w:fill="FFFFFF"/>
        </w:rPr>
        <w:t>(2020)</w:t>
      </w:r>
      <w:r w:rsidRPr="00410DAB">
        <w:rPr>
          <w:rStyle w:val="eop"/>
          <w:rFonts w:ascii="Public Sans" w:hAnsi="Public Sans"/>
          <w:szCs w:val="18"/>
          <w:shd w:val="clear" w:color="auto" w:fill="FFFFFF"/>
        </w:rPr>
        <w:t xml:space="preserve"> </w:t>
      </w:r>
      <w:r w:rsidRPr="00410DAB">
        <w:rPr>
          <w:rFonts w:ascii="Public Sans" w:hAnsi="Public Sans" w:cs="Arial"/>
          <w:szCs w:val="18"/>
        </w:rPr>
        <w:t>10.</w:t>
      </w:r>
    </w:p>
  </w:footnote>
  <w:footnote w:id="947">
    <w:p w14:paraId="39BE24D2"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24; </w:t>
      </w:r>
      <w:r w:rsidRPr="00410DAB">
        <w:rPr>
          <w:rFonts w:ascii="Public Sans" w:hAnsi="Public Sans" w:cs="Arial"/>
          <w:i/>
          <w:iCs/>
          <w:szCs w:val="18"/>
        </w:rPr>
        <w:t>Fair Work Act 2009</w:t>
      </w:r>
      <w:r w:rsidRPr="00410DAB">
        <w:rPr>
          <w:rFonts w:ascii="Public Sans" w:hAnsi="Public Sans" w:cs="Arial"/>
          <w:szCs w:val="18"/>
        </w:rPr>
        <w:t xml:space="preserve"> (Cth) s 789FD(1); </w:t>
      </w:r>
      <w:r w:rsidRPr="00410DAB">
        <w:rPr>
          <w:rFonts w:ascii="Public Sans" w:hAnsi="Public Sans" w:cs="Arial"/>
          <w:i/>
          <w:iCs/>
          <w:szCs w:val="18"/>
        </w:rPr>
        <w:t>Sex Discrimination Act 1984</w:t>
      </w:r>
      <w:r w:rsidRPr="00410DAB">
        <w:rPr>
          <w:rFonts w:ascii="Public Sans" w:hAnsi="Public Sans" w:cs="Arial"/>
          <w:szCs w:val="18"/>
        </w:rPr>
        <w:t xml:space="preserve"> (Cth) s 28M.</w:t>
      </w:r>
    </w:p>
  </w:footnote>
  <w:footnote w:id="948">
    <w:p w14:paraId="4E976587"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Crimes Act 1900</w:t>
      </w:r>
      <w:r w:rsidRPr="00410DAB">
        <w:rPr>
          <w:rFonts w:ascii="Public Sans" w:hAnsi="Public Sans" w:cs="Arial"/>
          <w:szCs w:val="18"/>
        </w:rPr>
        <w:t xml:space="preserve"> (NSW) pt 3 div 10.</w:t>
      </w:r>
    </w:p>
  </w:footnote>
  <w:footnote w:id="949">
    <w:p w14:paraId="211ED2B2"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w:t>
      </w:r>
      <w:r w:rsidRPr="00410DAB">
        <w:rPr>
          <w:rFonts w:ascii="Public Sans" w:hAnsi="Public Sans"/>
          <w:i/>
          <w:iCs/>
          <w:szCs w:val="18"/>
        </w:rPr>
        <w:t>Cooke v Plauen Holdings Pty Ltd</w:t>
      </w:r>
      <w:r w:rsidRPr="00410DAB">
        <w:rPr>
          <w:rFonts w:ascii="Public Sans" w:hAnsi="Public Sans"/>
          <w:szCs w:val="18"/>
        </w:rPr>
        <w:t xml:space="preserve"> [2001] FMCA 91; </w:t>
      </w:r>
      <w:r w:rsidRPr="00410DAB">
        <w:rPr>
          <w:rFonts w:ascii="Public Sans" w:hAnsi="Public Sans"/>
          <w:i/>
          <w:iCs/>
          <w:szCs w:val="18"/>
        </w:rPr>
        <w:t>San v Dirluck Pty Ltd</w:t>
      </w:r>
      <w:r w:rsidRPr="00410DAB">
        <w:rPr>
          <w:rFonts w:ascii="Public Sans" w:hAnsi="Public Sans"/>
          <w:szCs w:val="18"/>
        </w:rPr>
        <w:t xml:space="preserve"> [2005] FMCA 750,  222 ALR 91; </w:t>
      </w:r>
      <w:r w:rsidRPr="00410DAB">
        <w:rPr>
          <w:rFonts w:ascii="Public Sans" w:hAnsi="Public Sans"/>
          <w:i/>
          <w:iCs/>
          <w:szCs w:val="18"/>
        </w:rPr>
        <w:t>Elliott v Nanda</w:t>
      </w:r>
      <w:r w:rsidRPr="00410DAB">
        <w:rPr>
          <w:rFonts w:ascii="Public Sans" w:hAnsi="Public Sans"/>
          <w:szCs w:val="18"/>
        </w:rPr>
        <w:t xml:space="preserve"> [2001] FCA 418, 111 FCR 240; </w:t>
      </w:r>
      <w:r w:rsidRPr="00410DAB">
        <w:rPr>
          <w:rFonts w:ascii="Public Sans" w:hAnsi="Public Sans"/>
          <w:i/>
          <w:iCs/>
          <w:szCs w:val="18"/>
        </w:rPr>
        <w:t>Poniatowska v Hickinbotham</w:t>
      </w:r>
      <w:r w:rsidRPr="00410DAB">
        <w:rPr>
          <w:rFonts w:ascii="Public Sans" w:hAnsi="Public Sans"/>
          <w:szCs w:val="18"/>
        </w:rPr>
        <w:t xml:space="preserve"> [2009] FCA 680; </w:t>
      </w:r>
      <w:r w:rsidRPr="00410DAB">
        <w:rPr>
          <w:rFonts w:ascii="Public Sans" w:hAnsi="Public Sans"/>
          <w:i/>
          <w:iCs/>
          <w:szCs w:val="18"/>
        </w:rPr>
        <w:t xml:space="preserve">Kraus v Menzie </w:t>
      </w:r>
      <w:r w:rsidRPr="00410DAB">
        <w:rPr>
          <w:rFonts w:ascii="Public Sans" w:hAnsi="Public Sans"/>
          <w:szCs w:val="18"/>
        </w:rPr>
        <w:t>[2012] FCA 3 [53].</w:t>
      </w:r>
    </w:p>
  </w:footnote>
  <w:footnote w:id="950">
    <w:p w14:paraId="3685CAA9"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w:t>
      </w:r>
      <w:r w:rsidRPr="00410DAB">
        <w:rPr>
          <w:rStyle w:val="ssit"/>
          <w:rFonts w:ascii="Public Sans" w:hAnsi="Public Sans"/>
          <w:i/>
          <w:iCs/>
          <w:szCs w:val="18"/>
          <w:bdr w:val="none" w:sz="0" w:space="0" w:color="auto" w:frame="1"/>
        </w:rPr>
        <w:t>Hall v Sheiban Pty Ltd</w:t>
      </w:r>
      <w:r w:rsidRPr="00410DAB">
        <w:rPr>
          <w:rFonts w:ascii="Public Sans" w:hAnsi="Public Sans"/>
          <w:szCs w:val="18"/>
        </w:rPr>
        <w:t> </w:t>
      </w:r>
      <w:r w:rsidRPr="00410DAB">
        <w:rPr>
          <w:rFonts w:ascii="Public Sans" w:hAnsi="Public Sans"/>
          <w:szCs w:val="18"/>
          <w:bdr w:val="none" w:sz="0" w:space="0" w:color="auto" w:frame="1"/>
        </w:rPr>
        <w:t>(1989) 20 FCR 217, 231</w:t>
      </w:r>
      <w:r w:rsidRPr="00410DAB">
        <w:rPr>
          <w:rFonts w:ascii="Public Sans" w:hAnsi="Public Sans"/>
          <w:szCs w:val="18"/>
        </w:rPr>
        <w:t xml:space="preserve">; </w:t>
      </w:r>
      <w:r w:rsidRPr="00410DAB">
        <w:rPr>
          <w:rFonts w:ascii="Public Sans" w:hAnsi="Public Sans"/>
          <w:i/>
          <w:iCs/>
          <w:szCs w:val="18"/>
        </w:rPr>
        <w:t>Cooke v Plauen Holdings</w:t>
      </w:r>
      <w:r w:rsidRPr="00410DAB">
        <w:rPr>
          <w:rFonts w:ascii="Public Sans" w:hAnsi="Public Sans"/>
          <w:szCs w:val="18"/>
        </w:rPr>
        <w:t xml:space="preserve"> [2001] FMCA 91 [25]; </w:t>
      </w:r>
      <w:r w:rsidRPr="00410DAB">
        <w:rPr>
          <w:rFonts w:ascii="Public Sans" w:hAnsi="Public Sans"/>
          <w:i/>
          <w:iCs/>
          <w:szCs w:val="18"/>
        </w:rPr>
        <w:t>Johanson v Blackledge Meats</w:t>
      </w:r>
      <w:r w:rsidRPr="00410DAB">
        <w:rPr>
          <w:rFonts w:ascii="Public Sans" w:hAnsi="Public Sans"/>
          <w:szCs w:val="18"/>
        </w:rPr>
        <w:t xml:space="preserve"> [2001] FMCA 6 [85]; </w:t>
      </w:r>
      <w:r w:rsidRPr="00410DAB">
        <w:rPr>
          <w:rFonts w:ascii="Public Sans" w:hAnsi="Public Sans"/>
          <w:i/>
          <w:iCs/>
          <w:szCs w:val="18"/>
        </w:rPr>
        <w:t>Aldridge v Booth</w:t>
      </w:r>
      <w:r w:rsidRPr="00410DAB">
        <w:rPr>
          <w:rFonts w:ascii="Public Sans" w:hAnsi="Public Sans"/>
          <w:szCs w:val="18"/>
        </w:rPr>
        <w:t xml:space="preserve"> (1988) 80 ALR 1, 5.</w:t>
      </w:r>
    </w:p>
  </w:footnote>
  <w:footnote w:id="951">
    <w:p w14:paraId="45BC809F"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22A(a).</w:t>
      </w:r>
    </w:p>
  </w:footnote>
  <w:footnote w:id="952">
    <w:p w14:paraId="6B9F3BAF"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Vitality Works Australia Pty Ltd v Yelda</w:t>
      </w:r>
      <w:r w:rsidRPr="00410DAB">
        <w:rPr>
          <w:rFonts w:ascii="Public Sans" w:hAnsi="Public Sans" w:cs="Arial"/>
          <w:szCs w:val="18"/>
        </w:rPr>
        <w:t xml:space="preserve"> </w:t>
      </w:r>
      <w:r w:rsidRPr="00410DAB">
        <w:rPr>
          <w:rFonts w:ascii="Public Sans" w:hAnsi="Public Sans" w:cs="Arial"/>
          <w:i/>
          <w:iCs/>
          <w:szCs w:val="18"/>
        </w:rPr>
        <w:t>(No 2)</w:t>
      </w:r>
      <w:r w:rsidRPr="00410DAB">
        <w:rPr>
          <w:rFonts w:ascii="Public Sans" w:hAnsi="Public Sans" w:cs="Arial"/>
          <w:szCs w:val="18"/>
        </w:rPr>
        <w:t xml:space="preserve"> [2021] NSWCA 147, 105 NSWLR 403 [125].</w:t>
      </w:r>
    </w:p>
  </w:footnote>
  <w:footnote w:id="953">
    <w:p w14:paraId="56C1A64E"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Vitality Works Australia Pty Ltd v Yelda</w:t>
      </w:r>
      <w:r w:rsidRPr="00410DAB">
        <w:rPr>
          <w:rFonts w:ascii="Public Sans" w:hAnsi="Public Sans" w:cs="Arial"/>
          <w:szCs w:val="18"/>
        </w:rPr>
        <w:t xml:space="preserve"> </w:t>
      </w:r>
      <w:r w:rsidRPr="00410DAB">
        <w:rPr>
          <w:rFonts w:ascii="Public Sans" w:hAnsi="Public Sans" w:cs="Arial"/>
          <w:i/>
          <w:iCs/>
          <w:szCs w:val="18"/>
        </w:rPr>
        <w:t>(No 2)</w:t>
      </w:r>
      <w:r w:rsidRPr="00410DAB">
        <w:rPr>
          <w:rFonts w:ascii="Public Sans" w:hAnsi="Public Sans" w:cs="Arial"/>
          <w:szCs w:val="18"/>
        </w:rPr>
        <w:t xml:space="preserve"> [2021] NSWCA 147, 105 NSWLR 403 [82], [96], [98]; </w:t>
      </w:r>
      <w:r w:rsidRPr="00410DAB">
        <w:rPr>
          <w:rStyle w:val="ssit"/>
          <w:rFonts w:ascii="Public Sans" w:hAnsi="Public Sans"/>
          <w:i/>
          <w:iCs/>
          <w:szCs w:val="18"/>
          <w:bdr w:val="none" w:sz="0" w:space="0" w:color="auto" w:frame="1"/>
        </w:rPr>
        <w:t>Huang v University of New South Wales</w:t>
      </w:r>
      <w:r w:rsidRPr="00410DAB">
        <w:rPr>
          <w:rFonts w:ascii="Public Sans" w:hAnsi="Public Sans"/>
          <w:szCs w:val="18"/>
        </w:rPr>
        <w:t> [2008] FCA 1930 [48].</w:t>
      </w:r>
    </w:p>
  </w:footnote>
  <w:footnote w:id="954">
    <w:p w14:paraId="5E15D062"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Vitality Works Australia Pty Ltd v Yelda</w:t>
      </w:r>
      <w:r w:rsidRPr="00410DAB">
        <w:rPr>
          <w:rFonts w:ascii="Public Sans" w:hAnsi="Public Sans" w:cs="Arial"/>
          <w:szCs w:val="18"/>
        </w:rPr>
        <w:t xml:space="preserve"> </w:t>
      </w:r>
      <w:r w:rsidRPr="00410DAB">
        <w:rPr>
          <w:rFonts w:ascii="Public Sans" w:hAnsi="Public Sans" w:cs="Arial"/>
          <w:i/>
          <w:iCs/>
          <w:szCs w:val="18"/>
        </w:rPr>
        <w:t>(No 2)</w:t>
      </w:r>
      <w:r w:rsidRPr="00410DAB">
        <w:rPr>
          <w:rFonts w:ascii="Public Sans" w:hAnsi="Public Sans" w:cs="Arial"/>
          <w:szCs w:val="18"/>
        </w:rPr>
        <w:t xml:space="preserve"> [2021] NSWCA 147, 105 NSWLR 403 [34].</w:t>
      </w:r>
    </w:p>
  </w:footnote>
  <w:footnote w:id="955">
    <w:p w14:paraId="05E81579"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findhit"/>
          <w:rFonts w:ascii="Public Sans" w:hAnsi="Public Sans"/>
          <w:i/>
          <w:iCs/>
          <w:szCs w:val="18"/>
          <w:shd w:val="clear" w:color="auto" w:fill="FFFFFF"/>
        </w:rPr>
        <w:t>Zanella</w:t>
      </w:r>
      <w:r w:rsidRPr="00410DAB">
        <w:rPr>
          <w:rStyle w:val="normaltextrun"/>
          <w:rFonts w:ascii="Public Sans" w:hAnsi="Public Sans"/>
          <w:i/>
          <w:iCs/>
          <w:szCs w:val="18"/>
          <w:shd w:val="clear" w:color="auto" w:fill="FFFFFF"/>
        </w:rPr>
        <w:t xml:space="preserve"> v Carroll’s Auto Repairs Pty Ltd</w:t>
      </w:r>
      <w:r w:rsidRPr="00410DAB">
        <w:rPr>
          <w:rStyle w:val="normaltextrun"/>
          <w:rFonts w:ascii="Public Sans" w:hAnsi="Public Sans"/>
          <w:szCs w:val="18"/>
          <w:shd w:val="clear" w:color="auto" w:fill="FFFFFF"/>
        </w:rPr>
        <w:t xml:space="preserve"> [2001] NSWADT 220 [70]–[74]</w:t>
      </w:r>
      <w:r w:rsidRPr="00410DAB">
        <w:rPr>
          <w:rFonts w:ascii="Public Sans" w:hAnsi="Public Sans"/>
          <w:szCs w:val="18"/>
        </w:rPr>
        <w:t xml:space="preserve">; </w:t>
      </w:r>
      <w:r w:rsidRPr="00410DAB">
        <w:rPr>
          <w:rStyle w:val="normaltextrun"/>
          <w:rFonts w:ascii="Public Sans" w:hAnsi="Public Sans"/>
          <w:i/>
          <w:iCs/>
          <w:szCs w:val="18"/>
          <w:shd w:val="clear" w:color="auto" w:fill="FFFFFF"/>
        </w:rPr>
        <w:t xml:space="preserve">Carter v Linuki Pty Ltd </w:t>
      </w:r>
      <w:r w:rsidRPr="00410DAB">
        <w:rPr>
          <w:rStyle w:val="normaltextrun"/>
          <w:rFonts w:ascii="Public Sans" w:hAnsi="Public Sans"/>
          <w:szCs w:val="18"/>
          <w:shd w:val="clear" w:color="auto" w:fill="FFFFFF"/>
        </w:rPr>
        <w:t>[2004] NSWADT 287</w:t>
      </w:r>
      <w:r w:rsidRPr="00410DAB">
        <w:rPr>
          <w:rFonts w:ascii="Public Sans" w:hAnsi="Public Sans"/>
          <w:szCs w:val="18"/>
        </w:rPr>
        <w:t xml:space="preserve"> [24], [27]; </w:t>
      </w:r>
      <w:r w:rsidRPr="00410DAB">
        <w:rPr>
          <w:rFonts w:ascii="Public Sans" w:hAnsi="Public Sans"/>
          <w:i/>
          <w:szCs w:val="18"/>
        </w:rPr>
        <w:t xml:space="preserve">Noble v Baldwin </w:t>
      </w:r>
      <w:r w:rsidRPr="00410DAB">
        <w:rPr>
          <w:rFonts w:ascii="Public Sans" w:hAnsi="Public Sans"/>
          <w:szCs w:val="18"/>
        </w:rPr>
        <w:t>[2011] FMCA 283 [237].</w:t>
      </w:r>
    </w:p>
  </w:footnote>
  <w:footnote w:id="956">
    <w:p w14:paraId="338C7C94"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i/>
          <w:iCs/>
          <w:szCs w:val="18"/>
          <w:shd w:val="clear" w:color="auto" w:fill="FFFFFF"/>
        </w:rPr>
        <w:t xml:space="preserve">Ewin v Vergara (No 3) </w:t>
      </w:r>
      <w:r w:rsidRPr="00410DAB">
        <w:rPr>
          <w:rStyle w:val="normaltextrun"/>
          <w:rFonts w:ascii="Public Sans" w:hAnsi="Public Sans"/>
          <w:szCs w:val="18"/>
          <w:shd w:val="clear" w:color="auto" w:fill="FFFFFF"/>
        </w:rPr>
        <w:t>[2013] FCA 1311</w:t>
      </w:r>
      <w:r w:rsidRPr="00410DAB">
        <w:rPr>
          <w:rStyle w:val="eop"/>
          <w:rFonts w:ascii="Public Sans" w:hAnsi="Public Sans"/>
          <w:szCs w:val="18"/>
          <w:shd w:val="clear" w:color="auto" w:fill="FFFFFF"/>
        </w:rPr>
        <w:t> [447].</w:t>
      </w:r>
    </w:p>
  </w:footnote>
  <w:footnote w:id="957">
    <w:p w14:paraId="2F940765"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i/>
          <w:iCs/>
          <w:szCs w:val="18"/>
        </w:rPr>
        <w:t>Aldridge v Booth</w:t>
      </w:r>
      <w:r w:rsidRPr="00410DAB">
        <w:rPr>
          <w:rFonts w:ascii="Public Sans" w:hAnsi="Public Sans"/>
          <w:szCs w:val="18"/>
        </w:rPr>
        <w:t xml:space="preserve"> (1988) 80 ALR 1, 5; </w:t>
      </w:r>
      <w:r w:rsidRPr="00410DAB">
        <w:rPr>
          <w:rFonts w:ascii="Public Sans" w:hAnsi="Public Sans" w:cs="Arial"/>
          <w:i/>
          <w:iCs/>
          <w:szCs w:val="18"/>
        </w:rPr>
        <w:t>Vitality Works Australia Pty Ltd v Yelda</w:t>
      </w:r>
      <w:r w:rsidRPr="00410DAB">
        <w:rPr>
          <w:rFonts w:ascii="Public Sans" w:hAnsi="Public Sans" w:cs="Arial"/>
          <w:szCs w:val="18"/>
        </w:rPr>
        <w:t xml:space="preserve"> </w:t>
      </w:r>
      <w:r w:rsidRPr="00410DAB">
        <w:rPr>
          <w:rFonts w:ascii="Public Sans" w:hAnsi="Public Sans" w:cs="Arial"/>
          <w:i/>
          <w:iCs/>
          <w:szCs w:val="18"/>
        </w:rPr>
        <w:t>(No 2)</w:t>
      </w:r>
      <w:r w:rsidRPr="00410DAB">
        <w:rPr>
          <w:rFonts w:ascii="Public Sans" w:hAnsi="Public Sans" w:cs="Arial"/>
          <w:szCs w:val="18"/>
        </w:rPr>
        <w:t xml:space="preserve"> [2021] NSWCA 147, 105 NSWLR 403 [</w:t>
      </w:r>
      <w:r w:rsidRPr="00410DAB">
        <w:rPr>
          <w:rFonts w:ascii="Public Sans" w:hAnsi="Public Sans"/>
          <w:szCs w:val="18"/>
        </w:rPr>
        <w:t xml:space="preserve">34]; </w:t>
      </w:r>
      <w:r w:rsidRPr="00410DAB">
        <w:rPr>
          <w:rStyle w:val="normaltextrun"/>
          <w:rFonts w:ascii="Public Sans" w:hAnsi="Public Sans"/>
          <w:i/>
          <w:iCs/>
          <w:szCs w:val="18"/>
          <w:shd w:val="clear" w:color="auto" w:fill="FFFFFF"/>
        </w:rPr>
        <w:t>Hall v Sheiban Pty Ltd</w:t>
      </w:r>
      <w:r w:rsidRPr="00410DAB">
        <w:rPr>
          <w:rStyle w:val="normaltextrun"/>
          <w:rFonts w:ascii="Public Sans" w:hAnsi="Public Sans"/>
          <w:szCs w:val="18"/>
          <w:shd w:val="clear" w:color="auto" w:fill="FFFFFF"/>
        </w:rPr>
        <w:t> (1989) 20 FCR 217, 247</w:t>
      </w:r>
      <w:r w:rsidRPr="00410DAB">
        <w:rPr>
          <w:rStyle w:val="eop"/>
          <w:rFonts w:ascii="Public Sans" w:hAnsi="Public Sans"/>
          <w:szCs w:val="18"/>
          <w:shd w:val="clear" w:color="auto" w:fill="FFFFFF"/>
        </w:rPr>
        <w:t xml:space="preserve">; </w:t>
      </w:r>
      <w:r w:rsidRPr="00410DAB">
        <w:rPr>
          <w:rStyle w:val="eop"/>
          <w:rFonts w:ascii="Public Sans" w:hAnsi="Public Sans"/>
          <w:i/>
          <w:iCs/>
          <w:szCs w:val="18"/>
          <w:shd w:val="clear" w:color="auto" w:fill="FFFFFF"/>
        </w:rPr>
        <w:t>Elliott v Nanda</w:t>
      </w:r>
      <w:r w:rsidRPr="00410DAB">
        <w:rPr>
          <w:rStyle w:val="eop"/>
          <w:rFonts w:ascii="Public Sans" w:hAnsi="Public Sans"/>
          <w:szCs w:val="18"/>
          <w:shd w:val="clear" w:color="auto" w:fill="FFFFFF"/>
        </w:rPr>
        <w:t xml:space="preserve"> [2001] FCA 418, 111 FCR 240 [109]; </w:t>
      </w:r>
      <w:r w:rsidRPr="00410DAB">
        <w:rPr>
          <w:rStyle w:val="eop"/>
          <w:rFonts w:ascii="Public Sans" w:hAnsi="Public Sans"/>
          <w:i/>
          <w:iCs/>
          <w:szCs w:val="18"/>
          <w:shd w:val="clear" w:color="auto" w:fill="FFFFFF"/>
        </w:rPr>
        <w:t>Poniatowska v Hickinbotham</w:t>
      </w:r>
      <w:r w:rsidRPr="00410DAB">
        <w:rPr>
          <w:rStyle w:val="eop"/>
          <w:rFonts w:ascii="Public Sans" w:hAnsi="Public Sans"/>
          <w:szCs w:val="18"/>
          <w:shd w:val="clear" w:color="auto" w:fill="FFFFFF"/>
        </w:rPr>
        <w:t xml:space="preserve"> [2009] FCA 680 [289].</w:t>
      </w:r>
    </w:p>
  </w:footnote>
  <w:footnote w:id="958">
    <w:p w14:paraId="5CEC680F"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Calibri"/>
          <w:i/>
          <w:iCs/>
          <w:szCs w:val="18"/>
        </w:rPr>
        <w:t>Hughes v Hill</w:t>
      </w:r>
      <w:r w:rsidRPr="00410DAB">
        <w:rPr>
          <w:rFonts w:ascii="Public Sans" w:hAnsi="Public Sans" w:cs="Calibri"/>
          <w:szCs w:val="18"/>
        </w:rPr>
        <w:t xml:space="preserve"> [2020] FCAFC 126, 277 FCR 511 [23].</w:t>
      </w:r>
    </w:p>
  </w:footnote>
  <w:footnote w:id="959">
    <w:p w14:paraId="7460F464"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Calibri"/>
          <w:i/>
          <w:szCs w:val="18"/>
        </w:rPr>
        <w:t xml:space="preserve">Aldridge v Booth </w:t>
      </w:r>
      <w:r w:rsidRPr="00410DAB">
        <w:rPr>
          <w:rFonts w:ascii="Public Sans" w:hAnsi="Public Sans" w:cs="Calibri"/>
          <w:szCs w:val="18"/>
        </w:rPr>
        <w:t xml:space="preserve">(1988) 80 ALR 1, 5; </w:t>
      </w:r>
      <w:r w:rsidRPr="00410DAB">
        <w:rPr>
          <w:rFonts w:ascii="Public Sans" w:hAnsi="Public Sans" w:cs="Calibri"/>
          <w:i/>
          <w:szCs w:val="18"/>
        </w:rPr>
        <w:t>O'Callaghan v Loder</w:t>
      </w:r>
      <w:r w:rsidRPr="00410DAB">
        <w:rPr>
          <w:rFonts w:ascii="Public Sans" w:hAnsi="Public Sans" w:cs="Calibri"/>
          <w:szCs w:val="18"/>
        </w:rPr>
        <w:t xml:space="preserve"> </w:t>
      </w:r>
      <w:r w:rsidRPr="00410DAB">
        <w:rPr>
          <w:rStyle w:val="normaltextrun"/>
          <w:rFonts w:ascii="Public Sans" w:hAnsi="Public Sans"/>
          <w:szCs w:val="18"/>
          <w:bdr w:val="none" w:sz="0" w:space="0" w:color="auto" w:frame="1"/>
        </w:rPr>
        <w:t>[1983] 3 NSWLR 89 103–104.</w:t>
      </w:r>
    </w:p>
  </w:footnote>
  <w:footnote w:id="960">
    <w:p w14:paraId="468CA494" w14:textId="77777777" w:rsidR="00BC7971" w:rsidRPr="00410DAB" w:rsidRDefault="00BC7971" w:rsidP="00BC7971">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t xml:space="preserve">See, eg, </w:t>
      </w:r>
      <w:r w:rsidRPr="00410DAB">
        <w:rPr>
          <w:rFonts w:ascii="Public Sans" w:hAnsi="Public Sans"/>
          <w:i/>
          <w:iCs/>
          <w:szCs w:val="18"/>
        </w:rPr>
        <w:t>Johanson v Blackledge Meats</w:t>
      </w:r>
      <w:r w:rsidRPr="00410DAB">
        <w:rPr>
          <w:rFonts w:ascii="Public Sans" w:hAnsi="Public Sans"/>
          <w:szCs w:val="18"/>
        </w:rPr>
        <w:t xml:space="preserve"> [2001] FMCA 6 [84]. </w:t>
      </w:r>
    </w:p>
  </w:footnote>
  <w:footnote w:id="961">
    <w:p w14:paraId="1C928C2C"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28A(1)(b), s 28AA(1)(b), s 28M(2)(c).</w:t>
      </w:r>
    </w:p>
  </w:footnote>
  <w:footnote w:id="962">
    <w:p w14:paraId="3D18359F"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22A.</w:t>
      </w:r>
    </w:p>
  </w:footnote>
  <w:footnote w:id="963">
    <w:p w14:paraId="64CDF318"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Explanatory Memorandum, Sex and Age Discrimination Legislation Amendment Bill 2010 (Cth) [69]–[70]. </w:t>
      </w:r>
    </w:p>
  </w:footnote>
  <w:footnote w:id="964">
    <w:p w14:paraId="4BF3D3DB"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szCs w:val="18"/>
          <w:shd w:val="clear" w:color="auto" w:fill="FFFFFF"/>
        </w:rPr>
        <w:t xml:space="preserve">Australia, Senate </w:t>
      </w:r>
      <w:r w:rsidRPr="00410DAB">
        <w:rPr>
          <w:rStyle w:val="findhit"/>
          <w:rFonts w:ascii="Public Sans" w:hAnsi="Public Sans"/>
          <w:szCs w:val="18"/>
          <w:shd w:val="clear" w:color="auto" w:fill="FFFFFF"/>
        </w:rPr>
        <w:t>Standing Comm</w:t>
      </w:r>
      <w:r w:rsidRPr="00410DAB">
        <w:rPr>
          <w:rStyle w:val="normaltextrun"/>
          <w:rFonts w:ascii="Public Sans" w:hAnsi="Public Sans"/>
          <w:szCs w:val="18"/>
          <w:shd w:val="clear" w:color="auto" w:fill="FFFFFF"/>
        </w:rPr>
        <w:t xml:space="preserve">ittee on Legal and Constitutional Affairs, </w:t>
      </w:r>
      <w:r w:rsidRPr="00410DAB">
        <w:rPr>
          <w:rStyle w:val="normaltextrun"/>
          <w:rFonts w:ascii="Public Sans" w:hAnsi="Public Sans"/>
          <w:i/>
          <w:iCs/>
          <w:szCs w:val="18"/>
          <w:shd w:val="clear" w:color="auto" w:fill="FFFFFF"/>
        </w:rPr>
        <w:t>Effectiveness of the Sex Discrimination Act 1984 in Eliminating Discrimination and Promoting Gender Equality (</w:t>
      </w:r>
      <w:r w:rsidRPr="00410DAB">
        <w:rPr>
          <w:rStyle w:val="normaltextrun"/>
          <w:rFonts w:ascii="Public Sans" w:hAnsi="Public Sans"/>
          <w:szCs w:val="18"/>
          <w:shd w:val="clear" w:color="auto" w:fill="FFFFFF"/>
        </w:rPr>
        <w:t>2008)</w:t>
      </w:r>
      <w:r w:rsidRPr="00410DAB">
        <w:rPr>
          <w:rFonts w:ascii="Public Sans" w:hAnsi="Public Sans" w:cs="Arial"/>
          <w:szCs w:val="18"/>
        </w:rPr>
        <w:t xml:space="preserve"> [11.36], rec 15.</w:t>
      </w:r>
    </w:p>
  </w:footnote>
  <w:footnote w:id="965">
    <w:p w14:paraId="6413673A"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28A(1A).</w:t>
      </w:r>
    </w:p>
  </w:footnote>
  <w:footnote w:id="966">
    <w:p w14:paraId="576C00C6"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22A.</w:t>
      </w:r>
    </w:p>
  </w:footnote>
  <w:footnote w:id="967">
    <w:p w14:paraId="65668A90"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szCs w:val="18"/>
          <w:shd w:val="clear" w:color="auto" w:fill="FFFFFF"/>
        </w:rPr>
        <w:t xml:space="preserve">Australian Human Rights Commission, </w:t>
      </w:r>
      <w:r w:rsidRPr="00410DAB">
        <w:rPr>
          <w:rStyle w:val="findhit"/>
          <w:rFonts w:ascii="Public Sans" w:hAnsi="Public Sans"/>
          <w:i/>
          <w:iCs/>
          <w:szCs w:val="18"/>
          <w:shd w:val="clear" w:color="auto" w:fill="FFFFFF"/>
        </w:rPr>
        <w:t>R</w:t>
      </w:r>
      <w:r w:rsidRPr="00410DAB">
        <w:rPr>
          <w:rStyle w:val="findhit"/>
          <w:rFonts w:ascii="Public Sans" w:hAnsi="Public Sans"/>
          <w:szCs w:val="18"/>
          <w:shd w:val="clear" w:color="auto" w:fill="FFFFFF"/>
        </w:rPr>
        <w:t>e</w:t>
      </w:r>
      <w:r w:rsidRPr="00410DAB">
        <w:rPr>
          <w:rStyle w:val="findhit"/>
          <w:rFonts w:ascii="Public Sans" w:hAnsi="Public Sans"/>
          <w:i/>
          <w:iCs/>
          <w:szCs w:val="18"/>
          <w:shd w:val="clear" w:color="auto" w:fill="FFFFFF"/>
        </w:rPr>
        <w:t>spect</w:t>
      </w:r>
      <w:r w:rsidRPr="00410DAB">
        <w:rPr>
          <w:rStyle w:val="normaltextrun"/>
          <w:rFonts w:ascii="Public Sans" w:hAnsi="Public Sans"/>
          <w:i/>
          <w:iCs/>
          <w:szCs w:val="18"/>
          <w:shd w:val="clear" w:color="auto" w:fill="FFFFFF"/>
        </w:rPr>
        <w:t xml:space="preserve">@Work: National Inquiry into Sexual Harassment in Australian Workplaces </w:t>
      </w:r>
      <w:r w:rsidRPr="00410DAB">
        <w:rPr>
          <w:rStyle w:val="normaltextrun"/>
          <w:rFonts w:ascii="Public Sans" w:hAnsi="Public Sans"/>
          <w:szCs w:val="18"/>
          <w:shd w:val="clear" w:color="auto" w:fill="FFFFFF"/>
        </w:rPr>
        <w:t>(2020)</w:t>
      </w:r>
      <w:r w:rsidRPr="00410DAB">
        <w:rPr>
          <w:rStyle w:val="eop"/>
          <w:rFonts w:ascii="Public Sans" w:hAnsi="Public Sans"/>
          <w:szCs w:val="18"/>
          <w:shd w:val="clear" w:color="auto" w:fill="FFFFFF"/>
        </w:rPr>
        <w:t xml:space="preserve"> </w:t>
      </w:r>
      <w:r w:rsidRPr="00410DAB">
        <w:rPr>
          <w:rFonts w:ascii="Public Sans" w:hAnsi="Public Sans" w:cs="Arial"/>
          <w:szCs w:val="18"/>
        </w:rPr>
        <w:t>359.</w:t>
      </w:r>
    </w:p>
  </w:footnote>
  <w:footnote w:id="968">
    <w:p w14:paraId="29DE9FF7"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szCs w:val="18"/>
          <w:shd w:val="clear" w:color="auto" w:fill="FFFFFF"/>
        </w:rPr>
        <w:t>Australian Discrimination Law Experts Group, Submission to the Australian Human Rights Commission,</w:t>
      </w:r>
      <w:r w:rsidRPr="00410DAB">
        <w:rPr>
          <w:rStyle w:val="normaltextrun"/>
          <w:rFonts w:ascii="Public Sans" w:hAnsi="Public Sans"/>
          <w:i/>
          <w:iCs/>
          <w:szCs w:val="18"/>
          <w:shd w:val="clear" w:color="auto" w:fill="FFFFFF"/>
        </w:rPr>
        <w:t xml:space="preserve"> National Inquiry into Sexual Harassment in Australian Workplaces </w:t>
      </w:r>
      <w:r w:rsidRPr="00410DAB">
        <w:rPr>
          <w:rStyle w:val="normaltextrun"/>
          <w:rFonts w:ascii="Public Sans" w:hAnsi="Public Sans"/>
          <w:szCs w:val="18"/>
          <w:shd w:val="clear" w:color="auto" w:fill="FFFFFF"/>
        </w:rPr>
        <w:t>(4 March 2019)</w:t>
      </w:r>
      <w:r w:rsidRPr="00410DAB">
        <w:rPr>
          <w:rFonts w:ascii="Public Sans" w:hAnsi="Public Sans" w:cs="Arial"/>
          <w:szCs w:val="18"/>
        </w:rPr>
        <w:t xml:space="preserve"> 23. See also </w:t>
      </w:r>
      <w:r w:rsidRPr="00410DAB">
        <w:rPr>
          <w:rStyle w:val="normaltextrun"/>
          <w:rFonts w:ascii="Public Sans" w:hAnsi="Public Sans"/>
          <w:szCs w:val="18"/>
          <w:shd w:val="clear" w:color="auto" w:fill="FFFFFF"/>
        </w:rPr>
        <w:t xml:space="preserve">Australian Human Rights Commission, </w:t>
      </w:r>
      <w:r w:rsidRPr="00410DAB">
        <w:rPr>
          <w:rStyle w:val="findhit"/>
          <w:rFonts w:ascii="Public Sans" w:hAnsi="Public Sans"/>
          <w:i/>
          <w:iCs/>
          <w:szCs w:val="18"/>
          <w:shd w:val="clear" w:color="auto" w:fill="FFFFFF"/>
        </w:rPr>
        <w:t>R</w:t>
      </w:r>
      <w:r w:rsidRPr="00410DAB">
        <w:rPr>
          <w:rStyle w:val="findhit"/>
          <w:rFonts w:ascii="Public Sans" w:hAnsi="Public Sans"/>
          <w:szCs w:val="18"/>
          <w:shd w:val="clear" w:color="auto" w:fill="FFFFFF"/>
        </w:rPr>
        <w:t>e</w:t>
      </w:r>
      <w:r w:rsidRPr="00410DAB">
        <w:rPr>
          <w:rStyle w:val="findhit"/>
          <w:rFonts w:ascii="Public Sans" w:hAnsi="Public Sans"/>
          <w:i/>
          <w:iCs/>
          <w:szCs w:val="18"/>
          <w:shd w:val="clear" w:color="auto" w:fill="FFFFFF"/>
        </w:rPr>
        <w:t>spect</w:t>
      </w:r>
      <w:r w:rsidRPr="00410DAB">
        <w:rPr>
          <w:rStyle w:val="normaltextrun"/>
          <w:rFonts w:ascii="Public Sans" w:hAnsi="Public Sans"/>
          <w:i/>
          <w:iCs/>
          <w:szCs w:val="18"/>
          <w:shd w:val="clear" w:color="auto" w:fill="FFFFFF"/>
        </w:rPr>
        <w:t xml:space="preserve">@Work: National Inquiry into Sexual Harassment in Australian Workplaces </w:t>
      </w:r>
      <w:r w:rsidRPr="00410DAB">
        <w:rPr>
          <w:rStyle w:val="normaltextrun"/>
          <w:rFonts w:ascii="Public Sans" w:hAnsi="Public Sans"/>
          <w:szCs w:val="18"/>
          <w:shd w:val="clear" w:color="auto" w:fill="FFFFFF"/>
        </w:rPr>
        <w:t>(2020)</w:t>
      </w:r>
      <w:r w:rsidRPr="00410DAB">
        <w:rPr>
          <w:rStyle w:val="eop"/>
          <w:rFonts w:ascii="Public Sans" w:hAnsi="Public Sans"/>
          <w:szCs w:val="18"/>
          <w:shd w:val="clear" w:color="auto" w:fill="FFFFFF"/>
        </w:rPr>
        <w:t xml:space="preserve"> 456.</w:t>
      </w:r>
    </w:p>
  </w:footnote>
  <w:footnote w:id="969">
    <w:p w14:paraId="5CAB7E8D"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28A(2). See also </w:t>
      </w:r>
      <w:r w:rsidRPr="00410DAB">
        <w:rPr>
          <w:rFonts w:ascii="Public Sans" w:hAnsi="Public Sans" w:cs="Arial"/>
          <w:i/>
          <w:iCs/>
          <w:szCs w:val="18"/>
        </w:rPr>
        <w:t>Discrimination Act 1991</w:t>
      </w:r>
      <w:r w:rsidRPr="00410DAB">
        <w:rPr>
          <w:rFonts w:ascii="Public Sans" w:hAnsi="Public Sans" w:cs="Arial"/>
          <w:szCs w:val="18"/>
        </w:rPr>
        <w:t xml:space="preserve"> (ACT) s 58(2); </w:t>
      </w:r>
      <w:r w:rsidRPr="00410DAB">
        <w:rPr>
          <w:rFonts w:ascii="Public Sans" w:hAnsi="Public Sans" w:cs="Arial"/>
          <w:i/>
          <w:iCs/>
          <w:szCs w:val="18"/>
        </w:rPr>
        <w:t>Equal Opportunity Act 2010</w:t>
      </w:r>
      <w:r w:rsidRPr="00410DAB">
        <w:rPr>
          <w:rFonts w:ascii="Public Sans" w:hAnsi="Public Sans" w:cs="Arial"/>
          <w:szCs w:val="18"/>
        </w:rPr>
        <w:t xml:space="preserve"> (Vic) s 92(2)(b).</w:t>
      </w:r>
    </w:p>
  </w:footnote>
  <w:footnote w:id="970">
    <w:p w14:paraId="3A22CD6D" w14:textId="77777777" w:rsidR="00BC7971" w:rsidRPr="00410DAB" w:rsidRDefault="00BC7971" w:rsidP="00BC7971">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cs="Arial"/>
          <w:i/>
          <w:iCs/>
          <w:szCs w:val="18"/>
        </w:rPr>
        <w:t>Vitality Works Australia Pty Ltd v Yelda</w:t>
      </w:r>
      <w:r w:rsidRPr="00410DAB">
        <w:rPr>
          <w:rFonts w:ascii="Public Sans" w:hAnsi="Public Sans" w:cs="Arial"/>
          <w:szCs w:val="18"/>
        </w:rPr>
        <w:t xml:space="preserve"> </w:t>
      </w:r>
      <w:r w:rsidRPr="00410DAB">
        <w:rPr>
          <w:rFonts w:ascii="Public Sans" w:hAnsi="Public Sans" w:cs="Arial"/>
          <w:i/>
          <w:iCs/>
          <w:szCs w:val="18"/>
        </w:rPr>
        <w:t>(No 2)</w:t>
      </w:r>
      <w:r w:rsidRPr="00410DAB">
        <w:rPr>
          <w:rFonts w:ascii="Public Sans" w:hAnsi="Public Sans" w:cs="Arial"/>
          <w:szCs w:val="18"/>
        </w:rPr>
        <w:t xml:space="preserve"> [2021] NSWCA 147, 105 NSWLR 403 [97].</w:t>
      </w:r>
    </w:p>
  </w:footnote>
  <w:footnote w:id="971">
    <w:p w14:paraId="642F9F25"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28AA.</w:t>
      </w:r>
    </w:p>
  </w:footnote>
  <w:footnote w:id="972">
    <w:p w14:paraId="11F93266"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28M, inserted by</w:t>
      </w:r>
      <w:r w:rsidRPr="00410DAB">
        <w:rPr>
          <w:rFonts w:ascii="Public Sans" w:hAnsi="Public Sans"/>
          <w:i/>
          <w:iCs/>
          <w:szCs w:val="18"/>
        </w:rPr>
        <w:t xml:space="preserve"> Anti-Discrimination and Human Rights Legislation Amendment (Respect at Work) Act 2022</w:t>
      </w:r>
      <w:r w:rsidRPr="00410DAB">
        <w:rPr>
          <w:rFonts w:ascii="Public Sans" w:hAnsi="Public Sans"/>
          <w:szCs w:val="18"/>
        </w:rPr>
        <w:t xml:space="preserve"> (Cth) sch 1 cl 5.</w:t>
      </w:r>
    </w:p>
  </w:footnote>
  <w:footnote w:id="973">
    <w:p w14:paraId="200F325F"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28AA(1)(a).</w:t>
      </w:r>
    </w:p>
  </w:footnote>
  <w:footnote w:id="974">
    <w:p w14:paraId="020C2CA6"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28AA(1)(b).</w:t>
      </w:r>
    </w:p>
  </w:footnote>
  <w:footnote w:id="975">
    <w:p w14:paraId="28199062"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28M(2).</w:t>
      </w:r>
    </w:p>
  </w:footnote>
  <w:footnote w:id="976">
    <w:p w14:paraId="77C4BC4B"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28AA(2), s 28M(3).</w:t>
      </w:r>
    </w:p>
  </w:footnote>
  <w:footnote w:id="977">
    <w:p w14:paraId="51787F08"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szCs w:val="18"/>
          <w:shd w:val="clear" w:color="auto" w:fill="FFFFFF"/>
        </w:rPr>
        <w:t xml:space="preserve">Australian Human Rights Commission, </w:t>
      </w:r>
      <w:r w:rsidRPr="00410DAB">
        <w:rPr>
          <w:rStyle w:val="findhit"/>
          <w:rFonts w:ascii="Public Sans" w:hAnsi="Public Sans"/>
          <w:i/>
          <w:iCs/>
          <w:szCs w:val="18"/>
          <w:shd w:val="clear" w:color="auto" w:fill="FFFFFF"/>
        </w:rPr>
        <w:t>R</w:t>
      </w:r>
      <w:r w:rsidRPr="00410DAB">
        <w:rPr>
          <w:rStyle w:val="findhit"/>
          <w:rFonts w:ascii="Public Sans" w:hAnsi="Public Sans"/>
          <w:szCs w:val="18"/>
          <w:shd w:val="clear" w:color="auto" w:fill="FFFFFF"/>
        </w:rPr>
        <w:t>e</w:t>
      </w:r>
      <w:r w:rsidRPr="00410DAB">
        <w:rPr>
          <w:rStyle w:val="findhit"/>
          <w:rFonts w:ascii="Public Sans" w:hAnsi="Public Sans"/>
          <w:i/>
          <w:iCs/>
          <w:szCs w:val="18"/>
          <w:shd w:val="clear" w:color="auto" w:fill="FFFFFF"/>
        </w:rPr>
        <w:t>spect</w:t>
      </w:r>
      <w:r w:rsidRPr="00410DAB">
        <w:rPr>
          <w:rStyle w:val="normaltextrun"/>
          <w:rFonts w:ascii="Public Sans" w:hAnsi="Public Sans"/>
          <w:i/>
          <w:iCs/>
          <w:szCs w:val="18"/>
          <w:shd w:val="clear" w:color="auto" w:fill="FFFFFF"/>
        </w:rPr>
        <w:t xml:space="preserve">@Work: National Inquiry into Sexual Harassment in Australian Workplaces </w:t>
      </w:r>
      <w:r w:rsidRPr="00410DAB">
        <w:rPr>
          <w:rStyle w:val="normaltextrun"/>
          <w:rFonts w:ascii="Public Sans" w:hAnsi="Public Sans"/>
          <w:szCs w:val="18"/>
          <w:shd w:val="clear" w:color="auto" w:fill="FFFFFF"/>
        </w:rPr>
        <w:t>(2020)</w:t>
      </w:r>
      <w:r w:rsidRPr="00410DAB">
        <w:rPr>
          <w:rStyle w:val="eop"/>
          <w:rFonts w:ascii="Public Sans" w:hAnsi="Public Sans"/>
          <w:szCs w:val="18"/>
          <w:shd w:val="clear" w:color="auto" w:fill="FFFFFF"/>
        </w:rPr>
        <w:t xml:space="preserve"> </w:t>
      </w:r>
      <w:r w:rsidRPr="00410DAB">
        <w:rPr>
          <w:rFonts w:ascii="Public Sans" w:hAnsi="Public Sans" w:cs="Arial"/>
          <w:szCs w:val="18"/>
        </w:rPr>
        <w:t xml:space="preserve">457, 460; </w:t>
      </w:r>
      <w:r w:rsidRPr="00410DAB">
        <w:rPr>
          <w:rStyle w:val="normaltextrun"/>
          <w:rFonts w:ascii="Public Sans" w:hAnsi="Public Sans"/>
          <w:szCs w:val="18"/>
          <w:shd w:val="clear" w:color="auto" w:fill="FFFFFF"/>
        </w:rPr>
        <w:t>Revised Explanatory Memorandum, Sex Discrimination and Fair Work (Respect at Work) Amendment Bill 2021 (Cth), Statement of Compatibility with Human Rights</w:t>
      </w:r>
      <w:r w:rsidRPr="00410DAB">
        <w:rPr>
          <w:rStyle w:val="eop"/>
          <w:rFonts w:ascii="Public Sans" w:hAnsi="Public Sans"/>
          <w:szCs w:val="18"/>
          <w:shd w:val="clear" w:color="auto" w:fill="FFFFFF"/>
        </w:rPr>
        <w:t> </w:t>
      </w:r>
      <w:r w:rsidRPr="00410DAB">
        <w:rPr>
          <w:rFonts w:ascii="Public Sans" w:hAnsi="Public Sans" w:cs="Arial"/>
          <w:szCs w:val="18"/>
        </w:rPr>
        <w:t xml:space="preserve">[12]. </w:t>
      </w:r>
    </w:p>
  </w:footnote>
  <w:footnote w:id="978">
    <w:p w14:paraId="16AE446E"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Women’s Legal Service NSW, </w:t>
      </w:r>
      <w:r w:rsidRPr="00410DAB">
        <w:rPr>
          <w:rFonts w:ascii="Public Sans" w:hAnsi="Public Sans" w:cs="Arial"/>
          <w:i/>
          <w:iCs/>
          <w:szCs w:val="18"/>
        </w:rPr>
        <w:t>Preliminary Submission PAD55</w:t>
      </w:r>
      <w:r w:rsidRPr="00410DAB">
        <w:rPr>
          <w:rFonts w:ascii="Public Sans" w:hAnsi="Public Sans" w:cs="Arial"/>
          <w:szCs w:val="18"/>
        </w:rPr>
        <w:t xml:space="preserve"> [43]–[45].</w:t>
      </w:r>
    </w:p>
  </w:footnote>
  <w:footnote w:id="979">
    <w:p w14:paraId="3683E05E"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szCs w:val="18"/>
          <w:shd w:val="clear" w:color="auto" w:fill="FFFFFF"/>
        </w:rPr>
        <w:t xml:space="preserve">Revised Explanatory Memorandum, </w:t>
      </w:r>
      <w:r w:rsidRPr="00410DAB">
        <w:rPr>
          <w:rStyle w:val="findhit"/>
          <w:rFonts w:ascii="Public Sans" w:hAnsi="Public Sans"/>
          <w:szCs w:val="18"/>
          <w:shd w:val="clear" w:color="auto" w:fill="FFFFFF"/>
        </w:rPr>
        <w:t>Anti-Discrimination and Human Rights</w:t>
      </w:r>
      <w:r w:rsidRPr="00410DAB">
        <w:rPr>
          <w:rStyle w:val="normaltextrun"/>
          <w:rFonts w:ascii="Public Sans" w:hAnsi="Public Sans"/>
          <w:szCs w:val="18"/>
          <w:shd w:val="clear" w:color="auto" w:fill="FFFFFF"/>
        </w:rPr>
        <w:t xml:space="preserve"> Legislation Amendment (Respect at Work) Bill 2022 (Cth)</w:t>
      </w:r>
      <w:r w:rsidRPr="00410DAB">
        <w:rPr>
          <w:rStyle w:val="eop"/>
          <w:rFonts w:ascii="Public Sans" w:hAnsi="Public Sans"/>
          <w:szCs w:val="18"/>
          <w:shd w:val="clear" w:color="auto" w:fill="FFFFFF"/>
        </w:rPr>
        <w:t> [6]. S</w:t>
      </w:r>
      <w:r w:rsidRPr="00410DAB">
        <w:rPr>
          <w:rFonts w:ascii="Public Sans" w:hAnsi="Public Sans" w:cs="Arial"/>
          <w:szCs w:val="18"/>
        </w:rPr>
        <w:t xml:space="preserve">ee also Australian Lawyers for Human Rights, </w:t>
      </w:r>
      <w:r w:rsidRPr="00410DAB">
        <w:rPr>
          <w:rFonts w:ascii="Public Sans" w:hAnsi="Public Sans" w:cs="Arial"/>
          <w:i/>
          <w:iCs/>
          <w:szCs w:val="18"/>
        </w:rPr>
        <w:t>Preliminary Submission PAD62</w:t>
      </w:r>
      <w:r w:rsidRPr="00410DAB">
        <w:rPr>
          <w:rFonts w:ascii="Public Sans" w:hAnsi="Public Sans" w:cs="Arial"/>
          <w:szCs w:val="18"/>
        </w:rPr>
        <w:t xml:space="preserve"> [6].</w:t>
      </w:r>
    </w:p>
  </w:footnote>
  <w:footnote w:id="980">
    <w:p w14:paraId="7C4336A9"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findhit"/>
          <w:rFonts w:ascii="Public Sans" w:hAnsi="Public Sans"/>
          <w:szCs w:val="18"/>
          <w:shd w:val="clear" w:color="auto" w:fill="FFFFFF"/>
        </w:rPr>
        <w:t>Queensland</w:t>
      </w:r>
      <w:r w:rsidRPr="00410DAB">
        <w:rPr>
          <w:rStyle w:val="normaltextrun"/>
          <w:rFonts w:ascii="Public Sans" w:hAnsi="Public Sans"/>
          <w:szCs w:val="18"/>
          <w:shd w:val="clear" w:color="auto" w:fill="FFFFFF"/>
        </w:rPr>
        <w:t xml:space="preserve"> Human Rights Commission, </w:t>
      </w:r>
      <w:r w:rsidRPr="00410DAB">
        <w:rPr>
          <w:rStyle w:val="normaltextrun"/>
          <w:rFonts w:ascii="Public Sans" w:hAnsi="Public Sans"/>
          <w:i/>
          <w:iCs/>
          <w:szCs w:val="18"/>
          <w:shd w:val="clear" w:color="auto" w:fill="FFFFFF"/>
        </w:rPr>
        <w:t xml:space="preserve">Building Belonging: Review of </w:t>
      </w:r>
      <w:r w:rsidRPr="00410DAB">
        <w:rPr>
          <w:rStyle w:val="findhit"/>
          <w:rFonts w:ascii="Public Sans" w:hAnsi="Public Sans"/>
          <w:i/>
          <w:iCs/>
          <w:szCs w:val="18"/>
          <w:shd w:val="clear" w:color="auto" w:fill="FFFFFF"/>
        </w:rPr>
        <w:t>Queensland</w:t>
      </w:r>
      <w:r w:rsidRPr="00410DAB">
        <w:rPr>
          <w:rStyle w:val="normaltextrun"/>
          <w:rFonts w:ascii="Public Sans" w:hAnsi="Public Sans"/>
          <w:i/>
          <w:iCs/>
          <w:szCs w:val="18"/>
          <w:shd w:val="clear" w:color="auto" w:fill="FFFFFF"/>
        </w:rPr>
        <w:t xml:space="preserve">’s Anti-Discrimination Act 1991 </w:t>
      </w:r>
      <w:r w:rsidRPr="00410DAB">
        <w:rPr>
          <w:rStyle w:val="normaltextrun"/>
          <w:rFonts w:ascii="Public Sans" w:hAnsi="Public Sans"/>
          <w:szCs w:val="18"/>
          <w:shd w:val="clear" w:color="auto" w:fill="FFFFFF"/>
        </w:rPr>
        <w:t>(2022)</w:t>
      </w:r>
      <w:r w:rsidRPr="00410DAB">
        <w:rPr>
          <w:rStyle w:val="eop"/>
          <w:rFonts w:ascii="Public Sans" w:hAnsi="Public Sans"/>
          <w:szCs w:val="18"/>
          <w:shd w:val="clear" w:color="auto" w:fill="FFFFFF"/>
        </w:rPr>
        <w:t xml:space="preserve"> 136–137, </w:t>
      </w:r>
      <w:r w:rsidRPr="00410DAB">
        <w:rPr>
          <w:rFonts w:ascii="Public Sans" w:hAnsi="Public Sans" w:cs="Arial"/>
          <w:szCs w:val="18"/>
        </w:rPr>
        <w:t>140</w:t>
      </w:r>
      <w:r w:rsidRPr="00410DAB">
        <w:rPr>
          <w:rStyle w:val="eop"/>
          <w:rFonts w:ascii="Public Sans" w:hAnsi="Public Sans"/>
          <w:szCs w:val="18"/>
          <w:shd w:val="clear" w:color="auto" w:fill="FFFFFF"/>
        </w:rPr>
        <w:t>–</w:t>
      </w:r>
      <w:r w:rsidRPr="00410DAB">
        <w:rPr>
          <w:rFonts w:ascii="Public Sans" w:hAnsi="Public Sans" w:cs="Arial"/>
          <w:szCs w:val="18"/>
        </w:rPr>
        <w:t xml:space="preserve">141; </w:t>
      </w:r>
      <w:r w:rsidRPr="00410DAB">
        <w:rPr>
          <w:rStyle w:val="normaltextrun"/>
          <w:rFonts w:ascii="Public Sans" w:hAnsi="Public Sans"/>
          <w:szCs w:val="18"/>
          <w:shd w:val="clear" w:color="auto" w:fill="FFFFFF"/>
        </w:rPr>
        <w:t xml:space="preserve">Australian Human Rights Commission, </w:t>
      </w:r>
      <w:r w:rsidRPr="00410DAB">
        <w:rPr>
          <w:rStyle w:val="findhit"/>
          <w:rFonts w:ascii="Public Sans" w:hAnsi="Public Sans"/>
          <w:i/>
          <w:iCs/>
          <w:szCs w:val="18"/>
          <w:shd w:val="clear" w:color="auto" w:fill="FFFFFF"/>
        </w:rPr>
        <w:t>R</w:t>
      </w:r>
      <w:r w:rsidRPr="00410DAB">
        <w:rPr>
          <w:rStyle w:val="findhit"/>
          <w:rFonts w:ascii="Public Sans" w:hAnsi="Public Sans"/>
          <w:szCs w:val="18"/>
          <w:shd w:val="clear" w:color="auto" w:fill="FFFFFF"/>
        </w:rPr>
        <w:t>e</w:t>
      </w:r>
      <w:r w:rsidRPr="00410DAB">
        <w:rPr>
          <w:rStyle w:val="findhit"/>
          <w:rFonts w:ascii="Public Sans" w:hAnsi="Public Sans"/>
          <w:i/>
          <w:iCs/>
          <w:szCs w:val="18"/>
          <w:shd w:val="clear" w:color="auto" w:fill="FFFFFF"/>
        </w:rPr>
        <w:t>spect</w:t>
      </w:r>
      <w:r w:rsidRPr="00410DAB">
        <w:rPr>
          <w:rStyle w:val="normaltextrun"/>
          <w:rFonts w:ascii="Public Sans" w:hAnsi="Public Sans"/>
          <w:i/>
          <w:iCs/>
          <w:szCs w:val="18"/>
          <w:shd w:val="clear" w:color="auto" w:fill="FFFFFF"/>
        </w:rPr>
        <w:t xml:space="preserve">@Work: National Inquiry into Sexual Harassment in Australian Workplaces </w:t>
      </w:r>
      <w:r w:rsidRPr="00410DAB">
        <w:rPr>
          <w:rStyle w:val="normaltextrun"/>
          <w:rFonts w:ascii="Public Sans" w:hAnsi="Public Sans"/>
          <w:szCs w:val="18"/>
          <w:shd w:val="clear" w:color="auto" w:fill="FFFFFF"/>
        </w:rPr>
        <w:t>(2020)</w:t>
      </w:r>
      <w:r w:rsidRPr="00410DAB">
        <w:rPr>
          <w:rStyle w:val="eop"/>
          <w:rFonts w:ascii="Public Sans" w:hAnsi="Public Sans"/>
          <w:szCs w:val="18"/>
          <w:shd w:val="clear" w:color="auto" w:fill="FFFFFF"/>
        </w:rPr>
        <w:t xml:space="preserve"> </w:t>
      </w:r>
      <w:r w:rsidRPr="00410DAB">
        <w:rPr>
          <w:rFonts w:ascii="Public Sans" w:hAnsi="Public Sans" w:cs="Arial"/>
          <w:szCs w:val="18"/>
        </w:rPr>
        <w:t>460.</w:t>
      </w:r>
    </w:p>
  </w:footnote>
  <w:footnote w:id="981">
    <w:p w14:paraId="3994DA4B"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findhit"/>
          <w:rFonts w:ascii="Public Sans" w:hAnsi="Public Sans"/>
          <w:szCs w:val="18"/>
          <w:shd w:val="clear" w:color="auto" w:fill="FFFFFF"/>
        </w:rPr>
        <w:t>Queensland</w:t>
      </w:r>
      <w:r w:rsidRPr="00410DAB">
        <w:rPr>
          <w:rStyle w:val="normaltextrun"/>
          <w:rFonts w:ascii="Public Sans" w:hAnsi="Public Sans"/>
          <w:szCs w:val="18"/>
          <w:shd w:val="clear" w:color="auto" w:fill="FFFFFF"/>
        </w:rPr>
        <w:t xml:space="preserve"> Human Rights Commission, </w:t>
      </w:r>
      <w:r w:rsidRPr="00410DAB">
        <w:rPr>
          <w:rStyle w:val="normaltextrun"/>
          <w:rFonts w:ascii="Public Sans" w:hAnsi="Public Sans"/>
          <w:i/>
          <w:iCs/>
          <w:szCs w:val="18"/>
          <w:shd w:val="clear" w:color="auto" w:fill="FFFFFF"/>
        </w:rPr>
        <w:t xml:space="preserve">Building Belonging: Review of </w:t>
      </w:r>
      <w:r w:rsidRPr="00410DAB">
        <w:rPr>
          <w:rStyle w:val="findhit"/>
          <w:rFonts w:ascii="Public Sans" w:hAnsi="Public Sans"/>
          <w:i/>
          <w:iCs/>
          <w:szCs w:val="18"/>
          <w:shd w:val="clear" w:color="auto" w:fill="FFFFFF"/>
        </w:rPr>
        <w:t>Queensland</w:t>
      </w:r>
      <w:r w:rsidRPr="00410DAB">
        <w:rPr>
          <w:rStyle w:val="normaltextrun"/>
          <w:rFonts w:ascii="Public Sans" w:hAnsi="Public Sans"/>
          <w:i/>
          <w:iCs/>
          <w:szCs w:val="18"/>
          <w:shd w:val="clear" w:color="auto" w:fill="FFFFFF"/>
        </w:rPr>
        <w:t xml:space="preserve">’s Anti-Discrimination Act 1991 </w:t>
      </w:r>
      <w:r w:rsidRPr="00410DAB">
        <w:rPr>
          <w:rStyle w:val="normaltextrun"/>
          <w:rFonts w:ascii="Public Sans" w:hAnsi="Public Sans"/>
          <w:szCs w:val="18"/>
          <w:shd w:val="clear" w:color="auto" w:fill="FFFFFF"/>
        </w:rPr>
        <w:t>(2022)</w:t>
      </w:r>
      <w:r w:rsidRPr="00410DAB">
        <w:rPr>
          <w:rStyle w:val="eop"/>
          <w:rFonts w:ascii="Public Sans" w:hAnsi="Public Sans"/>
          <w:szCs w:val="18"/>
          <w:shd w:val="clear" w:color="auto" w:fill="FFFFFF"/>
        </w:rPr>
        <w:t xml:space="preserve"> </w:t>
      </w:r>
      <w:r w:rsidRPr="00410DAB">
        <w:rPr>
          <w:rFonts w:ascii="Public Sans" w:hAnsi="Public Sans" w:cs="Arial"/>
          <w:szCs w:val="18"/>
        </w:rPr>
        <w:t>141.</w:t>
      </w:r>
    </w:p>
  </w:footnote>
  <w:footnote w:id="982">
    <w:p w14:paraId="1E87547A"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w:t>
      </w:r>
      <w:r w:rsidRPr="00410DAB">
        <w:rPr>
          <w:rStyle w:val="normaltextrun"/>
          <w:rFonts w:ascii="Public Sans" w:hAnsi="Public Sans"/>
          <w:szCs w:val="18"/>
          <w:shd w:val="clear" w:color="auto" w:fill="FFFFFF"/>
        </w:rPr>
        <w:t xml:space="preserve">Australian Human Rights Commission, </w:t>
      </w:r>
      <w:r w:rsidRPr="00410DAB">
        <w:rPr>
          <w:rStyle w:val="findhit"/>
          <w:rFonts w:ascii="Public Sans" w:hAnsi="Public Sans"/>
          <w:i/>
          <w:iCs/>
          <w:szCs w:val="18"/>
          <w:shd w:val="clear" w:color="auto" w:fill="FFFFFF"/>
        </w:rPr>
        <w:t>R</w:t>
      </w:r>
      <w:r w:rsidRPr="00410DAB">
        <w:rPr>
          <w:rStyle w:val="findhit"/>
          <w:rFonts w:ascii="Public Sans" w:hAnsi="Public Sans"/>
          <w:szCs w:val="18"/>
          <w:shd w:val="clear" w:color="auto" w:fill="FFFFFF"/>
        </w:rPr>
        <w:t>e</w:t>
      </w:r>
      <w:r w:rsidRPr="00410DAB">
        <w:rPr>
          <w:rStyle w:val="findhit"/>
          <w:rFonts w:ascii="Public Sans" w:hAnsi="Public Sans"/>
          <w:i/>
          <w:iCs/>
          <w:szCs w:val="18"/>
          <w:shd w:val="clear" w:color="auto" w:fill="FFFFFF"/>
        </w:rPr>
        <w:t>spect</w:t>
      </w:r>
      <w:r w:rsidRPr="00410DAB">
        <w:rPr>
          <w:rStyle w:val="normaltextrun"/>
          <w:rFonts w:ascii="Public Sans" w:hAnsi="Public Sans"/>
          <w:i/>
          <w:iCs/>
          <w:szCs w:val="18"/>
          <w:shd w:val="clear" w:color="auto" w:fill="FFFFFF"/>
        </w:rPr>
        <w:t xml:space="preserve">@Work: National Inquiry into Sexual Harassment in Australian Workplaces </w:t>
      </w:r>
      <w:r w:rsidRPr="00410DAB">
        <w:rPr>
          <w:rStyle w:val="normaltextrun"/>
          <w:rFonts w:ascii="Public Sans" w:hAnsi="Public Sans"/>
          <w:szCs w:val="18"/>
          <w:shd w:val="clear" w:color="auto" w:fill="FFFFFF"/>
        </w:rPr>
        <w:t>(2020)</w:t>
      </w:r>
      <w:r w:rsidRPr="00410DAB">
        <w:rPr>
          <w:rStyle w:val="eop"/>
          <w:rFonts w:ascii="Public Sans" w:hAnsi="Public Sans"/>
          <w:szCs w:val="18"/>
          <w:shd w:val="clear" w:color="auto" w:fill="FFFFFF"/>
        </w:rPr>
        <w:t xml:space="preserve"> </w:t>
      </w:r>
      <w:r w:rsidRPr="00410DAB">
        <w:rPr>
          <w:rFonts w:ascii="Public Sans" w:hAnsi="Public Sans" w:cs="Arial"/>
          <w:szCs w:val="18"/>
        </w:rPr>
        <w:t xml:space="preserve">460; </w:t>
      </w:r>
      <w:r w:rsidRPr="00410DAB">
        <w:rPr>
          <w:rStyle w:val="findhit"/>
          <w:rFonts w:ascii="Public Sans" w:hAnsi="Public Sans"/>
          <w:szCs w:val="18"/>
          <w:shd w:val="clear" w:color="auto" w:fill="FFFFFF"/>
        </w:rPr>
        <w:t>Queensland</w:t>
      </w:r>
      <w:r w:rsidRPr="00410DAB">
        <w:rPr>
          <w:rStyle w:val="normaltextrun"/>
          <w:rFonts w:ascii="Public Sans" w:hAnsi="Public Sans"/>
          <w:szCs w:val="18"/>
          <w:shd w:val="clear" w:color="auto" w:fill="FFFFFF"/>
        </w:rPr>
        <w:t xml:space="preserve"> Human Rights Commission, </w:t>
      </w:r>
      <w:r w:rsidRPr="00410DAB">
        <w:rPr>
          <w:rStyle w:val="normaltextrun"/>
          <w:rFonts w:ascii="Public Sans" w:hAnsi="Public Sans"/>
          <w:i/>
          <w:iCs/>
          <w:szCs w:val="18"/>
          <w:shd w:val="clear" w:color="auto" w:fill="FFFFFF"/>
        </w:rPr>
        <w:t xml:space="preserve">Building Belonging: Review of </w:t>
      </w:r>
      <w:r w:rsidRPr="00410DAB">
        <w:rPr>
          <w:rStyle w:val="findhit"/>
          <w:rFonts w:ascii="Public Sans" w:hAnsi="Public Sans"/>
          <w:i/>
          <w:iCs/>
          <w:szCs w:val="18"/>
          <w:shd w:val="clear" w:color="auto" w:fill="FFFFFF"/>
        </w:rPr>
        <w:t>Queensland</w:t>
      </w:r>
      <w:r w:rsidRPr="00410DAB">
        <w:rPr>
          <w:rStyle w:val="normaltextrun"/>
          <w:rFonts w:ascii="Public Sans" w:hAnsi="Public Sans"/>
          <w:i/>
          <w:iCs/>
          <w:szCs w:val="18"/>
          <w:shd w:val="clear" w:color="auto" w:fill="FFFFFF"/>
        </w:rPr>
        <w:t xml:space="preserve">’s Anti-Discrimination Act 1991 </w:t>
      </w:r>
      <w:r w:rsidRPr="00410DAB">
        <w:rPr>
          <w:rStyle w:val="normaltextrun"/>
          <w:rFonts w:ascii="Public Sans" w:hAnsi="Public Sans"/>
          <w:szCs w:val="18"/>
          <w:shd w:val="clear" w:color="auto" w:fill="FFFFFF"/>
        </w:rPr>
        <w:t>(2022)</w:t>
      </w:r>
      <w:r w:rsidRPr="00410DAB">
        <w:rPr>
          <w:rStyle w:val="eop"/>
          <w:rFonts w:ascii="Public Sans" w:hAnsi="Public Sans"/>
          <w:szCs w:val="18"/>
          <w:shd w:val="clear" w:color="auto" w:fill="FFFFFF"/>
        </w:rPr>
        <w:t xml:space="preserve"> 135, 141. </w:t>
      </w:r>
    </w:p>
  </w:footnote>
  <w:footnote w:id="983">
    <w:p w14:paraId="48C08F02"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szCs w:val="18"/>
          <w:shd w:val="clear" w:color="auto" w:fill="FFFFFF"/>
        </w:rPr>
        <w:t>Australian Discrimination Law Experts Group, Submission to the Senate Standing Committees on Legal and Constitutional Affairs</w:t>
      </w:r>
      <w:r w:rsidRPr="00410DAB">
        <w:rPr>
          <w:rStyle w:val="normaltextrun"/>
          <w:rFonts w:ascii="Public Sans" w:hAnsi="Public Sans"/>
          <w:i/>
          <w:iCs/>
          <w:szCs w:val="18"/>
          <w:shd w:val="clear" w:color="auto" w:fill="FFFFFF"/>
        </w:rPr>
        <w:t>, Inquiry into the Anti-Discrimination and Human Rights Legislation Amendment (Respect at Work) Bill 2022</w:t>
      </w:r>
      <w:r w:rsidRPr="00410DAB">
        <w:rPr>
          <w:rStyle w:val="normaltextrun"/>
          <w:rFonts w:ascii="Public Sans" w:hAnsi="Public Sans"/>
          <w:szCs w:val="18"/>
          <w:shd w:val="clear" w:color="auto" w:fill="FFFFFF"/>
        </w:rPr>
        <w:t xml:space="preserve"> (11 October 2022) [10].</w:t>
      </w:r>
    </w:p>
  </w:footnote>
  <w:footnote w:id="984">
    <w:p w14:paraId="1E3B0C88"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findhit"/>
          <w:rFonts w:ascii="Public Sans" w:hAnsi="Public Sans"/>
          <w:szCs w:val="18"/>
          <w:shd w:val="clear" w:color="auto" w:fill="FFFFFF"/>
        </w:rPr>
        <w:t>Queensland</w:t>
      </w:r>
      <w:r w:rsidRPr="00410DAB">
        <w:rPr>
          <w:rStyle w:val="normaltextrun"/>
          <w:rFonts w:ascii="Public Sans" w:hAnsi="Public Sans"/>
          <w:szCs w:val="18"/>
          <w:shd w:val="clear" w:color="auto" w:fill="FFFFFF"/>
        </w:rPr>
        <w:t xml:space="preserve"> Human Rights Commission, </w:t>
      </w:r>
      <w:r w:rsidRPr="00410DAB">
        <w:rPr>
          <w:rStyle w:val="normaltextrun"/>
          <w:rFonts w:ascii="Public Sans" w:hAnsi="Public Sans"/>
          <w:i/>
          <w:iCs/>
          <w:szCs w:val="18"/>
          <w:shd w:val="clear" w:color="auto" w:fill="FFFFFF"/>
        </w:rPr>
        <w:t xml:space="preserve">Building Belonging: Review of </w:t>
      </w:r>
      <w:r w:rsidRPr="00410DAB">
        <w:rPr>
          <w:rStyle w:val="findhit"/>
          <w:rFonts w:ascii="Public Sans" w:hAnsi="Public Sans"/>
          <w:i/>
          <w:iCs/>
          <w:szCs w:val="18"/>
          <w:shd w:val="clear" w:color="auto" w:fill="FFFFFF"/>
        </w:rPr>
        <w:t>Queensland</w:t>
      </w:r>
      <w:r w:rsidRPr="00410DAB">
        <w:rPr>
          <w:rStyle w:val="normaltextrun"/>
          <w:rFonts w:ascii="Public Sans" w:hAnsi="Public Sans"/>
          <w:i/>
          <w:iCs/>
          <w:szCs w:val="18"/>
          <w:shd w:val="clear" w:color="auto" w:fill="FFFFFF"/>
        </w:rPr>
        <w:t xml:space="preserve">’s Anti-Discrimination Act 1991 </w:t>
      </w:r>
      <w:r w:rsidRPr="00410DAB">
        <w:rPr>
          <w:rStyle w:val="normaltextrun"/>
          <w:rFonts w:ascii="Public Sans" w:hAnsi="Public Sans"/>
          <w:szCs w:val="18"/>
          <w:shd w:val="clear" w:color="auto" w:fill="FFFFFF"/>
        </w:rPr>
        <w:t>(2022)</w:t>
      </w:r>
      <w:r w:rsidRPr="00410DAB">
        <w:rPr>
          <w:rStyle w:val="eop"/>
          <w:rFonts w:ascii="Public Sans" w:hAnsi="Public Sans"/>
          <w:szCs w:val="18"/>
          <w:shd w:val="clear" w:color="auto" w:fill="FFFFFF"/>
        </w:rPr>
        <w:t xml:space="preserve"> 136–137.</w:t>
      </w:r>
    </w:p>
  </w:footnote>
  <w:footnote w:id="985">
    <w:p w14:paraId="5A5C77D9"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szCs w:val="18"/>
          <w:shd w:val="clear" w:color="auto" w:fill="FFFFFF"/>
        </w:rPr>
        <w:t>Australian Discrimination Law Experts Group, Submission to the Senate Standing Committees on Legal and Constitutional Affairs</w:t>
      </w:r>
      <w:r w:rsidRPr="00410DAB">
        <w:rPr>
          <w:rStyle w:val="normaltextrun"/>
          <w:rFonts w:ascii="Public Sans" w:hAnsi="Public Sans"/>
          <w:i/>
          <w:iCs/>
          <w:szCs w:val="18"/>
          <w:shd w:val="clear" w:color="auto" w:fill="FFFFFF"/>
        </w:rPr>
        <w:t>, Inquiry into the Anti-Discrimination and Human Rights Legislation Amendment (Respect at Work) Bill 2022</w:t>
      </w:r>
      <w:r w:rsidRPr="00410DAB">
        <w:rPr>
          <w:rStyle w:val="normaltextrun"/>
          <w:rFonts w:ascii="Public Sans" w:hAnsi="Public Sans"/>
          <w:szCs w:val="18"/>
          <w:shd w:val="clear" w:color="auto" w:fill="FFFFFF"/>
        </w:rPr>
        <w:t xml:space="preserve"> (11 October 2022)</w:t>
      </w:r>
      <w:r w:rsidRPr="00410DAB">
        <w:rPr>
          <w:rStyle w:val="eop"/>
          <w:rFonts w:ascii="Public Sans" w:hAnsi="Public Sans"/>
          <w:szCs w:val="18"/>
          <w:shd w:val="clear" w:color="auto" w:fill="FFFFFF"/>
        </w:rPr>
        <w:t xml:space="preserve"> </w:t>
      </w:r>
      <w:r w:rsidRPr="00410DAB">
        <w:rPr>
          <w:rFonts w:ascii="Public Sans" w:hAnsi="Public Sans"/>
          <w:szCs w:val="18"/>
        </w:rPr>
        <w:t>[16].</w:t>
      </w:r>
    </w:p>
  </w:footnote>
  <w:footnote w:id="986">
    <w:p w14:paraId="286EB3BF"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szCs w:val="18"/>
          <w:shd w:val="clear" w:color="auto" w:fill="FFFFFF"/>
        </w:rPr>
        <w:t>Australian Discrimination Law Experts Group, Submission to the Senate Standing Committees on Legal and Constitutional Affairs</w:t>
      </w:r>
      <w:r w:rsidRPr="00410DAB">
        <w:rPr>
          <w:rStyle w:val="normaltextrun"/>
          <w:rFonts w:ascii="Public Sans" w:hAnsi="Public Sans"/>
          <w:i/>
          <w:iCs/>
          <w:szCs w:val="18"/>
          <w:shd w:val="clear" w:color="auto" w:fill="FFFFFF"/>
        </w:rPr>
        <w:t>, Inquiry into the Anti-Discrimination and Human Rights Legislation Amendment (Respect at Work) Bill 2022</w:t>
      </w:r>
      <w:r w:rsidRPr="00410DAB">
        <w:rPr>
          <w:rStyle w:val="normaltextrun"/>
          <w:rFonts w:ascii="Public Sans" w:hAnsi="Public Sans"/>
          <w:szCs w:val="18"/>
          <w:shd w:val="clear" w:color="auto" w:fill="FFFFFF"/>
        </w:rPr>
        <w:t xml:space="preserve"> (11 October 2022)</w:t>
      </w:r>
      <w:r w:rsidRPr="00410DAB">
        <w:rPr>
          <w:rStyle w:val="eop"/>
          <w:rFonts w:ascii="Public Sans" w:hAnsi="Public Sans"/>
          <w:szCs w:val="18"/>
          <w:shd w:val="clear" w:color="auto" w:fill="FFFFFF"/>
        </w:rPr>
        <w:t xml:space="preserve"> [12].</w:t>
      </w:r>
    </w:p>
  </w:footnote>
  <w:footnote w:id="987">
    <w:p w14:paraId="39F28027"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22B–s22J.</w:t>
      </w:r>
    </w:p>
  </w:footnote>
  <w:footnote w:id="988">
    <w:p w14:paraId="272B22E0"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22F, s 22G, s 22I, s 22J.</w:t>
      </w:r>
    </w:p>
  </w:footnote>
  <w:footnote w:id="989">
    <w:p w14:paraId="3CE5A286"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22C, s 22D.</w:t>
      </w:r>
    </w:p>
  </w:footnote>
  <w:footnote w:id="990">
    <w:p w14:paraId="5098BC88"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22E.</w:t>
      </w:r>
    </w:p>
  </w:footnote>
  <w:footnote w:id="991">
    <w:p w14:paraId="0E857CAF" w14:textId="77777777" w:rsidR="00BC7971" w:rsidRPr="00410DAB" w:rsidRDefault="00BC7971" w:rsidP="00BC7971">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Sex Discrimination Act 1984</w:t>
      </w:r>
      <w:r w:rsidRPr="00410DAB">
        <w:rPr>
          <w:rFonts w:ascii="Public Sans" w:hAnsi="Public Sans"/>
          <w:szCs w:val="18"/>
        </w:rPr>
        <w:t xml:space="preserve"> (Cth) s 28D, s 28K. </w:t>
      </w:r>
    </w:p>
  </w:footnote>
  <w:footnote w:id="992">
    <w:p w14:paraId="320CFFCB"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28B(3)–(8).</w:t>
      </w:r>
    </w:p>
  </w:footnote>
  <w:footnote w:id="993">
    <w:p w14:paraId="37BDEDC2"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Work Health and Safety Act 2011</w:t>
      </w:r>
      <w:r w:rsidRPr="00410DAB">
        <w:rPr>
          <w:rFonts w:ascii="Public Sans" w:hAnsi="Public Sans" w:cs="Arial"/>
          <w:szCs w:val="18"/>
        </w:rPr>
        <w:t xml:space="preserve"> (NSW) s 7(1) definition of “worker”.</w:t>
      </w:r>
    </w:p>
  </w:footnote>
  <w:footnote w:id="994">
    <w:p w14:paraId="0C56EB3E"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Work Health and Safety Act 2011</w:t>
      </w:r>
      <w:r w:rsidRPr="00410DAB">
        <w:rPr>
          <w:rFonts w:ascii="Public Sans" w:hAnsi="Public Sans" w:cs="Arial"/>
          <w:szCs w:val="18"/>
        </w:rPr>
        <w:t xml:space="preserve"> (NSW) s 5(1) definition of “person conducting a business or undertaking”.</w:t>
      </w:r>
    </w:p>
  </w:footnote>
  <w:footnote w:id="995">
    <w:p w14:paraId="7D8B7319"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22B(1)–(5).</w:t>
      </w:r>
    </w:p>
  </w:footnote>
  <w:footnote w:id="996">
    <w:p w14:paraId="69CB9485"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22B(6).</w:t>
      </w:r>
    </w:p>
  </w:footnote>
  <w:footnote w:id="997">
    <w:p w14:paraId="420D97B2"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22B(9) definition of “workplace participant”.</w:t>
      </w:r>
    </w:p>
  </w:footnote>
  <w:footnote w:id="998">
    <w:p w14:paraId="1E81584A"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22B(9) definition of “workplace”.</w:t>
      </w:r>
    </w:p>
  </w:footnote>
  <w:footnote w:id="999">
    <w:p w14:paraId="6324D371"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w:t>
      </w:r>
      <w:r w:rsidRPr="00410DAB">
        <w:rPr>
          <w:rFonts w:ascii="Public Sans" w:hAnsi="Public Sans" w:cs="Arial"/>
          <w:i/>
          <w:iCs/>
          <w:szCs w:val="18"/>
        </w:rPr>
        <w:t>Ewin v Vergara (No 3)</w:t>
      </w:r>
      <w:r w:rsidRPr="00410DAB">
        <w:rPr>
          <w:rFonts w:ascii="Public Sans" w:hAnsi="Public Sans" w:cs="Arial"/>
          <w:szCs w:val="18"/>
        </w:rPr>
        <w:t xml:space="preserve"> [2013] FCA 1311; </w:t>
      </w:r>
      <w:r w:rsidRPr="00410DAB">
        <w:rPr>
          <w:rFonts w:ascii="Public Sans" w:hAnsi="Public Sans" w:cs="Arial"/>
          <w:i/>
          <w:iCs/>
          <w:szCs w:val="18"/>
        </w:rPr>
        <w:t>South Pacific Resort Hotels Pty Ltd v Trainor</w:t>
      </w:r>
      <w:r w:rsidRPr="00410DAB">
        <w:rPr>
          <w:rFonts w:ascii="Public Sans" w:hAnsi="Public Sans" w:cs="Arial"/>
          <w:szCs w:val="18"/>
        </w:rPr>
        <w:t xml:space="preserve"> [2005] FCAFC 130, 144 FCR 402. These cases discuss the definition of “workplace” in the </w:t>
      </w:r>
      <w:r w:rsidRPr="00410DAB">
        <w:rPr>
          <w:rFonts w:ascii="Public Sans" w:hAnsi="Public Sans" w:cs="Arial"/>
          <w:i/>
          <w:iCs/>
          <w:szCs w:val="18"/>
        </w:rPr>
        <w:t>Sex Discrimination Act</w:t>
      </w:r>
      <w:r w:rsidRPr="00410DAB">
        <w:rPr>
          <w:rFonts w:ascii="Public Sans" w:hAnsi="Public Sans" w:cs="Arial"/>
          <w:szCs w:val="18"/>
        </w:rPr>
        <w:t>, which was the same as the ADA definition at the time.</w:t>
      </w:r>
    </w:p>
  </w:footnote>
  <w:footnote w:id="1000">
    <w:p w14:paraId="16D0779C" w14:textId="77777777" w:rsidR="00BC7971" w:rsidRPr="00410DAB" w:rsidRDefault="00BC7971" w:rsidP="00BC7971">
      <w:pPr>
        <w:pStyle w:val="FootnoteText"/>
        <w:rPr>
          <w:rFonts w:ascii="Public Sans" w:hAnsi="Public Sans" w:cs="Arial"/>
          <w:color w:val="FF0000"/>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Law Reform Commission, </w:t>
      </w:r>
      <w:r w:rsidRPr="00410DAB">
        <w:rPr>
          <w:rFonts w:ascii="Public Sans" w:hAnsi="Public Sans" w:cs="Arial"/>
          <w:i/>
          <w:iCs/>
        </w:rPr>
        <w:t>Safe, Informed, Supported: Reforming Justice Responses to Sexual Violence</w:t>
      </w:r>
      <w:r w:rsidRPr="00410DAB">
        <w:rPr>
          <w:rFonts w:ascii="Public Sans" w:hAnsi="Public Sans" w:cs="Arial"/>
        </w:rPr>
        <w:t xml:space="preserve">, Report 143 (2025) rec 48. </w:t>
      </w:r>
    </w:p>
  </w:footnote>
  <w:footnote w:id="1001">
    <w:p w14:paraId="5689622E" w14:textId="77777777" w:rsidR="00BC7971" w:rsidRPr="00410DAB" w:rsidRDefault="00BC7971" w:rsidP="00BC7971">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Law Reform Commission, </w:t>
      </w:r>
      <w:r w:rsidRPr="00410DAB">
        <w:rPr>
          <w:rFonts w:ascii="Public Sans" w:hAnsi="Public Sans" w:cs="Arial"/>
          <w:i/>
          <w:iCs/>
        </w:rPr>
        <w:t>Safe, Informed, Supported: Reforming Justice Responses to Sexual Violence</w:t>
      </w:r>
      <w:r w:rsidRPr="00410DAB">
        <w:rPr>
          <w:rFonts w:ascii="Public Sans" w:hAnsi="Public Sans" w:cs="Arial"/>
        </w:rPr>
        <w:t>, Report 143 (2025) rec 49.</w:t>
      </w:r>
    </w:p>
  </w:footnote>
  <w:footnote w:id="1002">
    <w:p w14:paraId="6F8855A0"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Fair Work Act 2009</w:t>
      </w:r>
      <w:r w:rsidRPr="00410DAB">
        <w:rPr>
          <w:rFonts w:ascii="Public Sans" w:hAnsi="Public Sans" w:cs="Arial"/>
          <w:szCs w:val="18"/>
        </w:rPr>
        <w:t xml:space="preserve"> (Cth) s 527D; </w:t>
      </w:r>
      <w:r w:rsidRPr="00410DAB">
        <w:rPr>
          <w:rFonts w:ascii="Public Sans" w:hAnsi="Public Sans" w:cs="Arial"/>
          <w:i/>
          <w:iCs/>
          <w:szCs w:val="18"/>
        </w:rPr>
        <w:t>Work Health and Safety Act 2011</w:t>
      </w:r>
      <w:r w:rsidRPr="00410DAB">
        <w:rPr>
          <w:rFonts w:ascii="Public Sans" w:hAnsi="Public Sans" w:cs="Arial"/>
          <w:szCs w:val="18"/>
        </w:rPr>
        <w:t xml:space="preserve"> (NSW) s 19; </w:t>
      </w:r>
      <w:r w:rsidRPr="00410DAB">
        <w:rPr>
          <w:rFonts w:ascii="Public Sans" w:hAnsi="Public Sans" w:cs="Arial"/>
          <w:i/>
          <w:iCs/>
          <w:szCs w:val="18"/>
        </w:rPr>
        <w:t>Work Health and Safety Regulation 2017</w:t>
      </w:r>
      <w:r w:rsidRPr="00410DAB">
        <w:rPr>
          <w:rFonts w:ascii="Public Sans" w:hAnsi="Public Sans" w:cs="Arial"/>
          <w:szCs w:val="18"/>
        </w:rPr>
        <w:t xml:space="preserve"> (NSW) pt 3.2 div 11.</w:t>
      </w:r>
    </w:p>
  </w:footnote>
  <w:footnote w:id="1003">
    <w:p w14:paraId="5C49CFF0"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Fair Work Act 2009</w:t>
      </w:r>
      <w:r w:rsidRPr="00410DAB">
        <w:rPr>
          <w:rFonts w:ascii="Public Sans" w:hAnsi="Public Sans" w:cs="Arial"/>
          <w:szCs w:val="18"/>
        </w:rPr>
        <w:t xml:space="preserve"> (Cth) s 527D(2) definition of “worker”; </w:t>
      </w:r>
      <w:r w:rsidRPr="00410DAB">
        <w:rPr>
          <w:rFonts w:ascii="Public Sans" w:hAnsi="Public Sans" w:cs="Arial"/>
          <w:i/>
          <w:iCs/>
          <w:szCs w:val="18"/>
        </w:rPr>
        <w:t>Work Health and Safety Act 2011</w:t>
      </w:r>
      <w:r w:rsidRPr="00410DAB">
        <w:rPr>
          <w:rFonts w:ascii="Public Sans" w:hAnsi="Public Sans" w:cs="Arial"/>
          <w:szCs w:val="18"/>
        </w:rPr>
        <w:t xml:space="preserve"> (Cth) s 7 definition of “worker”.</w:t>
      </w:r>
    </w:p>
  </w:footnote>
  <w:footnote w:id="1004">
    <w:p w14:paraId="16BB0AEC"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Fair Work Act 2009</w:t>
      </w:r>
      <w:r w:rsidRPr="00410DAB">
        <w:rPr>
          <w:rFonts w:ascii="Public Sans" w:hAnsi="Public Sans" w:cs="Arial"/>
          <w:szCs w:val="18"/>
        </w:rPr>
        <w:t xml:space="preserve"> (Cth) s 789FD(1).</w:t>
      </w:r>
    </w:p>
  </w:footnote>
  <w:footnote w:id="1005">
    <w:p w14:paraId="209EC652"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Fair Work Act 2009</w:t>
      </w:r>
      <w:r w:rsidRPr="00410DAB">
        <w:rPr>
          <w:rFonts w:ascii="Public Sans" w:hAnsi="Public Sans" w:cs="Arial"/>
          <w:szCs w:val="18"/>
        </w:rPr>
        <w:t xml:space="preserve"> (Cth) s 789FC, s 527F.</w:t>
      </w:r>
    </w:p>
  </w:footnote>
  <w:footnote w:id="1006">
    <w:p w14:paraId="062AEF51"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w:t>
      </w:r>
      <w:r w:rsidRPr="00410DAB">
        <w:rPr>
          <w:rFonts w:ascii="Public Sans" w:hAnsi="Public Sans" w:cs="Arial"/>
          <w:i/>
          <w:iCs/>
          <w:szCs w:val="18"/>
        </w:rPr>
        <w:t xml:space="preserve">Industrial Relations (Commonwealth Powers) Act 2009 </w:t>
      </w:r>
      <w:r w:rsidRPr="00410DAB">
        <w:rPr>
          <w:rFonts w:ascii="Public Sans" w:hAnsi="Public Sans" w:cs="Arial"/>
          <w:szCs w:val="18"/>
        </w:rPr>
        <w:t xml:space="preserve">(NSW) s 6(c), s 6(f); </w:t>
      </w:r>
      <w:r w:rsidRPr="00410DAB">
        <w:rPr>
          <w:rFonts w:ascii="Public Sans" w:hAnsi="Public Sans" w:cs="Arial"/>
          <w:i/>
          <w:iCs/>
          <w:szCs w:val="18"/>
        </w:rPr>
        <w:t>AB</w:t>
      </w:r>
      <w:r w:rsidRPr="00410DAB">
        <w:rPr>
          <w:rFonts w:ascii="Public Sans" w:hAnsi="Public Sans" w:cs="Arial"/>
          <w:szCs w:val="18"/>
        </w:rPr>
        <w:t xml:space="preserve"> [2014] FWC 6723.</w:t>
      </w:r>
    </w:p>
  </w:footnote>
  <w:footnote w:id="1007">
    <w:p w14:paraId="382B9A64"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 xml:space="preserve">Work Health and Safety Act 2011 </w:t>
      </w:r>
      <w:r w:rsidRPr="00410DAB">
        <w:rPr>
          <w:rFonts w:ascii="Public Sans" w:hAnsi="Public Sans" w:cs="Arial"/>
          <w:szCs w:val="18"/>
        </w:rPr>
        <w:t xml:space="preserve">(NSW) s 19; </w:t>
      </w:r>
      <w:r w:rsidRPr="00410DAB">
        <w:rPr>
          <w:rFonts w:ascii="Public Sans" w:hAnsi="Public Sans" w:cs="Arial"/>
          <w:i/>
          <w:iCs/>
          <w:szCs w:val="18"/>
        </w:rPr>
        <w:t>Work Health and Safety Regulation 2017</w:t>
      </w:r>
      <w:r w:rsidRPr="00410DAB">
        <w:rPr>
          <w:rFonts w:ascii="Public Sans" w:hAnsi="Public Sans" w:cs="Arial"/>
          <w:szCs w:val="18"/>
        </w:rPr>
        <w:t xml:space="preserve"> (NSW) pt 3.2 div 11.</w:t>
      </w:r>
    </w:p>
  </w:footnote>
  <w:footnote w:id="1008">
    <w:p w14:paraId="7BCECF5B"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Work Health and Safety Regulation 2017</w:t>
      </w:r>
      <w:r w:rsidRPr="00410DAB">
        <w:rPr>
          <w:rFonts w:ascii="Public Sans" w:hAnsi="Public Sans" w:cs="Arial"/>
          <w:szCs w:val="18"/>
        </w:rPr>
        <w:t xml:space="preserve"> (NSW) cl 55D; SafeWork NSW, </w:t>
      </w:r>
      <w:r w:rsidRPr="00410DAB">
        <w:rPr>
          <w:rFonts w:ascii="Public Sans" w:hAnsi="Public Sans" w:cs="Arial"/>
          <w:i/>
          <w:iCs/>
          <w:szCs w:val="18"/>
        </w:rPr>
        <w:t xml:space="preserve">Managing Psychosocial Hazards at Work: Code of Practice </w:t>
      </w:r>
      <w:r w:rsidRPr="00410DAB">
        <w:rPr>
          <w:rFonts w:ascii="Public Sans" w:hAnsi="Public Sans" w:cs="Arial"/>
          <w:szCs w:val="18"/>
        </w:rPr>
        <w:t xml:space="preserve">(2021) 8. </w:t>
      </w:r>
    </w:p>
  </w:footnote>
  <w:footnote w:id="1009">
    <w:p w14:paraId="47F5DEE1" w14:textId="77777777" w:rsidR="00BC7971" w:rsidRPr="00410DAB" w:rsidRDefault="00BC7971" w:rsidP="00BC7971">
      <w:pPr>
        <w:pStyle w:val="FootnoteText"/>
        <w:rPr>
          <w:rFonts w:ascii="Public Sans" w:hAnsi="Public Sans" w:cs="Arial"/>
        </w:rPr>
      </w:pPr>
      <w:bookmarkStart w:id="432" w:name="_Hlk192840262"/>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szCs w:val="18"/>
        </w:rPr>
        <w:t xml:space="preserve">SafeWork NSW, </w:t>
      </w:r>
      <w:r w:rsidRPr="00410DAB">
        <w:rPr>
          <w:rFonts w:ascii="Public Sans" w:hAnsi="Public Sans" w:cs="Arial"/>
          <w:i/>
          <w:iCs/>
          <w:szCs w:val="18"/>
        </w:rPr>
        <w:t xml:space="preserve">Sexual and Gender-Based Harassment: Code of Practice </w:t>
      </w:r>
      <w:r w:rsidRPr="00410DAB">
        <w:rPr>
          <w:rFonts w:ascii="Public Sans" w:hAnsi="Public Sans" w:cs="Arial"/>
          <w:szCs w:val="18"/>
        </w:rPr>
        <w:t>(2023).</w:t>
      </w:r>
    </w:p>
    <w:bookmarkEnd w:id="432"/>
  </w:footnote>
  <w:footnote w:id="1010">
    <w:p w14:paraId="3E742B4A"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1991</w:t>
      </w:r>
      <w:r w:rsidRPr="00410DAB">
        <w:rPr>
          <w:rFonts w:ascii="Public Sans" w:hAnsi="Public Sans" w:cs="Arial"/>
          <w:szCs w:val="18"/>
        </w:rPr>
        <w:t xml:space="preserve"> (Qld) s 118; </w:t>
      </w:r>
      <w:r w:rsidRPr="00410DAB">
        <w:rPr>
          <w:rFonts w:ascii="Public Sans" w:hAnsi="Public Sans" w:cs="Arial"/>
          <w:i/>
          <w:iCs/>
          <w:szCs w:val="18"/>
        </w:rPr>
        <w:t>Anti-Discrimination Act 1992</w:t>
      </w:r>
      <w:r w:rsidRPr="00410DAB">
        <w:rPr>
          <w:rFonts w:ascii="Public Sans" w:hAnsi="Public Sans" w:cs="Arial"/>
          <w:szCs w:val="18"/>
        </w:rPr>
        <w:t xml:space="preserve"> (NT) s 22.</w:t>
      </w:r>
    </w:p>
  </w:footnote>
  <w:footnote w:id="1011">
    <w:p w14:paraId="09AD8FA7"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szCs w:val="18"/>
          <w:shd w:val="clear" w:color="auto" w:fill="FFFFFF"/>
        </w:rPr>
        <w:t xml:space="preserve">Queensland Human Rights Commission, </w:t>
      </w:r>
      <w:r w:rsidRPr="00410DAB">
        <w:rPr>
          <w:rStyle w:val="findhit"/>
          <w:rFonts w:ascii="Public Sans" w:hAnsi="Public Sans"/>
          <w:i/>
          <w:iCs/>
          <w:szCs w:val="18"/>
          <w:shd w:val="clear" w:color="auto" w:fill="FFFFFF"/>
        </w:rPr>
        <w:t>Building Bel</w:t>
      </w:r>
      <w:r w:rsidRPr="00410DAB">
        <w:rPr>
          <w:rStyle w:val="normaltextrun"/>
          <w:rFonts w:ascii="Public Sans" w:hAnsi="Public Sans"/>
          <w:i/>
          <w:iCs/>
          <w:szCs w:val="18"/>
          <w:shd w:val="clear" w:color="auto" w:fill="FFFFFF"/>
        </w:rPr>
        <w:t xml:space="preserve">onging: Review of Queensland’s Anti-Discrimination Act 1991 </w:t>
      </w:r>
      <w:r w:rsidRPr="00410DAB">
        <w:rPr>
          <w:rStyle w:val="normaltextrun"/>
          <w:rFonts w:ascii="Public Sans" w:hAnsi="Public Sans"/>
          <w:szCs w:val="18"/>
          <w:shd w:val="clear" w:color="auto" w:fill="FFFFFF"/>
        </w:rPr>
        <w:t>(2022)</w:t>
      </w:r>
      <w:r w:rsidRPr="00410DAB">
        <w:rPr>
          <w:rStyle w:val="eop"/>
          <w:rFonts w:ascii="Public Sans" w:hAnsi="Public Sans"/>
          <w:szCs w:val="18"/>
          <w:shd w:val="clear" w:color="auto" w:fill="FFFFFF"/>
        </w:rPr>
        <w:t xml:space="preserve"> </w:t>
      </w:r>
      <w:r w:rsidRPr="00410DAB">
        <w:rPr>
          <w:rFonts w:ascii="Public Sans" w:hAnsi="Public Sans" w:cs="Arial"/>
          <w:szCs w:val="18"/>
        </w:rPr>
        <w:t>130.</w:t>
      </w:r>
    </w:p>
  </w:footnote>
  <w:footnote w:id="1012">
    <w:p w14:paraId="626C9E02" w14:textId="77777777" w:rsidR="00BC7971" w:rsidRPr="00410DAB" w:rsidRDefault="00BC7971" w:rsidP="00BC7971">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 xml:space="preserve">Australian Law Reform Commission, </w:t>
      </w:r>
      <w:r w:rsidRPr="00410DAB">
        <w:rPr>
          <w:rFonts w:ascii="Public Sans" w:hAnsi="Public Sans" w:cs="Arial"/>
          <w:i/>
          <w:iCs/>
        </w:rPr>
        <w:t>Safe, Informed, Supported: Reforming Justice Responses to Sexual Violence</w:t>
      </w:r>
      <w:r w:rsidRPr="00410DAB">
        <w:rPr>
          <w:rFonts w:ascii="Public Sans" w:hAnsi="Public Sans" w:cs="Arial"/>
        </w:rPr>
        <w:t>, Report 143 (2025) rec 49, [14.79]–[14.112].</w:t>
      </w:r>
    </w:p>
  </w:footnote>
  <w:footnote w:id="1013">
    <w:p w14:paraId="7BF6903C"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Australian Lawyers for Human Rights, </w:t>
      </w:r>
      <w:r w:rsidRPr="00410DAB">
        <w:rPr>
          <w:rFonts w:ascii="Public Sans" w:hAnsi="Public Sans" w:cs="Arial"/>
          <w:i/>
          <w:iCs/>
          <w:szCs w:val="18"/>
        </w:rPr>
        <w:t>Preliminary Submission PAD62</w:t>
      </w:r>
      <w:r w:rsidRPr="00410DAB">
        <w:rPr>
          <w:rFonts w:ascii="Public Sans" w:hAnsi="Public Sans" w:cs="Arial"/>
          <w:szCs w:val="18"/>
        </w:rPr>
        <w:t xml:space="preserve">, 6–7; NSW Council for Civil Liberties, </w:t>
      </w:r>
      <w:r w:rsidRPr="00410DAB">
        <w:rPr>
          <w:rFonts w:ascii="Public Sans" w:hAnsi="Public Sans" w:cs="Arial"/>
          <w:i/>
          <w:iCs/>
          <w:szCs w:val="18"/>
        </w:rPr>
        <w:t>Preliminary Submission PAD21</w:t>
      </w:r>
      <w:r w:rsidRPr="00410DAB">
        <w:rPr>
          <w:rFonts w:ascii="Public Sans" w:hAnsi="Public Sans" w:cs="Arial"/>
          <w:szCs w:val="18"/>
        </w:rPr>
        <w:t xml:space="preserve">, 21–22; Inner City Legal Centre, </w:t>
      </w:r>
      <w:r w:rsidRPr="00410DAB">
        <w:rPr>
          <w:rFonts w:ascii="Public Sans" w:hAnsi="Public Sans" w:cs="Arial"/>
          <w:i/>
          <w:iCs/>
          <w:szCs w:val="18"/>
        </w:rPr>
        <w:t>Preliminary Submission PAD40</w:t>
      </w:r>
      <w:r w:rsidRPr="00410DAB">
        <w:rPr>
          <w:rFonts w:ascii="Public Sans" w:hAnsi="Public Sans" w:cs="Arial"/>
          <w:szCs w:val="18"/>
        </w:rPr>
        <w:t xml:space="preserve">, 3. </w:t>
      </w:r>
    </w:p>
  </w:footnote>
  <w:footnote w:id="1014">
    <w:p w14:paraId="3D084203"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szCs w:val="18"/>
          <w:shd w:val="clear" w:color="auto" w:fill="FFFFFF"/>
        </w:rPr>
        <w:t xml:space="preserve">NSW Law Reform Commission, </w:t>
      </w:r>
      <w:r w:rsidRPr="00410DAB">
        <w:rPr>
          <w:rStyle w:val="normaltextrun"/>
          <w:rFonts w:ascii="Public Sans" w:hAnsi="Public Sans"/>
          <w:i/>
          <w:iCs/>
          <w:szCs w:val="18"/>
          <w:shd w:val="clear" w:color="auto" w:fill="FFFFFF"/>
        </w:rPr>
        <w:t>Review of the Anti-Discrimination Act 1977 (NSW)</w:t>
      </w:r>
      <w:r w:rsidRPr="00410DAB">
        <w:rPr>
          <w:rStyle w:val="normaltextrun"/>
          <w:rFonts w:ascii="Public Sans" w:hAnsi="Public Sans"/>
          <w:szCs w:val="18"/>
          <w:shd w:val="clear" w:color="auto" w:fill="FFFFFF"/>
        </w:rPr>
        <w:t>,</w:t>
      </w:r>
      <w:r w:rsidRPr="00410DAB">
        <w:rPr>
          <w:rStyle w:val="normaltextrun"/>
          <w:rFonts w:ascii="Public Sans" w:hAnsi="Public Sans"/>
          <w:i/>
          <w:iCs/>
          <w:szCs w:val="18"/>
          <w:shd w:val="clear" w:color="auto" w:fill="FFFFFF"/>
        </w:rPr>
        <w:t xml:space="preserve"> </w:t>
      </w:r>
      <w:r w:rsidRPr="00410DAB">
        <w:rPr>
          <w:rStyle w:val="normaltextrun"/>
          <w:rFonts w:ascii="Public Sans" w:hAnsi="Public Sans"/>
          <w:szCs w:val="18"/>
          <w:shd w:val="clear" w:color="auto" w:fill="FFFFFF"/>
        </w:rPr>
        <w:t>Report 92 (1999) [4.17].</w:t>
      </w:r>
    </w:p>
  </w:footnote>
  <w:footnote w:id="1015">
    <w:p w14:paraId="00D93C71"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szCs w:val="18"/>
          <w:shd w:val="clear" w:color="auto" w:fill="FFFFFF"/>
        </w:rPr>
        <w:t xml:space="preserve">ACT </w:t>
      </w:r>
      <w:r w:rsidRPr="00410DAB">
        <w:rPr>
          <w:rStyle w:val="findhit"/>
          <w:rFonts w:ascii="Public Sans" w:hAnsi="Public Sans"/>
          <w:szCs w:val="18"/>
          <w:shd w:val="clear" w:color="auto" w:fill="FFFFFF"/>
        </w:rPr>
        <w:t>Law Reform Advis</w:t>
      </w:r>
      <w:r w:rsidRPr="00410DAB">
        <w:rPr>
          <w:rStyle w:val="normaltextrun"/>
          <w:rFonts w:ascii="Public Sans" w:hAnsi="Public Sans"/>
          <w:szCs w:val="18"/>
          <w:shd w:val="clear" w:color="auto" w:fill="FFFFFF"/>
        </w:rPr>
        <w:t xml:space="preserve">ory Council, </w:t>
      </w:r>
      <w:r w:rsidRPr="00410DAB">
        <w:rPr>
          <w:rStyle w:val="normaltextrun"/>
          <w:rFonts w:ascii="Public Sans" w:hAnsi="Public Sans"/>
          <w:i/>
          <w:iCs/>
          <w:szCs w:val="18"/>
          <w:shd w:val="clear" w:color="auto" w:fill="FFFFFF"/>
        </w:rPr>
        <w:t>Review of the Discrimination Act 1991 (ACT)</w:t>
      </w:r>
      <w:r w:rsidRPr="00410DAB">
        <w:rPr>
          <w:rStyle w:val="normaltextrun"/>
          <w:rFonts w:ascii="Public Sans" w:hAnsi="Public Sans"/>
          <w:szCs w:val="18"/>
          <w:shd w:val="clear" w:color="auto" w:fill="FFFFFF"/>
        </w:rPr>
        <w:t>,</w:t>
      </w:r>
      <w:r w:rsidRPr="00410DAB">
        <w:rPr>
          <w:rStyle w:val="normaltextrun"/>
          <w:rFonts w:ascii="Public Sans" w:hAnsi="Public Sans"/>
          <w:i/>
          <w:iCs/>
          <w:szCs w:val="18"/>
          <w:shd w:val="clear" w:color="auto" w:fill="FFFFFF"/>
        </w:rPr>
        <w:t xml:space="preserve"> </w:t>
      </w:r>
      <w:r w:rsidRPr="00410DAB">
        <w:rPr>
          <w:rStyle w:val="normaltextrun"/>
          <w:rFonts w:ascii="Public Sans" w:hAnsi="Public Sans"/>
          <w:szCs w:val="18"/>
          <w:shd w:val="clear" w:color="auto" w:fill="FFFFFF"/>
        </w:rPr>
        <w:t>Final Report</w:t>
      </w:r>
      <w:r w:rsidRPr="00410DAB">
        <w:rPr>
          <w:rStyle w:val="normaltextrun"/>
          <w:rFonts w:ascii="Public Sans" w:hAnsi="Public Sans"/>
          <w:i/>
          <w:iCs/>
          <w:szCs w:val="18"/>
          <w:shd w:val="clear" w:color="auto" w:fill="FFFFFF"/>
        </w:rPr>
        <w:t xml:space="preserve"> (</w:t>
      </w:r>
      <w:r w:rsidRPr="00410DAB">
        <w:rPr>
          <w:rStyle w:val="normaltextrun"/>
          <w:rFonts w:ascii="Public Sans" w:hAnsi="Public Sans"/>
          <w:szCs w:val="18"/>
          <w:shd w:val="clear" w:color="auto" w:fill="FFFFFF"/>
        </w:rPr>
        <w:t>2015)</w:t>
      </w:r>
      <w:r w:rsidRPr="00410DAB">
        <w:rPr>
          <w:rStyle w:val="eop"/>
          <w:rFonts w:ascii="Public Sans" w:hAnsi="Public Sans"/>
          <w:szCs w:val="18"/>
          <w:shd w:val="clear" w:color="auto" w:fill="FFFFFF"/>
        </w:rPr>
        <w:t xml:space="preserve"> </w:t>
      </w:r>
      <w:r w:rsidRPr="00410DAB">
        <w:rPr>
          <w:rFonts w:ascii="Public Sans" w:hAnsi="Public Sans" w:cs="Arial"/>
          <w:szCs w:val="18"/>
        </w:rPr>
        <w:t>52.</w:t>
      </w:r>
    </w:p>
  </w:footnote>
  <w:footnote w:id="1016">
    <w:p w14:paraId="28F07C3D"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20A, s34A, s 38O, s 48A, s 49O, s 49ZR, s 49ZYP.</w:t>
      </w:r>
    </w:p>
  </w:footnote>
  <w:footnote w:id="1017">
    <w:p w14:paraId="2CDB0B0D"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Equal Opportunity Act 1984</w:t>
      </w:r>
      <w:r w:rsidRPr="00410DAB">
        <w:rPr>
          <w:rFonts w:ascii="Public Sans" w:hAnsi="Public Sans" w:cs="Arial"/>
          <w:szCs w:val="18"/>
        </w:rPr>
        <w:t xml:space="preserve"> (SA) s 87(6g).</w:t>
      </w:r>
    </w:p>
  </w:footnote>
  <w:footnote w:id="1018">
    <w:p w14:paraId="6A43BD5C"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Law Reform Commission of Western Australia, </w:t>
      </w:r>
      <w:r w:rsidRPr="00410DAB">
        <w:rPr>
          <w:rFonts w:ascii="Public Sans" w:hAnsi="Public Sans" w:cs="Arial"/>
          <w:i/>
          <w:iCs/>
          <w:szCs w:val="18"/>
        </w:rPr>
        <w:t>Review of the Equal Opportunity Act 1984 (WA)</w:t>
      </w:r>
      <w:r w:rsidRPr="00410DAB">
        <w:rPr>
          <w:rFonts w:ascii="Public Sans" w:hAnsi="Public Sans" w:cs="Arial"/>
          <w:szCs w:val="18"/>
        </w:rPr>
        <w:t>, Project 111, Final Report (2022) rec 56, [4.3.1].</w:t>
      </w:r>
    </w:p>
  </w:footnote>
  <w:footnote w:id="1019">
    <w:p w14:paraId="43C46D7E"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22G(1).</w:t>
      </w:r>
    </w:p>
  </w:footnote>
  <w:footnote w:id="1020">
    <w:p w14:paraId="61A94EB1"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22G(2).</w:t>
      </w:r>
    </w:p>
  </w:footnote>
  <w:footnote w:id="1021">
    <w:p w14:paraId="373CC6ED"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4(1) definition of “near relative”, s 28H.</w:t>
      </w:r>
    </w:p>
  </w:footnote>
  <w:footnote w:id="1022">
    <w:p w14:paraId="31A837C8"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20(3), s 34(3), s 38N(3), s 48(3), s 49N(3), s 49ZQ(3), s 49ZYO(3)(a)–(b).</w:t>
      </w:r>
    </w:p>
  </w:footnote>
  <w:footnote w:id="1023">
    <w:p w14:paraId="1D70CAA7"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szCs w:val="18"/>
          <w:shd w:val="clear" w:color="auto" w:fill="FFFFFF"/>
        </w:rPr>
        <w:t xml:space="preserve">NSW Law Reform Commission, </w:t>
      </w:r>
      <w:r w:rsidRPr="00410DAB">
        <w:rPr>
          <w:rStyle w:val="normaltextrun"/>
          <w:rFonts w:ascii="Public Sans" w:hAnsi="Public Sans"/>
          <w:i/>
          <w:iCs/>
          <w:szCs w:val="18"/>
          <w:shd w:val="clear" w:color="auto" w:fill="FFFFFF"/>
        </w:rPr>
        <w:t>Review of the Anti-Discrimination Act 1977 (NSW)</w:t>
      </w:r>
      <w:r w:rsidRPr="00410DAB">
        <w:rPr>
          <w:rStyle w:val="normaltextrun"/>
          <w:rFonts w:ascii="Public Sans" w:hAnsi="Public Sans"/>
          <w:szCs w:val="18"/>
          <w:shd w:val="clear" w:color="auto" w:fill="FFFFFF"/>
        </w:rPr>
        <w:t>,</w:t>
      </w:r>
      <w:r w:rsidRPr="00410DAB">
        <w:rPr>
          <w:rStyle w:val="normaltextrun"/>
          <w:rFonts w:ascii="Public Sans" w:hAnsi="Public Sans"/>
          <w:i/>
          <w:iCs/>
          <w:szCs w:val="18"/>
          <w:shd w:val="clear" w:color="auto" w:fill="FFFFFF"/>
        </w:rPr>
        <w:t xml:space="preserve"> </w:t>
      </w:r>
      <w:r w:rsidRPr="00410DAB">
        <w:rPr>
          <w:rStyle w:val="normaltextrun"/>
          <w:rFonts w:ascii="Public Sans" w:hAnsi="Public Sans"/>
          <w:szCs w:val="18"/>
          <w:shd w:val="clear" w:color="auto" w:fill="FFFFFF"/>
        </w:rPr>
        <w:t>Report 92 (1999)</w:t>
      </w:r>
      <w:r w:rsidRPr="00410DAB">
        <w:rPr>
          <w:rFonts w:ascii="Public Sans" w:hAnsi="Public Sans" w:cs="Arial"/>
          <w:szCs w:val="18"/>
        </w:rPr>
        <w:t xml:space="preserve"> [7.49], rec 91.</w:t>
      </w:r>
    </w:p>
  </w:footnote>
  <w:footnote w:id="1024">
    <w:p w14:paraId="0B1B17BA"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i/>
          <w:iCs/>
          <w:szCs w:val="18"/>
        </w:rPr>
        <w:t xml:space="preserve">Anti-Discrimination Act 1998 </w:t>
      </w:r>
      <w:r w:rsidRPr="00410DAB">
        <w:rPr>
          <w:rFonts w:ascii="Public Sans" w:hAnsi="Public Sans"/>
          <w:szCs w:val="18"/>
        </w:rPr>
        <w:t xml:space="preserve">(Tas) s 17(1); </w:t>
      </w:r>
      <w:r w:rsidRPr="00410DAB">
        <w:rPr>
          <w:rFonts w:ascii="Public Sans" w:hAnsi="Public Sans" w:cs="Arial"/>
          <w:i/>
          <w:iCs/>
          <w:szCs w:val="18"/>
        </w:rPr>
        <w:t xml:space="preserve">Anti-Discrimination Act 1992 </w:t>
      </w:r>
      <w:r w:rsidRPr="00410DAB">
        <w:rPr>
          <w:rFonts w:ascii="Public Sans" w:hAnsi="Public Sans" w:cs="Arial"/>
          <w:szCs w:val="18"/>
        </w:rPr>
        <w:t xml:space="preserve">(NT) s 20(1)(b); </w:t>
      </w:r>
      <w:r w:rsidRPr="00410DAB">
        <w:rPr>
          <w:rFonts w:ascii="Public Sans" w:hAnsi="Public Sans" w:cs="Arial"/>
          <w:i/>
          <w:iCs/>
          <w:szCs w:val="18"/>
        </w:rPr>
        <w:t>Racial Discrimination Act 1975</w:t>
      </w:r>
      <w:r w:rsidRPr="00410DAB">
        <w:rPr>
          <w:rFonts w:ascii="Public Sans" w:hAnsi="Public Sans" w:cs="Arial"/>
          <w:szCs w:val="18"/>
        </w:rPr>
        <w:t xml:space="preserve"> (Cth) s 18C; </w:t>
      </w:r>
      <w:r w:rsidRPr="00410DAB">
        <w:rPr>
          <w:rFonts w:ascii="Public Sans" w:hAnsi="Public Sans" w:cs="Arial"/>
          <w:i/>
          <w:iCs/>
          <w:szCs w:val="18"/>
        </w:rPr>
        <w:t>Disability</w:t>
      </w:r>
      <w:r w:rsidRPr="00410DAB">
        <w:rPr>
          <w:rFonts w:ascii="Public Sans" w:hAnsi="Public Sans" w:cs="Arial"/>
          <w:szCs w:val="18"/>
        </w:rPr>
        <w:t xml:space="preserve"> </w:t>
      </w:r>
      <w:r w:rsidRPr="00410DAB">
        <w:rPr>
          <w:rFonts w:ascii="Public Sans" w:hAnsi="Public Sans" w:cs="Arial"/>
          <w:i/>
          <w:iCs/>
          <w:szCs w:val="18"/>
        </w:rPr>
        <w:t>Discrimination Act 1992</w:t>
      </w:r>
      <w:r w:rsidRPr="00410DAB">
        <w:rPr>
          <w:rFonts w:ascii="Public Sans" w:hAnsi="Public Sans" w:cs="Arial"/>
          <w:szCs w:val="18"/>
        </w:rPr>
        <w:t xml:space="preserve"> (Cth) s 35, s 37, s 39; </w:t>
      </w:r>
      <w:r w:rsidRPr="00410DAB">
        <w:rPr>
          <w:rFonts w:ascii="Public Sans" w:hAnsi="Public Sans" w:cs="Arial"/>
          <w:i/>
          <w:iCs/>
          <w:szCs w:val="18"/>
        </w:rPr>
        <w:t>Equal Opportunity Act 1984</w:t>
      </w:r>
      <w:r w:rsidRPr="00410DAB">
        <w:rPr>
          <w:rFonts w:ascii="Public Sans" w:hAnsi="Public Sans" w:cs="Arial"/>
          <w:szCs w:val="18"/>
        </w:rPr>
        <w:t xml:space="preserve"> (WA) s 49A(3), s 49B(2), s 49C(2).</w:t>
      </w:r>
    </w:p>
  </w:footnote>
  <w:footnote w:id="1025">
    <w:p w14:paraId="2969F0BF"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i/>
          <w:iCs/>
          <w:szCs w:val="18"/>
          <w:shd w:val="clear" w:color="auto" w:fill="FFFFFF"/>
        </w:rPr>
        <w:t>O’Callaghan v Loder</w:t>
      </w:r>
      <w:r w:rsidRPr="00410DAB">
        <w:rPr>
          <w:rStyle w:val="normaltextrun"/>
          <w:rFonts w:ascii="Public Sans" w:hAnsi="Public Sans"/>
          <w:szCs w:val="18"/>
          <w:shd w:val="clear" w:color="auto" w:fill="FFFFFF"/>
        </w:rPr>
        <w:t xml:space="preserve"> [1983] 3 NSWLR 89</w:t>
      </w:r>
      <w:r w:rsidRPr="00410DAB">
        <w:rPr>
          <w:rFonts w:ascii="Public Sans" w:hAnsi="Public Sans"/>
          <w:szCs w:val="18"/>
        </w:rPr>
        <w:t xml:space="preserve">; </w:t>
      </w:r>
      <w:r w:rsidRPr="00410DAB">
        <w:rPr>
          <w:rStyle w:val="normaltextrun"/>
          <w:rFonts w:ascii="Public Sans" w:hAnsi="Public Sans"/>
          <w:i/>
          <w:iCs/>
          <w:szCs w:val="18"/>
          <w:shd w:val="clear" w:color="auto" w:fill="FFFFFF"/>
        </w:rPr>
        <w:t>Hall v Sheiban Pty Ltd</w:t>
      </w:r>
      <w:r w:rsidRPr="00410DAB">
        <w:rPr>
          <w:rStyle w:val="normaltextrun"/>
          <w:rFonts w:ascii="Public Sans" w:hAnsi="Public Sans"/>
          <w:szCs w:val="18"/>
          <w:shd w:val="clear" w:color="auto" w:fill="FFFFFF"/>
        </w:rPr>
        <w:t xml:space="preserve"> (1989) 20 FCR 217</w:t>
      </w:r>
      <w:r w:rsidRPr="00410DAB">
        <w:rPr>
          <w:rStyle w:val="eop"/>
          <w:rFonts w:ascii="Public Sans" w:hAnsi="Public Sans"/>
          <w:szCs w:val="18"/>
          <w:shd w:val="clear" w:color="auto" w:fill="FFFFFF"/>
        </w:rPr>
        <w:t xml:space="preserve">. See also </w:t>
      </w:r>
      <w:r w:rsidRPr="00410DAB">
        <w:rPr>
          <w:rStyle w:val="normaltextrun"/>
          <w:rFonts w:ascii="Public Sans" w:hAnsi="Public Sans"/>
          <w:szCs w:val="18"/>
          <w:shd w:val="clear" w:color="auto" w:fill="FFFFFF"/>
        </w:rPr>
        <w:t xml:space="preserve">ACT Law Reform Advisory Council, </w:t>
      </w:r>
      <w:r w:rsidRPr="00410DAB">
        <w:rPr>
          <w:rStyle w:val="normaltextrun"/>
          <w:rFonts w:ascii="Public Sans" w:hAnsi="Public Sans"/>
          <w:i/>
          <w:iCs/>
          <w:szCs w:val="18"/>
          <w:shd w:val="clear" w:color="auto" w:fill="FFFFFF"/>
        </w:rPr>
        <w:t>Review of the Discrimination Act 1991 (ACT)</w:t>
      </w:r>
      <w:r w:rsidRPr="00410DAB">
        <w:rPr>
          <w:rStyle w:val="normaltextrun"/>
          <w:rFonts w:ascii="Public Sans" w:hAnsi="Public Sans"/>
          <w:szCs w:val="18"/>
          <w:shd w:val="clear" w:color="auto" w:fill="FFFFFF"/>
        </w:rPr>
        <w:t>, Final Report</w:t>
      </w:r>
      <w:r w:rsidRPr="00410DAB">
        <w:rPr>
          <w:rStyle w:val="normaltextrun"/>
          <w:rFonts w:ascii="Public Sans" w:hAnsi="Public Sans"/>
          <w:i/>
          <w:iCs/>
          <w:szCs w:val="18"/>
          <w:shd w:val="clear" w:color="auto" w:fill="FFFFFF"/>
        </w:rPr>
        <w:t xml:space="preserve"> </w:t>
      </w:r>
      <w:r w:rsidRPr="00410DAB">
        <w:rPr>
          <w:rStyle w:val="normaltextrun"/>
          <w:rFonts w:ascii="Public Sans" w:hAnsi="Public Sans"/>
          <w:szCs w:val="18"/>
          <w:shd w:val="clear" w:color="auto" w:fill="FFFFFF"/>
        </w:rPr>
        <w:t>(2015)</w:t>
      </w:r>
      <w:r w:rsidRPr="00410DAB">
        <w:rPr>
          <w:rStyle w:val="eop"/>
          <w:rFonts w:ascii="Public Sans" w:hAnsi="Public Sans"/>
          <w:szCs w:val="18"/>
          <w:shd w:val="clear" w:color="auto" w:fill="FFFFFF"/>
        </w:rPr>
        <w:t xml:space="preserve"> 90.</w:t>
      </w:r>
    </w:p>
  </w:footnote>
  <w:footnote w:id="1026">
    <w:p w14:paraId="60458F60"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 xml:space="preserve">Anti-Discrimination Act 1977 </w:t>
      </w:r>
      <w:r w:rsidRPr="00410DAB">
        <w:rPr>
          <w:rFonts w:ascii="Public Sans" w:hAnsi="Public Sans" w:cs="Arial"/>
          <w:szCs w:val="18"/>
        </w:rPr>
        <w:t xml:space="preserve">(NSW) </w:t>
      </w:r>
      <w:bookmarkStart w:id="444" w:name="_Hlk184036340"/>
      <w:r w:rsidRPr="00410DAB">
        <w:rPr>
          <w:rFonts w:ascii="Public Sans" w:hAnsi="Public Sans" w:cs="Arial"/>
          <w:szCs w:val="18"/>
        </w:rPr>
        <w:t>s 20C, s 38S, s 49ZE, s 49ZS, s 49ZT, s 49ZXB</w:t>
      </w:r>
      <w:bookmarkEnd w:id="444"/>
      <w:r w:rsidRPr="00410DAB">
        <w:rPr>
          <w:rFonts w:ascii="Public Sans" w:hAnsi="Public Sans" w:cs="Arial"/>
          <w:szCs w:val="18"/>
        </w:rPr>
        <w:t xml:space="preserve">; </w:t>
      </w:r>
      <w:r w:rsidRPr="00410DAB">
        <w:rPr>
          <w:rFonts w:ascii="Public Sans" w:hAnsi="Public Sans" w:cs="Arial"/>
          <w:i/>
          <w:iCs/>
          <w:szCs w:val="18"/>
        </w:rPr>
        <w:t xml:space="preserve">Crimes Act 1900 </w:t>
      </w:r>
      <w:r w:rsidRPr="00410DAB">
        <w:rPr>
          <w:rFonts w:ascii="Public Sans" w:hAnsi="Public Sans" w:cs="Arial"/>
          <w:szCs w:val="18"/>
        </w:rPr>
        <w:t>(NSW) s 93Z.</w:t>
      </w:r>
    </w:p>
  </w:footnote>
  <w:footnote w:id="1027">
    <w:p w14:paraId="679A345C"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Crimes (Domestic and Personal Violence) Act 2007</w:t>
      </w:r>
      <w:r w:rsidRPr="00410DAB">
        <w:rPr>
          <w:rFonts w:ascii="Public Sans" w:hAnsi="Public Sans" w:cs="Arial"/>
          <w:szCs w:val="18"/>
        </w:rPr>
        <w:t xml:space="preserve"> (NSW) s 7 definition of “intimidation”, s 13. </w:t>
      </w:r>
    </w:p>
  </w:footnote>
  <w:footnote w:id="1028">
    <w:p w14:paraId="21D78923"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Fair Work Act 2009</w:t>
      </w:r>
      <w:r w:rsidRPr="00410DAB">
        <w:rPr>
          <w:rFonts w:ascii="Public Sans" w:hAnsi="Public Sans" w:cs="Arial"/>
          <w:szCs w:val="18"/>
        </w:rPr>
        <w:t xml:space="preserve"> (Cth) s 789FD(1).</w:t>
      </w:r>
    </w:p>
  </w:footnote>
  <w:footnote w:id="1029">
    <w:p w14:paraId="64B4C3C7"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szCs w:val="18"/>
          <w:shd w:val="clear" w:color="auto" w:fill="FFFFFF"/>
        </w:rPr>
        <w:t xml:space="preserve">Australian Human Rights Commission, </w:t>
      </w:r>
      <w:r w:rsidRPr="00410DAB">
        <w:rPr>
          <w:rStyle w:val="findhit"/>
          <w:rFonts w:ascii="Public Sans" w:hAnsi="Public Sans"/>
          <w:i/>
          <w:iCs/>
          <w:szCs w:val="18"/>
          <w:shd w:val="clear" w:color="auto" w:fill="FFFFFF"/>
        </w:rPr>
        <w:t>R</w:t>
      </w:r>
      <w:r w:rsidRPr="00410DAB">
        <w:rPr>
          <w:rStyle w:val="findhit"/>
          <w:rFonts w:ascii="Public Sans" w:hAnsi="Public Sans"/>
          <w:szCs w:val="18"/>
          <w:shd w:val="clear" w:color="auto" w:fill="FFFFFF"/>
        </w:rPr>
        <w:t>e</w:t>
      </w:r>
      <w:r w:rsidRPr="00410DAB">
        <w:rPr>
          <w:rStyle w:val="findhit"/>
          <w:rFonts w:ascii="Public Sans" w:hAnsi="Public Sans"/>
          <w:i/>
          <w:iCs/>
          <w:szCs w:val="18"/>
          <w:shd w:val="clear" w:color="auto" w:fill="FFFFFF"/>
        </w:rPr>
        <w:t>spect</w:t>
      </w:r>
      <w:r w:rsidRPr="00410DAB">
        <w:rPr>
          <w:rStyle w:val="normaltextrun"/>
          <w:rFonts w:ascii="Public Sans" w:hAnsi="Public Sans"/>
          <w:i/>
          <w:iCs/>
          <w:szCs w:val="18"/>
          <w:shd w:val="clear" w:color="auto" w:fill="FFFFFF"/>
        </w:rPr>
        <w:t xml:space="preserve">@Work: National Inquiry into Sexual Harassment in Australian Workplaces </w:t>
      </w:r>
      <w:r w:rsidRPr="00410DAB">
        <w:rPr>
          <w:rStyle w:val="normaltextrun"/>
          <w:rFonts w:ascii="Public Sans" w:hAnsi="Public Sans"/>
          <w:szCs w:val="18"/>
          <w:shd w:val="clear" w:color="auto" w:fill="FFFFFF"/>
        </w:rPr>
        <w:t>(2020)</w:t>
      </w:r>
      <w:r w:rsidRPr="00410DAB">
        <w:rPr>
          <w:rStyle w:val="eop"/>
          <w:rFonts w:ascii="Public Sans" w:hAnsi="Public Sans"/>
          <w:szCs w:val="18"/>
          <w:shd w:val="clear" w:color="auto" w:fill="FFFFFF"/>
        </w:rPr>
        <w:t xml:space="preserve"> 463.</w:t>
      </w:r>
    </w:p>
  </w:footnote>
  <w:footnote w:id="1030">
    <w:p w14:paraId="05C78EC0"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i/>
          <w:iCs/>
          <w:szCs w:val="18"/>
        </w:rPr>
        <w:t>Anti-Discrimination Act 1998</w:t>
      </w:r>
      <w:r w:rsidRPr="00410DAB">
        <w:rPr>
          <w:rFonts w:ascii="Public Sans" w:hAnsi="Public Sans"/>
          <w:szCs w:val="18"/>
        </w:rPr>
        <w:t xml:space="preserve"> (Tas) s 17(1), s 17(3).</w:t>
      </w:r>
    </w:p>
  </w:footnote>
  <w:footnote w:id="1031">
    <w:p w14:paraId="53BC0CFA"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i/>
          <w:iCs/>
          <w:szCs w:val="18"/>
        </w:rPr>
        <w:t>Anti-Discrimination Act 1998</w:t>
      </w:r>
      <w:r w:rsidRPr="00410DAB">
        <w:rPr>
          <w:rFonts w:ascii="Public Sans" w:hAnsi="Public Sans"/>
          <w:szCs w:val="18"/>
        </w:rPr>
        <w:t xml:space="preserve"> (Tas) s 17(1).</w:t>
      </w:r>
    </w:p>
  </w:footnote>
  <w:footnote w:id="1032">
    <w:p w14:paraId="704AB99F"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Equal Opportunity Act 1984</w:t>
      </w:r>
      <w:r w:rsidRPr="00410DAB">
        <w:rPr>
          <w:rFonts w:ascii="Public Sans" w:hAnsi="Public Sans" w:cs="Arial"/>
          <w:szCs w:val="18"/>
        </w:rPr>
        <w:t xml:space="preserve"> (WA) s 49A(3), s 49B(2), s 49C(2).</w:t>
      </w:r>
    </w:p>
  </w:footnote>
  <w:footnote w:id="1033">
    <w:p w14:paraId="7DBFEAB1"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i/>
          <w:iCs/>
          <w:szCs w:val="18"/>
        </w:rPr>
        <w:t>Anti-Discrimination Act 1992</w:t>
      </w:r>
      <w:r w:rsidRPr="00410DAB">
        <w:rPr>
          <w:rFonts w:ascii="Public Sans" w:hAnsi="Public Sans"/>
          <w:szCs w:val="18"/>
        </w:rPr>
        <w:t xml:space="preserve"> (NT) s 20(1)(b), s 20(2); </w:t>
      </w:r>
      <w:r w:rsidRPr="00410DAB">
        <w:rPr>
          <w:rFonts w:ascii="Public Sans" w:hAnsi="Public Sans"/>
          <w:i/>
          <w:iCs/>
          <w:szCs w:val="18"/>
        </w:rPr>
        <w:t>Equal Opportunity Act 1984</w:t>
      </w:r>
      <w:r w:rsidRPr="00410DAB">
        <w:rPr>
          <w:rFonts w:ascii="Public Sans" w:hAnsi="Public Sans"/>
          <w:szCs w:val="18"/>
        </w:rPr>
        <w:t xml:space="preserve"> (WA) s 49A(3)(b), s 49B(2)(b), s 49C(2)(b).</w:t>
      </w:r>
    </w:p>
  </w:footnote>
  <w:footnote w:id="1034">
    <w:p w14:paraId="469B71BA"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szCs w:val="18"/>
          <w:shd w:val="clear" w:color="auto" w:fill="FFFFFF"/>
        </w:rPr>
        <w:t xml:space="preserve">Law Reform Commission of </w:t>
      </w:r>
      <w:r w:rsidRPr="00410DAB">
        <w:rPr>
          <w:rStyle w:val="findhit"/>
          <w:rFonts w:ascii="Public Sans" w:hAnsi="Public Sans"/>
          <w:szCs w:val="18"/>
          <w:shd w:val="clear" w:color="auto" w:fill="FFFFFF"/>
        </w:rPr>
        <w:t>Western Aus</w:t>
      </w:r>
      <w:r w:rsidRPr="00410DAB">
        <w:rPr>
          <w:rStyle w:val="normaltextrun"/>
          <w:rFonts w:ascii="Public Sans" w:hAnsi="Public Sans"/>
          <w:szCs w:val="18"/>
          <w:shd w:val="clear" w:color="auto" w:fill="FFFFFF"/>
        </w:rPr>
        <w:t xml:space="preserve">tralia, </w:t>
      </w:r>
      <w:r w:rsidRPr="00410DAB">
        <w:rPr>
          <w:rStyle w:val="normaltextrun"/>
          <w:rFonts w:ascii="Public Sans" w:hAnsi="Public Sans"/>
          <w:i/>
          <w:iCs/>
          <w:szCs w:val="18"/>
          <w:shd w:val="clear" w:color="auto" w:fill="FFFFFF"/>
        </w:rPr>
        <w:t>Review of the Equal Opportunity Act 1984 (WA)</w:t>
      </w:r>
      <w:r w:rsidRPr="00410DAB">
        <w:rPr>
          <w:rStyle w:val="normaltextrun"/>
          <w:rFonts w:ascii="Public Sans" w:hAnsi="Public Sans"/>
          <w:szCs w:val="18"/>
          <w:shd w:val="clear" w:color="auto" w:fill="FFFFFF"/>
        </w:rPr>
        <w:t>, Project 111, Final Report (2022)</w:t>
      </w:r>
      <w:r w:rsidRPr="00410DAB">
        <w:rPr>
          <w:rStyle w:val="eop"/>
          <w:rFonts w:ascii="Public Sans" w:hAnsi="Public Sans"/>
          <w:szCs w:val="18"/>
          <w:shd w:val="clear" w:color="auto" w:fill="FFFFFF"/>
        </w:rPr>
        <w:t> </w:t>
      </w:r>
      <w:r w:rsidRPr="00410DAB">
        <w:rPr>
          <w:rFonts w:ascii="Public Sans" w:hAnsi="Public Sans" w:cs="Arial"/>
          <w:szCs w:val="18"/>
        </w:rPr>
        <w:t>rec 104, rec 105.</w:t>
      </w:r>
    </w:p>
  </w:footnote>
  <w:footnote w:id="1035">
    <w:p w14:paraId="5466B5ED"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szCs w:val="18"/>
          <w:shd w:val="clear" w:color="auto" w:fill="FFFFFF"/>
        </w:rPr>
        <w:t xml:space="preserve">Law Reform Commission of </w:t>
      </w:r>
      <w:r w:rsidRPr="00410DAB">
        <w:rPr>
          <w:rStyle w:val="findhit"/>
          <w:rFonts w:ascii="Public Sans" w:hAnsi="Public Sans"/>
          <w:szCs w:val="18"/>
          <w:shd w:val="clear" w:color="auto" w:fill="FFFFFF"/>
        </w:rPr>
        <w:t>Western Aus</w:t>
      </w:r>
      <w:r w:rsidRPr="00410DAB">
        <w:rPr>
          <w:rStyle w:val="normaltextrun"/>
          <w:rFonts w:ascii="Public Sans" w:hAnsi="Public Sans"/>
          <w:szCs w:val="18"/>
          <w:shd w:val="clear" w:color="auto" w:fill="FFFFFF"/>
        </w:rPr>
        <w:t xml:space="preserve">tralia, </w:t>
      </w:r>
      <w:r w:rsidRPr="00410DAB">
        <w:rPr>
          <w:rStyle w:val="normaltextrun"/>
          <w:rFonts w:ascii="Public Sans" w:hAnsi="Public Sans"/>
          <w:i/>
          <w:iCs/>
          <w:szCs w:val="18"/>
          <w:shd w:val="clear" w:color="auto" w:fill="FFFFFF"/>
        </w:rPr>
        <w:t>Review of the Equal Opportunity Act 1984 (WA)</w:t>
      </w:r>
      <w:r w:rsidRPr="00410DAB">
        <w:rPr>
          <w:rStyle w:val="normaltextrun"/>
          <w:rFonts w:ascii="Public Sans" w:hAnsi="Public Sans"/>
          <w:szCs w:val="18"/>
          <w:shd w:val="clear" w:color="auto" w:fill="FFFFFF"/>
        </w:rPr>
        <w:t>, Project 111, Final Report (2022)</w:t>
      </w:r>
      <w:r w:rsidRPr="00410DAB">
        <w:rPr>
          <w:rStyle w:val="eop"/>
          <w:rFonts w:ascii="Public Sans" w:hAnsi="Public Sans"/>
          <w:szCs w:val="18"/>
          <w:shd w:val="clear" w:color="auto" w:fill="FFFFFF"/>
        </w:rPr>
        <w:t> [5.2.1].</w:t>
      </w:r>
    </w:p>
  </w:footnote>
  <w:footnote w:id="1036">
    <w:p w14:paraId="035E1846"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McCormack v Commonwealth of Australia</w:t>
      </w:r>
      <w:r w:rsidRPr="00410DAB">
        <w:rPr>
          <w:rFonts w:ascii="Public Sans" w:hAnsi="Public Sans" w:cs="Arial"/>
          <w:szCs w:val="18"/>
        </w:rPr>
        <w:t xml:space="preserve"> [2007] FMCA 1245 [75].</w:t>
      </w:r>
    </w:p>
  </w:footnote>
  <w:footnote w:id="1037">
    <w:p w14:paraId="4BD5DA5E"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 xml:space="preserve">Royal Commission into Violence, Abuse, Neglect and Exploitation of People with Disability, </w:t>
      </w:r>
      <w:r w:rsidRPr="00410DAB">
        <w:rPr>
          <w:rFonts w:ascii="Public Sans" w:hAnsi="Public Sans" w:cs="Arial"/>
          <w:szCs w:val="18"/>
        </w:rPr>
        <w:t>Final Report (2023) vol 4, “Realising the Human Rights of People with Disability”, 318.</w:t>
      </w:r>
    </w:p>
  </w:footnote>
  <w:footnote w:id="1038">
    <w:p w14:paraId="6627370A"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szCs w:val="18"/>
          <w:shd w:val="clear" w:color="auto" w:fill="FFFFFF"/>
        </w:rPr>
        <w:t>Australian Discrimination Law Experts Group, Submission to the Senate Standing Committees on Legal and Constitutional Affairs</w:t>
      </w:r>
      <w:r w:rsidRPr="00410DAB">
        <w:rPr>
          <w:rStyle w:val="normaltextrun"/>
          <w:rFonts w:ascii="Public Sans" w:hAnsi="Public Sans"/>
          <w:i/>
          <w:iCs/>
          <w:szCs w:val="18"/>
          <w:shd w:val="clear" w:color="auto" w:fill="FFFFFF"/>
        </w:rPr>
        <w:t>, Inquiry into the Anti-Discrimination and Human Rights Legislation Amendment (Respect at Work) Bill 2022</w:t>
      </w:r>
      <w:r w:rsidRPr="00410DAB">
        <w:rPr>
          <w:rStyle w:val="normaltextrun"/>
          <w:rFonts w:ascii="Public Sans" w:hAnsi="Public Sans"/>
          <w:szCs w:val="18"/>
          <w:shd w:val="clear" w:color="auto" w:fill="FFFFFF"/>
        </w:rPr>
        <w:t xml:space="preserve"> (11 October 2022) [10].</w:t>
      </w:r>
    </w:p>
  </w:footnote>
  <w:footnote w:id="1039">
    <w:p w14:paraId="0977743F"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28AA(2).</w:t>
      </w:r>
    </w:p>
  </w:footnote>
  <w:footnote w:id="1040">
    <w:p w14:paraId="46B340CB"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i/>
          <w:iCs/>
          <w:szCs w:val="18"/>
        </w:rPr>
        <w:t>Anti-Discrimination Act 1992</w:t>
      </w:r>
      <w:r w:rsidRPr="00410DAB">
        <w:rPr>
          <w:rFonts w:ascii="Public Sans" w:hAnsi="Public Sans"/>
          <w:szCs w:val="18"/>
        </w:rPr>
        <w:t xml:space="preserve"> (NT) s 20(1)(b).</w:t>
      </w:r>
    </w:p>
  </w:footnote>
  <w:footnote w:id="1041">
    <w:p w14:paraId="65C99684" w14:textId="77777777" w:rsidR="00BC7971" w:rsidRPr="00410DAB" w:rsidRDefault="00BC7971" w:rsidP="00BC7971">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Anti-Discrimination Act 1998</w:t>
      </w:r>
      <w:r w:rsidRPr="00410DAB">
        <w:rPr>
          <w:rFonts w:ascii="Public Sans" w:hAnsi="Public Sans"/>
          <w:szCs w:val="18"/>
        </w:rPr>
        <w:t xml:space="preserve"> (Tas) s 16(l)–(s).</w:t>
      </w:r>
    </w:p>
  </w:footnote>
  <w:footnote w:id="1042">
    <w:p w14:paraId="01A03FF1"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i/>
          <w:iCs/>
          <w:szCs w:val="18"/>
        </w:rPr>
        <w:t>Sex Discrimination Act 1984</w:t>
      </w:r>
      <w:r w:rsidRPr="00410DAB">
        <w:rPr>
          <w:rFonts w:ascii="Public Sans" w:hAnsi="Public Sans"/>
          <w:szCs w:val="18"/>
        </w:rPr>
        <w:t xml:space="preserve"> (Cth) s 28AA; </w:t>
      </w:r>
      <w:r w:rsidRPr="00410DAB">
        <w:rPr>
          <w:rFonts w:ascii="Public Sans" w:hAnsi="Public Sans"/>
          <w:i/>
          <w:iCs/>
          <w:szCs w:val="18"/>
        </w:rPr>
        <w:t>Disability Discrimination Act 1992</w:t>
      </w:r>
      <w:r w:rsidRPr="00410DAB">
        <w:rPr>
          <w:rFonts w:ascii="Public Sans" w:hAnsi="Public Sans"/>
          <w:szCs w:val="18"/>
        </w:rPr>
        <w:t xml:space="preserve"> (Cth) s 35, s 37, s 39.</w:t>
      </w:r>
    </w:p>
  </w:footnote>
  <w:footnote w:id="1043">
    <w:p w14:paraId="7BC1A8EF"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i/>
          <w:iCs/>
          <w:szCs w:val="18"/>
        </w:rPr>
        <w:t>Equal Opportunity Act 1984</w:t>
      </w:r>
      <w:r w:rsidRPr="00410DAB">
        <w:rPr>
          <w:rFonts w:ascii="Public Sans" w:hAnsi="Public Sans"/>
          <w:szCs w:val="18"/>
        </w:rPr>
        <w:t xml:space="preserve"> (WA) s 49A, s 49B, s 49C.</w:t>
      </w:r>
    </w:p>
  </w:footnote>
  <w:footnote w:id="1044">
    <w:p w14:paraId="4F7AD55B" w14:textId="77777777" w:rsidR="00BC7971" w:rsidRPr="00410DAB" w:rsidRDefault="00BC7971" w:rsidP="00BC7971">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Style w:val="normaltextrun"/>
          <w:rFonts w:ascii="Public Sans" w:hAnsi="Public Sans"/>
          <w:szCs w:val="18"/>
          <w:shd w:val="clear" w:color="auto" w:fill="FFFFFF"/>
        </w:rPr>
        <w:t xml:space="preserve">Queensland Human Rights Commission, </w:t>
      </w:r>
      <w:r w:rsidRPr="00410DAB">
        <w:rPr>
          <w:rStyle w:val="findhit"/>
          <w:rFonts w:ascii="Public Sans" w:hAnsi="Public Sans"/>
          <w:i/>
          <w:iCs/>
          <w:szCs w:val="18"/>
          <w:shd w:val="clear" w:color="auto" w:fill="FFFFFF"/>
        </w:rPr>
        <w:t>Building Bel</w:t>
      </w:r>
      <w:r w:rsidRPr="00410DAB">
        <w:rPr>
          <w:rStyle w:val="normaltextrun"/>
          <w:rFonts w:ascii="Public Sans" w:hAnsi="Public Sans"/>
          <w:i/>
          <w:iCs/>
          <w:szCs w:val="18"/>
          <w:shd w:val="clear" w:color="auto" w:fill="FFFFFF"/>
        </w:rPr>
        <w:t xml:space="preserve">onging: Review of Queensland’s Anti-Discrimination Act 1991 </w:t>
      </w:r>
      <w:r w:rsidRPr="00410DAB">
        <w:rPr>
          <w:rStyle w:val="normaltextrun"/>
          <w:rFonts w:ascii="Public Sans" w:hAnsi="Public Sans"/>
          <w:szCs w:val="18"/>
          <w:shd w:val="clear" w:color="auto" w:fill="FFFFFF"/>
        </w:rPr>
        <w:t>(2022)</w:t>
      </w:r>
      <w:r w:rsidRPr="00410DAB">
        <w:rPr>
          <w:rStyle w:val="eop"/>
          <w:rFonts w:ascii="Public Sans" w:hAnsi="Public Sans"/>
          <w:szCs w:val="18"/>
          <w:shd w:val="clear" w:color="auto" w:fill="FFFFFF"/>
        </w:rPr>
        <w:t xml:space="preserve"> </w:t>
      </w:r>
      <w:r w:rsidRPr="00410DAB">
        <w:rPr>
          <w:rFonts w:ascii="Public Sans" w:hAnsi="Public Sans"/>
          <w:szCs w:val="18"/>
        </w:rPr>
        <w:t>136–137.</w:t>
      </w:r>
    </w:p>
  </w:footnote>
  <w:footnote w:id="1045">
    <w:p w14:paraId="3657E517"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findhit"/>
          <w:rFonts w:ascii="Public Sans" w:hAnsi="Public Sans"/>
          <w:szCs w:val="18"/>
          <w:shd w:val="clear" w:color="auto" w:fill="FFFFFF"/>
        </w:rPr>
        <w:t>Law Reform Commission of Wes</w:t>
      </w:r>
      <w:r w:rsidRPr="00410DAB">
        <w:rPr>
          <w:rStyle w:val="normaltextrun"/>
          <w:rFonts w:ascii="Public Sans" w:hAnsi="Public Sans"/>
          <w:szCs w:val="18"/>
          <w:shd w:val="clear" w:color="auto" w:fill="FFFFFF"/>
        </w:rPr>
        <w:t xml:space="preserve">tern Australia, </w:t>
      </w:r>
      <w:r w:rsidRPr="00410DAB">
        <w:rPr>
          <w:rStyle w:val="normaltextrun"/>
          <w:rFonts w:ascii="Public Sans" w:hAnsi="Public Sans"/>
          <w:i/>
          <w:iCs/>
          <w:szCs w:val="18"/>
          <w:shd w:val="clear" w:color="auto" w:fill="FFFFFF"/>
        </w:rPr>
        <w:t>Review of the Equal Opportunity Act 1984 (WA)</w:t>
      </w:r>
      <w:r w:rsidRPr="00410DAB">
        <w:rPr>
          <w:rStyle w:val="normaltextrun"/>
          <w:rFonts w:ascii="Public Sans" w:hAnsi="Public Sans"/>
          <w:szCs w:val="18"/>
          <w:shd w:val="clear" w:color="auto" w:fill="FFFFFF"/>
        </w:rPr>
        <w:t>, Project 111, Final Report (2022)</w:t>
      </w:r>
      <w:r w:rsidRPr="00410DAB">
        <w:rPr>
          <w:rStyle w:val="eop"/>
          <w:rFonts w:ascii="Public Sans" w:hAnsi="Public Sans"/>
          <w:szCs w:val="18"/>
          <w:shd w:val="clear" w:color="auto" w:fill="FFFFFF"/>
        </w:rPr>
        <w:t> [5.2.2.1], rec 106.</w:t>
      </w:r>
    </w:p>
  </w:footnote>
  <w:footnote w:id="1046">
    <w:p w14:paraId="64FC85CF" w14:textId="77777777" w:rsidR="00BC7971" w:rsidRPr="00410DAB" w:rsidRDefault="00BC7971" w:rsidP="00BC7971">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t xml:space="preserve">Royal Commission into Violence, Abuse, Neglect and Exploitation of People with Disability, </w:t>
      </w:r>
      <w:r w:rsidRPr="00410DAB">
        <w:rPr>
          <w:rFonts w:ascii="Public Sans" w:hAnsi="Public Sans"/>
          <w:i/>
          <w:iCs/>
          <w:szCs w:val="18"/>
        </w:rPr>
        <w:t xml:space="preserve">Final Report </w:t>
      </w:r>
      <w:r w:rsidRPr="00410DAB">
        <w:rPr>
          <w:rFonts w:ascii="Public Sans" w:hAnsi="Public Sans"/>
          <w:szCs w:val="18"/>
        </w:rPr>
        <w:t>(2023) vol 4, “Realising the Human Rights of People with Disabilit</w:t>
      </w:r>
      <w:r w:rsidRPr="00410DAB">
        <w:rPr>
          <w:rFonts w:ascii="Public Sans" w:hAnsi="Public Sans"/>
          <w:i/>
          <w:iCs/>
          <w:szCs w:val="18"/>
        </w:rPr>
        <w:t>y”</w:t>
      </w:r>
      <w:r w:rsidRPr="00410DAB">
        <w:rPr>
          <w:rFonts w:ascii="Public Sans" w:hAnsi="Public Sans"/>
          <w:szCs w:val="18"/>
        </w:rPr>
        <w:t xml:space="preserve">, 319. See also </w:t>
      </w:r>
      <w:r w:rsidRPr="00410DAB">
        <w:rPr>
          <w:rFonts w:ascii="Public Sans" w:hAnsi="Public Sans" w:cs="Arial"/>
          <w:i/>
          <w:iCs/>
          <w:szCs w:val="18"/>
        </w:rPr>
        <w:t>Disability</w:t>
      </w:r>
      <w:r w:rsidRPr="00410DAB">
        <w:rPr>
          <w:rFonts w:ascii="Public Sans" w:hAnsi="Public Sans" w:cs="Arial"/>
          <w:szCs w:val="18"/>
        </w:rPr>
        <w:t xml:space="preserve"> </w:t>
      </w:r>
      <w:r w:rsidRPr="00410DAB">
        <w:rPr>
          <w:rFonts w:ascii="Public Sans" w:hAnsi="Public Sans" w:cs="Arial"/>
          <w:i/>
          <w:iCs/>
          <w:szCs w:val="18"/>
        </w:rPr>
        <w:t>Discrimination Act 1992</w:t>
      </w:r>
      <w:r w:rsidRPr="00410DAB">
        <w:rPr>
          <w:rFonts w:ascii="Public Sans" w:hAnsi="Public Sans" w:cs="Arial"/>
          <w:szCs w:val="18"/>
        </w:rPr>
        <w:t xml:space="preserve"> (Cth) s 35, s 37, s 39.</w:t>
      </w:r>
    </w:p>
  </w:footnote>
  <w:footnote w:id="1047">
    <w:p w14:paraId="79A094E3"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Anti-Discrimination Act 1977</w:t>
      </w:r>
      <w:r w:rsidRPr="00410DAB">
        <w:rPr>
          <w:rFonts w:ascii="Public Sans" w:hAnsi="Public Sans"/>
          <w:szCs w:val="18"/>
        </w:rPr>
        <w:t xml:space="preserve"> (NSW) s 50(1).</w:t>
      </w:r>
    </w:p>
  </w:footnote>
  <w:footnote w:id="1048">
    <w:p w14:paraId="207CC96C"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Borg v Department of Corrective Services</w:t>
      </w:r>
      <w:r w:rsidRPr="00410DAB">
        <w:rPr>
          <w:rFonts w:ascii="Public Sans" w:hAnsi="Public Sans"/>
          <w:szCs w:val="18"/>
        </w:rPr>
        <w:t xml:space="preserve"> (2002) EOC 93-198 [173].</w:t>
      </w:r>
    </w:p>
  </w:footnote>
  <w:footnote w:id="1049">
    <w:p w14:paraId="6E47EF80"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Shaikh v NSW Fire Brigades</w:t>
      </w:r>
      <w:r w:rsidRPr="00410DAB">
        <w:rPr>
          <w:rFonts w:ascii="Public Sans" w:hAnsi="Public Sans"/>
          <w:szCs w:val="18"/>
        </w:rPr>
        <w:t xml:space="preserve"> (1996) EOC 92-808 [48].</w:t>
      </w:r>
    </w:p>
  </w:footnote>
  <w:footnote w:id="1050">
    <w:p w14:paraId="58BBF557"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Bogie v University of Western Sydney</w:t>
      </w:r>
      <w:r w:rsidRPr="00410DAB">
        <w:rPr>
          <w:rFonts w:ascii="Public Sans" w:hAnsi="Public Sans"/>
          <w:szCs w:val="18"/>
        </w:rPr>
        <w:t xml:space="preserve"> (1990) EOC 92-313; </w:t>
      </w:r>
      <w:r w:rsidRPr="00410DAB">
        <w:rPr>
          <w:rFonts w:ascii="Public Sans" w:hAnsi="Public Sans"/>
          <w:i/>
          <w:iCs/>
          <w:szCs w:val="18"/>
        </w:rPr>
        <w:t>Sivananthan v NSW Police Service</w:t>
      </w:r>
      <w:r w:rsidRPr="00410DAB">
        <w:rPr>
          <w:rFonts w:ascii="Public Sans" w:hAnsi="Public Sans"/>
          <w:szCs w:val="18"/>
        </w:rPr>
        <w:t xml:space="preserve"> [2001] NSWADT 44 [40]–[41].</w:t>
      </w:r>
    </w:p>
  </w:footnote>
  <w:footnote w:id="1051">
    <w:p w14:paraId="3DBFDD8D"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Kolavo v Ainsworth Nominees</w:t>
      </w:r>
      <w:r w:rsidRPr="00410DAB">
        <w:rPr>
          <w:rFonts w:ascii="Public Sans" w:hAnsi="Public Sans"/>
          <w:szCs w:val="18"/>
        </w:rPr>
        <w:t xml:space="preserve"> (1994) EOC 92-576.</w:t>
      </w:r>
    </w:p>
  </w:footnote>
  <w:footnote w:id="1052">
    <w:p w14:paraId="04A346FD"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Borg v Department of Corrective Services</w:t>
      </w:r>
      <w:r w:rsidRPr="00410DAB">
        <w:rPr>
          <w:rFonts w:ascii="Public Sans" w:hAnsi="Public Sans"/>
          <w:szCs w:val="18"/>
        </w:rPr>
        <w:t xml:space="preserve"> (2002) EOC 93-198.</w:t>
      </w:r>
    </w:p>
  </w:footnote>
  <w:footnote w:id="1053">
    <w:p w14:paraId="06E70672"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Grass v McIntosh, Leong and Auyeng</w:t>
      </w:r>
      <w:r w:rsidRPr="00410DAB">
        <w:rPr>
          <w:rFonts w:ascii="Public Sans" w:hAnsi="Public Sans"/>
          <w:szCs w:val="18"/>
        </w:rPr>
        <w:t xml:space="preserve"> [2023] NSWCATAD 258.</w:t>
      </w:r>
    </w:p>
  </w:footnote>
  <w:footnote w:id="1054">
    <w:p w14:paraId="67EEEF2C"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t xml:space="preserve">See, eg, </w:t>
      </w:r>
      <w:r w:rsidRPr="00410DAB">
        <w:rPr>
          <w:rFonts w:ascii="Public Sans" w:hAnsi="Public Sans"/>
          <w:i/>
          <w:iCs/>
          <w:szCs w:val="18"/>
        </w:rPr>
        <w:t>Ferguson v Shoalhaven City Council</w:t>
      </w:r>
      <w:r w:rsidRPr="00410DAB">
        <w:rPr>
          <w:rFonts w:ascii="Public Sans" w:hAnsi="Public Sans"/>
          <w:szCs w:val="18"/>
        </w:rPr>
        <w:t xml:space="preserve"> [2023] NSWCATAD 276; </w:t>
      </w:r>
      <w:r w:rsidRPr="00410DAB">
        <w:rPr>
          <w:rFonts w:ascii="Public Sans" w:hAnsi="Public Sans"/>
          <w:i/>
          <w:iCs/>
          <w:szCs w:val="18"/>
        </w:rPr>
        <w:t>Burns v Sunol</w:t>
      </w:r>
      <w:r w:rsidRPr="00410DAB">
        <w:rPr>
          <w:rFonts w:ascii="Public Sans" w:hAnsi="Public Sans"/>
          <w:szCs w:val="18"/>
        </w:rPr>
        <w:t xml:space="preserve"> [2012] NSWADT 246; </w:t>
      </w:r>
      <w:r w:rsidRPr="00410DAB">
        <w:rPr>
          <w:rFonts w:ascii="Public Sans" w:hAnsi="Public Sans"/>
          <w:i/>
          <w:iCs/>
          <w:szCs w:val="18"/>
        </w:rPr>
        <w:t>Burns v Sunol</w:t>
      </w:r>
      <w:r w:rsidRPr="00410DAB">
        <w:rPr>
          <w:rFonts w:ascii="Public Sans" w:hAnsi="Public Sans"/>
          <w:szCs w:val="18"/>
        </w:rPr>
        <w:t xml:space="preserve"> [2014] NSWCATAD 61.</w:t>
      </w:r>
    </w:p>
  </w:footnote>
  <w:footnote w:id="1055">
    <w:p w14:paraId="545A47D2"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Anti-Discrimination Act 1977</w:t>
      </w:r>
      <w:r w:rsidRPr="00410DAB">
        <w:rPr>
          <w:rFonts w:ascii="Public Sans" w:hAnsi="Public Sans"/>
          <w:szCs w:val="18"/>
        </w:rPr>
        <w:t xml:space="preserve"> (NSW) s 50(2).</w:t>
      </w:r>
    </w:p>
  </w:footnote>
  <w:footnote w:id="1056">
    <w:p w14:paraId="26821F27"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t xml:space="preserve">See, eg, </w:t>
      </w:r>
      <w:r w:rsidRPr="00410DAB">
        <w:rPr>
          <w:rFonts w:ascii="Public Sans" w:hAnsi="Public Sans"/>
          <w:i/>
          <w:iCs/>
          <w:szCs w:val="18"/>
        </w:rPr>
        <w:t>Sex Discrimination Act 1984</w:t>
      </w:r>
      <w:r w:rsidRPr="00410DAB">
        <w:rPr>
          <w:rFonts w:ascii="Public Sans" w:hAnsi="Public Sans"/>
          <w:szCs w:val="18"/>
        </w:rPr>
        <w:t xml:space="preserve"> (Cth) s 47A(2); </w:t>
      </w:r>
      <w:r w:rsidRPr="00410DAB">
        <w:rPr>
          <w:rFonts w:ascii="Public Sans" w:hAnsi="Public Sans"/>
          <w:i/>
          <w:iCs/>
          <w:szCs w:val="18"/>
        </w:rPr>
        <w:t>Anti-Discrimination Act 1991</w:t>
      </w:r>
      <w:r w:rsidRPr="00410DAB">
        <w:rPr>
          <w:rFonts w:ascii="Public Sans" w:hAnsi="Public Sans"/>
          <w:szCs w:val="18"/>
        </w:rPr>
        <w:t xml:space="preserve"> (Qld) s 130(1); </w:t>
      </w:r>
      <w:r w:rsidRPr="00410DAB">
        <w:rPr>
          <w:rFonts w:ascii="Public Sans" w:hAnsi="Public Sans"/>
          <w:i/>
          <w:iCs/>
          <w:szCs w:val="18"/>
        </w:rPr>
        <w:t xml:space="preserve">Equal Opportunity Act 2010 </w:t>
      </w:r>
      <w:r w:rsidRPr="00410DAB">
        <w:rPr>
          <w:rFonts w:ascii="Public Sans" w:hAnsi="Public Sans"/>
          <w:szCs w:val="18"/>
        </w:rPr>
        <w:t xml:space="preserve">(Vic) s 104(1); </w:t>
      </w:r>
      <w:bookmarkStart w:id="459" w:name="_Hlk187416219"/>
      <w:r w:rsidRPr="00410DAB">
        <w:rPr>
          <w:rFonts w:ascii="Public Sans" w:hAnsi="Public Sans"/>
          <w:i/>
          <w:iCs/>
          <w:szCs w:val="18"/>
        </w:rPr>
        <w:t>Equal Opportunity Act 1984</w:t>
      </w:r>
      <w:r w:rsidRPr="00410DAB">
        <w:rPr>
          <w:rFonts w:ascii="Public Sans" w:hAnsi="Public Sans"/>
          <w:szCs w:val="18"/>
        </w:rPr>
        <w:t xml:space="preserve"> (WA) s 67(1).</w:t>
      </w:r>
      <w:bookmarkEnd w:id="459"/>
    </w:p>
  </w:footnote>
  <w:footnote w:id="1057">
    <w:p w14:paraId="68F1E92B"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Style w:val="normaltextrun"/>
          <w:rFonts w:ascii="Public Sans" w:hAnsi="Public Sans"/>
          <w:szCs w:val="18"/>
          <w:shd w:val="clear" w:color="auto" w:fill="FFFFFF"/>
        </w:rPr>
        <w:t xml:space="preserve">NSW Law Reform Commission, </w:t>
      </w:r>
      <w:r w:rsidRPr="00410DAB">
        <w:rPr>
          <w:rStyle w:val="normaltextrun"/>
          <w:rFonts w:ascii="Public Sans" w:hAnsi="Public Sans"/>
          <w:i/>
          <w:iCs/>
          <w:szCs w:val="18"/>
          <w:shd w:val="clear" w:color="auto" w:fill="FFFFFF"/>
        </w:rPr>
        <w:t>Review of the Anti-Discrimination Act 1977 (NSW)</w:t>
      </w:r>
      <w:r w:rsidRPr="00410DAB">
        <w:rPr>
          <w:rStyle w:val="normaltextrun"/>
          <w:rFonts w:ascii="Public Sans" w:hAnsi="Public Sans"/>
          <w:szCs w:val="18"/>
          <w:shd w:val="clear" w:color="auto" w:fill="FFFFFF"/>
        </w:rPr>
        <w:t>,</w:t>
      </w:r>
      <w:r w:rsidRPr="00410DAB">
        <w:rPr>
          <w:rStyle w:val="normaltextrun"/>
          <w:rFonts w:ascii="Public Sans" w:hAnsi="Public Sans"/>
          <w:i/>
          <w:iCs/>
          <w:szCs w:val="18"/>
          <w:shd w:val="clear" w:color="auto" w:fill="FFFFFF"/>
        </w:rPr>
        <w:t xml:space="preserve"> </w:t>
      </w:r>
      <w:r w:rsidRPr="00410DAB">
        <w:rPr>
          <w:rStyle w:val="normaltextrun"/>
          <w:rFonts w:ascii="Public Sans" w:hAnsi="Public Sans"/>
          <w:szCs w:val="18"/>
          <w:shd w:val="clear" w:color="auto" w:fill="FFFFFF"/>
        </w:rPr>
        <w:t>Report 92 (</w:t>
      </w:r>
      <w:r w:rsidRPr="00410DAB">
        <w:rPr>
          <w:rStyle w:val="findhit"/>
          <w:rFonts w:ascii="Public Sans" w:hAnsi="Public Sans"/>
          <w:szCs w:val="18"/>
          <w:shd w:val="clear" w:color="auto" w:fill="FFFFFF"/>
        </w:rPr>
        <w:t>1999</w:t>
      </w:r>
      <w:r w:rsidRPr="00410DAB">
        <w:rPr>
          <w:rStyle w:val="normaltextrun"/>
          <w:rFonts w:ascii="Public Sans" w:hAnsi="Public Sans"/>
          <w:szCs w:val="18"/>
          <w:shd w:val="clear" w:color="auto" w:fill="FFFFFF"/>
        </w:rPr>
        <w:t>) rec 98, [7.154].</w:t>
      </w:r>
    </w:p>
  </w:footnote>
  <w:footnote w:id="1058">
    <w:p w14:paraId="238AF3D5"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Anti-Discrimination Act 1977</w:t>
      </w:r>
      <w:r w:rsidRPr="00410DAB">
        <w:rPr>
          <w:rFonts w:ascii="Public Sans" w:hAnsi="Public Sans"/>
          <w:szCs w:val="18"/>
        </w:rPr>
        <w:t xml:space="preserve"> (NSW) s 4A.</w:t>
      </w:r>
    </w:p>
  </w:footnote>
  <w:footnote w:id="1059">
    <w:p w14:paraId="24B90AB9"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Nicholls v Department of Education and Training</w:t>
      </w:r>
      <w:r w:rsidRPr="00410DAB">
        <w:rPr>
          <w:rFonts w:ascii="Public Sans" w:hAnsi="Public Sans"/>
          <w:szCs w:val="18"/>
        </w:rPr>
        <w:t xml:space="preserve"> </w:t>
      </w:r>
      <w:r w:rsidRPr="00410DAB">
        <w:rPr>
          <w:rFonts w:ascii="Public Sans" w:hAnsi="Public Sans"/>
          <w:i/>
          <w:iCs/>
          <w:szCs w:val="18"/>
        </w:rPr>
        <w:t>(No 2)</w:t>
      </w:r>
      <w:r w:rsidRPr="00410DAB">
        <w:rPr>
          <w:rFonts w:ascii="Public Sans" w:hAnsi="Public Sans"/>
          <w:szCs w:val="18"/>
        </w:rPr>
        <w:t xml:space="preserve"> [2009] NSWADTAP 20 [36]; </w:t>
      </w:r>
      <w:r w:rsidRPr="00410DAB">
        <w:rPr>
          <w:rFonts w:ascii="Public Sans" w:hAnsi="Public Sans"/>
          <w:i/>
          <w:iCs/>
          <w:szCs w:val="18"/>
        </w:rPr>
        <w:t>Jones v TRAD</w:t>
      </w:r>
      <w:r w:rsidRPr="00410DAB">
        <w:rPr>
          <w:rFonts w:ascii="Public Sans" w:hAnsi="Public Sans"/>
          <w:szCs w:val="18"/>
        </w:rPr>
        <w:t xml:space="preserve"> [2013] NSWCA 389, 86 NSWLR 241; </w:t>
      </w:r>
      <w:r w:rsidRPr="00410DAB">
        <w:rPr>
          <w:rFonts w:ascii="Public Sans" w:hAnsi="Public Sans"/>
          <w:i/>
          <w:iCs/>
          <w:szCs w:val="18"/>
        </w:rPr>
        <w:t>Shaikh v NSW Fire Brigades</w:t>
      </w:r>
      <w:r w:rsidRPr="00410DAB">
        <w:rPr>
          <w:rFonts w:ascii="Public Sans" w:hAnsi="Public Sans"/>
          <w:szCs w:val="18"/>
        </w:rPr>
        <w:t xml:space="preserve"> (1996) EOC 92-808; </w:t>
      </w:r>
      <w:r w:rsidRPr="00410DAB">
        <w:rPr>
          <w:rFonts w:ascii="Public Sans" w:hAnsi="Public Sans"/>
          <w:i/>
          <w:iCs/>
          <w:szCs w:val="18"/>
        </w:rPr>
        <w:t>Waterhouse v Bell</w:t>
      </w:r>
      <w:r w:rsidRPr="00410DAB">
        <w:rPr>
          <w:rFonts w:ascii="Public Sans" w:hAnsi="Public Sans"/>
          <w:szCs w:val="18"/>
        </w:rPr>
        <w:t xml:space="preserve"> (1991) 25 NSWLR 99.</w:t>
      </w:r>
    </w:p>
  </w:footnote>
  <w:footnote w:id="1060">
    <w:p w14:paraId="69DD149A"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Anti-Discrimination Act 1977</w:t>
      </w:r>
      <w:r w:rsidRPr="00410DAB">
        <w:rPr>
          <w:rFonts w:ascii="Public Sans" w:hAnsi="Public Sans"/>
          <w:szCs w:val="18"/>
        </w:rPr>
        <w:t xml:space="preserve"> (NSW) s 51(1).</w:t>
      </w:r>
    </w:p>
  </w:footnote>
  <w:footnote w:id="1061">
    <w:p w14:paraId="616C3707"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Anti-Discrimination Act 1977</w:t>
      </w:r>
      <w:r w:rsidRPr="00410DAB">
        <w:rPr>
          <w:rFonts w:ascii="Public Sans" w:hAnsi="Public Sans"/>
          <w:szCs w:val="18"/>
        </w:rPr>
        <w:t xml:space="preserve"> (NSW) s 51(2).</w:t>
      </w:r>
    </w:p>
  </w:footnote>
  <w:footnote w:id="1062">
    <w:p w14:paraId="0F87F4A4"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Anti-Discrimination Act 1977</w:t>
      </w:r>
      <w:r w:rsidRPr="00410DAB">
        <w:rPr>
          <w:rFonts w:ascii="Public Sans" w:hAnsi="Public Sans"/>
          <w:szCs w:val="18"/>
        </w:rPr>
        <w:t xml:space="preserve"> (NSW) s 51(4).</w:t>
      </w:r>
    </w:p>
  </w:footnote>
  <w:footnote w:id="1063">
    <w:p w14:paraId="6DC0FD09"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Equal Opportunity Act 1984</w:t>
      </w:r>
      <w:r w:rsidRPr="00410DAB">
        <w:rPr>
          <w:rFonts w:ascii="Public Sans" w:hAnsi="Public Sans"/>
          <w:szCs w:val="18"/>
        </w:rPr>
        <w:t xml:space="preserve"> (SA) s 103(2).</w:t>
      </w:r>
    </w:p>
  </w:footnote>
  <w:footnote w:id="1064">
    <w:p w14:paraId="1FB82AB9"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Anti-Discrimination Act 1991</w:t>
      </w:r>
      <w:r w:rsidRPr="00410DAB">
        <w:rPr>
          <w:rFonts w:ascii="Public Sans" w:hAnsi="Public Sans"/>
          <w:szCs w:val="18"/>
        </w:rPr>
        <w:t xml:space="preserve"> (Qld) s 127(2)–(3); </w:t>
      </w:r>
      <w:r w:rsidRPr="00410DAB">
        <w:rPr>
          <w:rFonts w:ascii="Public Sans" w:hAnsi="Public Sans"/>
          <w:i/>
          <w:iCs/>
          <w:szCs w:val="18"/>
        </w:rPr>
        <w:t>Equal Opportunity Act 2010</w:t>
      </w:r>
      <w:r w:rsidRPr="00410DAB">
        <w:rPr>
          <w:rFonts w:ascii="Public Sans" w:hAnsi="Public Sans"/>
          <w:szCs w:val="18"/>
        </w:rPr>
        <w:t xml:space="preserve"> (Vic) s 183.</w:t>
      </w:r>
    </w:p>
  </w:footnote>
  <w:footnote w:id="1065">
    <w:p w14:paraId="774BB6C6"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t xml:space="preserve">See, eg, </w:t>
      </w:r>
      <w:r w:rsidRPr="00410DAB">
        <w:rPr>
          <w:rFonts w:ascii="Public Sans" w:hAnsi="Public Sans"/>
          <w:i/>
          <w:iCs/>
          <w:szCs w:val="18"/>
        </w:rPr>
        <w:t>Sex Discrimination Act 1984</w:t>
      </w:r>
      <w:r w:rsidRPr="00410DAB">
        <w:rPr>
          <w:rFonts w:ascii="Public Sans" w:hAnsi="Public Sans"/>
          <w:szCs w:val="18"/>
        </w:rPr>
        <w:t xml:space="preserve"> (Cth) s 86; </w:t>
      </w:r>
      <w:r w:rsidRPr="00410DAB">
        <w:rPr>
          <w:rFonts w:ascii="Public Sans" w:hAnsi="Public Sans"/>
          <w:i/>
          <w:iCs/>
          <w:szCs w:val="18"/>
        </w:rPr>
        <w:t>Discrimination Act 1991</w:t>
      </w:r>
      <w:r w:rsidRPr="00410DAB">
        <w:rPr>
          <w:rFonts w:ascii="Public Sans" w:hAnsi="Public Sans"/>
          <w:szCs w:val="18"/>
        </w:rPr>
        <w:t xml:space="preserve"> (ACT) s 69; </w:t>
      </w:r>
      <w:r w:rsidRPr="00410DAB">
        <w:rPr>
          <w:rFonts w:ascii="Public Sans" w:hAnsi="Public Sans"/>
          <w:i/>
          <w:iCs/>
          <w:szCs w:val="18"/>
        </w:rPr>
        <w:t xml:space="preserve">Anti-Discrimination Act 1998 </w:t>
      </w:r>
      <w:r w:rsidRPr="00410DAB">
        <w:rPr>
          <w:rFonts w:ascii="Public Sans" w:hAnsi="Public Sans"/>
          <w:szCs w:val="18"/>
        </w:rPr>
        <w:t>(Tas) s 20.</w:t>
      </w:r>
    </w:p>
  </w:footnote>
  <w:footnote w:id="1066">
    <w:p w14:paraId="2EAFB348" w14:textId="77777777" w:rsidR="009E3F78" w:rsidRPr="00410DAB" w:rsidRDefault="009E3F78" w:rsidP="009E3F78">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szCs w:val="18"/>
        </w:rPr>
        <w:t xml:space="preserve">See, eg, </w:t>
      </w:r>
      <w:r w:rsidRPr="00410DAB">
        <w:rPr>
          <w:rStyle w:val="findhit"/>
          <w:rFonts w:ascii="Public Sans" w:hAnsi="Public Sans"/>
          <w:i/>
          <w:iCs/>
          <w:szCs w:val="18"/>
          <w:shd w:val="clear" w:color="auto" w:fill="FFFFFF"/>
        </w:rPr>
        <w:t>Vitality</w:t>
      </w:r>
      <w:r w:rsidRPr="00410DAB">
        <w:rPr>
          <w:rStyle w:val="normaltextrun"/>
          <w:rFonts w:ascii="Public Sans" w:hAnsi="Public Sans"/>
          <w:i/>
          <w:iCs/>
          <w:szCs w:val="18"/>
          <w:shd w:val="clear" w:color="auto" w:fill="FFFFFF"/>
        </w:rPr>
        <w:t xml:space="preserve"> Works Australia Pty Ltd v Yelda (No 2)</w:t>
      </w:r>
      <w:r w:rsidRPr="00410DAB">
        <w:rPr>
          <w:rStyle w:val="normaltextrun"/>
          <w:rFonts w:ascii="Public Sans" w:hAnsi="Public Sans"/>
          <w:szCs w:val="18"/>
          <w:shd w:val="clear" w:color="auto" w:fill="FFFFFF"/>
        </w:rPr>
        <w:t xml:space="preserve"> [2021] NSWCA 147, 105 NSWLR 403 [43]</w:t>
      </w:r>
      <w:r w:rsidRPr="00410DAB">
        <w:rPr>
          <w:rStyle w:val="eop"/>
          <w:rFonts w:ascii="Public Sans" w:hAnsi="Public Sans"/>
          <w:szCs w:val="18"/>
          <w:shd w:val="clear" w:color="auto" w:fill="FFFFFF"/>
        </w:rPr>
        <w:t>.</w:t>
      </w:r>
    </w:p>
  </w:footnote>
  <w:footnote w:id="1067">
    <w:p w14:paraId="257D939F" w14:textId="77777777" w:rsidR="009E3F78" w:rsidRPr="00410DAB" w:rsidRDefault="009E3F78" w:rsidP="009E3F78">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szCs w:val="18"/>
        </w:rPr>
        <w:t>Shellharbour Golf Club Ltd v Wheeler</w:t>
      </w:r>
      <w:r w:rsidRPr="00410DAB">
        <w:rPr>
          <w:rFonts w:ascii="Public Sans" w:hAnsi="Public Sans"/>
          <w:szCs w:val="18"/>
        </w:rPr>
        <w:t xml:space="preserve"> [1999] NSWSC 224, 46 NSWLR 253 [30], [33]; </w:t>
      </w:r>
      <w:r w:rsidRPr="00410DAB">
        <w:rPr>
          <w:rStyle w:val="normaltextrun"/>
          <w:rFonts w:ascii="Public Sans" w:hAnsi="Public Sans"/>
          <w:i/>
          <w:iCs/>
          <w:szCs w:val="18"/>
          <w:shd w:val="clear" w:color="auto" w:fill="FFFFFF"/>
        </w:rPr>
        <w:t>Vitality Works Australia Pty Ltd v Yelda (No 2)</w:t>
      </w:r>
      <w:r w:rsidRPr="00410DAB">
        <w:rPr>
          <w:rStyle w:val="normaltextrun"/>
          <w:rFonts w:ascii="Public Sans" w:hAnsi="Public Sans"/>
          <w:szCs w:val="18"/>
          <w:shd w:val="clear" w:color="auto" w:fill="FFFFFF"/>
        </w:rPr>
        <w:t xml:space="preserve"> [2021] NSWCA 147, 105 NSWLR 403</w:t>
      </w:r>
      <w:r w:rsidRPr="00410DAB">
        <w:rPr>
          <w:rStyle w:val="eop"/>
          <w:rFonts w:ascii="Public Sans" w:hAnsi="Public Sans"/>
          <w:szCs w:val="18"/>
          <w:shd w:val="clear" w:color="auto" w:fill="FFFFFF"/>
        </w:rPr>
        <w:t> </w:t>
      </w:r>
      <w:r w:rsidRPr="00410DAB">
        <w:rPr>
          <w:rFonts w:ascii="Public Sans" w:hAnsi="Public Sans"/>
          <w:szCs w:val="18"/>
        </w:rPr>
        <w:t xml:space="preserve">[43]. See also </w:t>
      </w:r>
      <w:r w:rsidRPr="00410DAB">
        <w:rPr>
          <w:rStyle w:val="normaltextrun"/>
          <w:rFonts w:ascii="Public Sans" w:hAnsi="Public Sans"/>
          <w:i/>
          <w:iCs/>
          <w:szCs w:val="18"/>
          <w:shd w:val="clear" w:color="auto" w:fill="FFFFFF"/>
        </w:rPr>
        <w:t xml:space="preserve">NSW </w:t>
      </w:r>
      <w:r w:rsidRPr="00410DAB">
        <w:rPr>
          <w:rStyle w:val="findhit"/>
          <w:rFonts w:ascii="Public Sans" w:hAnsi="Public Sans"/>
          <w:i/>
          <w:iCs/>
          <w:szCs w:val="18"/>
          <w:shd w:val="clear" w:color="auto" w:fill="FFFFFF"/>
        </w:rPr>
        <w:t>Breed</w:t>
      </w:r>
      <w:r w:rsidRPr="00410DAB">
        <w:rPr>
          <w:rStyle w:val="normaltextrun"/>
          <w:rFonts w:ascii="Public Sans" w:hAnsi="Public Sans"/>
          <w:i/>
          <w:iCs/>
          <w:szCs w:val="18"/>
          <w:shd w:val="clear" w:color="auto" w:fill="FFFFFF"/>
        </w:rPr>
        <w:t xml:space="preserve">ing and Racing Stables Pty Ltd v V </w:t>
      </w:r>
      <w:r w:rsidRPr="00410DAB">
        <w:rPr>
          <w:rStyle w:val="normaltextrun"/>
          <w:rFonts w:ascii="Public Sans" w:hAnsi="Public Sans"/>
          <w:szCs w:val="18"/>
          <w:shd w:val="clear" w:color="auto" w:fill="FFFFFF"/>
        </w:rPr>
        <w:t>[2005] NSWCA 114</w:t>
      </w:r>
      <w:r w:rsidRPr="00410DAB">
        <w:rPr>
          <w:rStyle w:val="eop"/>
          <w:rFonts w:ascii="Public Sans" w:hAnsi="Public Sans"/>
          <w:szCs w:val="18"/>
          <w:shd w:val="clear" w:color="auto" w:fill="FFFFFF"/>
        </w:rPr>
        <w:t> </w:t>
      </w:r>
      <w:r w:rsidRPr="00410DAB">
        <w:rPr>
          <w:rFonts w:ascii="Public Sans" w:hAnsi="Public Sans"/>
          <w:szCs w:val="18"/>
        </w:rPr>
        <w:t>[25]–[33].</w:t>
      </w:r>
    </w:p>
  </w:footnote>
  <w:footnote w:id="1068">
    <w:p w14:paraId="5D94F2A8" w14:textId="77777777" w:rsidR="009E3F78" w:rsidRPr="00410DAB" w:rsidRDefault="009E3F78" w:rsidP="009E3F78">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szCs w:val="18"/>
        </w:rPr>
        <w:t>Anti-Discrimination Act 1977</w:t>
      </w:r>
      <w:r w:rsidRPr="00410DAB">
        <w:rPr>
          <w:rFonts w:ascii="Public Sans" w:hAnsi="Public Sans"/>
          <w:szCs w:val="18"/>
        </w:rPr>
        <w:t xml:space="preserve"> (NSW) s 53(2).</w:t>
      </w:r>
    </w:p>
  </w:footnote>
  <w:footnote w:id="1069">
    <w:p w14:paraId="362E0434" w14:textId="77777777" w:rsidR="009E3F78" w:rsidRPr="00410DAB" w:rsidRDefault="009E3F78" w:rsidP="009E3F78">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i/>
          <w:iCs/>
          <w:szCs w:val="18"/>
        </w:rPr>
        <w:t>Anti-Discrimination Act 1977</w:t>
      </w:r>
      <w:r w:rsidRPr="00410DAB">
        <w:rPr>
          <w:rFonts w:ascii="Public Sans" w:hAnsi="Public Sans"/>
          <w:szCs w:val="18"/>
        </w:rPr>
        <w:t xml:space="preserve"> (NSW) s 52.</w:t>
      </w:r>
    </w:p>
  </w:footnote>
  <w:footnote w:id="1070">
    <w:p w14:paraId="1E640B52"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bookmarkStart w:id="466" w:name="_Hlk189146047"/>
      <w:r w:rsidRPr="00410DAB">
        <w:rPr>
          <w:rFonts w:ascii="Public Sans" w:hAnsi="Public Sans"/>
          <w:i/>
          <w:iCs/>
          <w:szCs w:val="18"/>
        </w:rPr>
        <w:t xml:space="preserve">City of Adelaide v Australasian Performing Right Association Ltd </w:t>
      </w:r>
      <w:r w:rsidRPr="00410DAB">
        <w:rPr>
          <w:rFonts w:ascii="Public Sans" w:hAnsi="Public Sans"/>
          <w:szCs w:val="18"/>
        </w:rPr>
        <w:t>(1928) 40 CLR 481, 487;</w:t>
      </w:r>
      <w:bookmarkEnd w:id="466"/>
      <w:r w:rsidRPr="00410DAB">
        <w:rPr>
          <w:rFonts w:ascii="Public Sans" w:hAnsi="Public Sans"/>
          <w:szCs w:val="18"/>
        </w:rPr>
        <w:t xml:space="preserve"> </w:t>
      </w:r>
      <w:bookmarkStart w:id="467" w:name="_Hlk189146088"/>
      <w:r w:rsidRPr="00410DAB">
        <w:rPr>
          <w:rFonts w:ascii="Public Sans" w:hAnsi="Public Sans"/>
          <w:i/>
          <w:iCs/>
          <w:szCs w:val="18"/>
        </w:rPr>
        <w:t xml:space="preserve">Dixon v RNJ Sicame Pty Ltd </w:t>
      </w:r>
      <w:r w:rsidRPr="00410DAB">
        <w:rPr>
          <w:rFonts w:ascii="Public Sans" w:hAnsi="Public Sans"/>
          <w:szCs w:val="18"/>
        </w:rPr>
        <w:t>[2002] NSWADT 154</w:t>
      </w:r>
      <w:bookmarkEnd w:id="467"/>
      <w:r w:rsidRPr="00410DAB">
        <w:rPr>
          <w:rFonts w:ascii="Public Sans" w:hAnsi="Public Sans"/>
          <w:szCs w:val="18"/>
        </w:rPr>
        <w:t xml:space="preserve"> [51]; </w:t>
      </w:r>
      <w:r w:rsidRPr="00410DAB">
        <w:rPr>
          <w:rFonts w:ascii="Public Sans" w:hAnsi="Public Sans"/>
          <w:i/>
          <w:iCs/>
          <w:szCs w:val="18"/>
        </w:rPr>
        <w:t xml:space="preserve">Hollingsworth v NSW Police </w:t>
      </w:r>
      <w:r w:rsidRPr="00410DAB">
        <w:rPr>
          <w:rFonts w:ascii="Public Sans" w:hAnsi="Public Sans"/>
          <w:szCs w:val="18"/>
        </w:rPr>
        <w:t>[2004] NSWADT 17.</w:t>
      </w:r>
    </w:p>
  </w:footnote>
  <w:footnote w:id="1071">
    <w:p w14:paraId="7F1306C0"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bookmarkStart w:id="468" w:name="_Hlk189146485"/>
      <w:r w:rsidRPr="00410DAB">
        <w:rPr>
          <w:rStyle w:val="findhit"/>
          <w:rFonts w:ascii="Public Sans" w:hAnsi="Public Sans"/>
          <w:i/>
          <w:iCs/>
          <w:szCs w:val="18"/>
          <w:shd w:val="clear" w:color="auto" w:fill="FFFFFF"/>
        </w:rPr>
        <w:t>Elliott</w:t>
      </w:r>
      <w:r w:rsidRPr="00410DAB">
        <w:rPr>
          <w:rStyle w:val="normaltextrun"/>
          <w:rFonts w:ascii="Public Sans" w:hAnsi="Public Sans"/>
          <w:i/>
          <w:iCs/>
          <w:szCs w:val="18"/>
          <w:shd w:val="clear" w:color="auto" w:fill="FFFFFF"/>
        </w:rPr>
        <w:t xml:space="preserve"> v Nanda</w:t>
      </w:r>
      <w:r w:rsidRPr="00410DAB">
        <w:rPr>
          <w:rStyle w:val="normaltextrun"/>
          <w:rFonts w:ascii="Public Sans" w:hAnsi="Public Sans"/>
          <w:szCs w:val="18"/>
          <w:shd w:val="clear" w:color="auto" w:fill="FFFFFF"/>
        </w:rPr>
        <w:t xml:space="preserve"> [2001] FCA 418, 111 FCR 240 </w:t>
      </w:r>
      <w:r w:rsidRPr="00410DAB">
        <w:rPr>
          <w:rFonts w:ascii="Public Sans" w:hAnsi="Public Sans"/>
          <w:szCs w:val="18"/>
        </w:rPr>
        <w:t>[163].</w:t>
      </w:r>
      <w:bookmarkEnd w:id="468"/>
    </w:p>
  </w:footnote>
  <w:footnote w:id="1072">
    <w:p w14:paraId="17F6FC46"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Borg v Department of Corrective Services</w:t>
      </w:r>
      <w:r w:rsidRPr="00410DAB">
        <w:rPr>
          <w:rFonts w:ascii="Public Sans" w:hAnsi="Public Sans"/>
          <w:szCs w:val="18"/>
        </w:rPr>
        <w:t xml:space="preserve"> [2002] NSWADT 42 [120]–[121].</w:t>
      </w:r>
    </w:p>
  </w:footnote>
  <w:footnote w:id="1073">
    <w:p w14:paraId="7938BB1B"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t xml:space="preserve">See, eg, </w:t>
      </w:r>
      <w:r w:rsidRPr="00410DAB">
        <w:rPr>
          <w:rFonts w:ascii="Public Sans" w:hAnsi="Public Sans"/>
          <w:i/>
          <w:iCs/>
          <w:szCs w:val="18"/>
        </w:rPr>
        <w:t>Johnston v New South Wales</w:t>
      </w:r>
      <w:r w:rsidRPr="00410DAB">
        <w:rPr>
          <w:rFonts w:ascii="Public Sans" w:hAnsi="Public Sans"/>
          <w:szCs w:val="18"/>
        </w:rPr>
        <w:t xml:space="preserve"> [2009] NSWADT 314 [61].</w:t>
      </w:r>
    </w:p>
  </w:footnote>
  <w:footnote w:id="1074">
    <w:p w14:paraId="106EE50F"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Anti-Discrimination Act 1977</w:t>
      </w:r>
      <w:r w:rsidRPr="00410DAB">
        <w:rPr>
          <w:rFonts w:ascii="Public Sans" w:hAnsi="Public Sans"/>
          <w:szCs w:val="18"/>
        </w:rPr>
        <w:t xml:space="preserve"> (NSW) s 53(1), s 53(3).</w:t>
      </w:r>
    </w:p>
  </w:footnote>
  <w:footnote w:id="1075">
    <w:p w14:paraId="095639CF"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t xml:space="preserve">See, eg, </w:t>
      </w:r>
      <w:r w:rsidRPr="00410DAB">
        <w:rPr>
          <w:rFonts w:ascii="Public Sans" w:hAnsi="Public Sans"/>
          <w:i/>
          <w:iCs/>
          <w:szCs w:val="18"/>
        </w:rPr>
        <w:t>Sex Discrimination Act 1984</w:t>
      </w:r>
      <w:r w:rsidRPr="00410DAB">
        <w:rPr>
          <w:rFonts w:ascii="Public Sans" w:hAnsi="Public Sans"/>
          <w:szCs w:val="18"/>
        </w:rPr>
        <w:t xml:space="preserve"> (Cth) s 106(2); </w:t>
      </w:r>
      <w:r w:rsidRPr="00410DAB">
        <w:rPr>
          <w:rFonts w:ascii="Public Sans" w:hAnsi="Public Sans"/>
          <w:i/>
          <w:iCs/>
          <w:szCs w:val="18"/>
        </w:rPr>
        <w:t>Discrimination Act 1991</w:t>
      </w:r>
      <w:r w:rsidRPr="00410DAB">
        <w:rPr>
          <w:rFonts w:ascii="Public Sans" w:hAnsi="Public Sans"/>
          <w:szCs w:val="18"/>
        </w:rPr>
        <w:t xml:space="preserve"> (ACT) s 121A(3); </w:t>
      </w:r>
      <w:r w:rsidRPr="00410DAB">
        <w:rPr>
          <w:rFonts w:ascii="Public Sans" w:hAnsi="Public Sans"/>
          <w:i/>
          <w:iCs/>
          <w:szCs w:val="18"/>
        </w:rPr>
        <w:t>Equal Opportunity Act 2010 (</w:t>
      </w:r>
      <w:r w:rsidRPr="00410DAB">
        <w:rPr>
          <w:rFonts w:ascii="Public Sans" w:hAnsi="Public Sans"/>
          <w:szCs w:val="18"/>
        </w:rPr>
        <w:t>Vic) s 110.</w:t>
      </w:r>
    </w:p>
  </w:footnote>
  <w:footnote w:id="1076">
    <w:p w14:paraId="4BF46702"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Style w:val="normaltextrun"/>
          <w:rFonts w:ascii="Public Sans" w:hAnsi="Public Sans"/>
          <w:szCs w:val="18"/>
          <w:shd w:val="clear" w:color="auto" w:fill="FFFFFF"/>
        </w:rPr>
        <w:t xml:space="preserve">NSW, </w:t>
      </w:r>
      <w:r w:rsidRPr="00410DAB">
        <w:rPr>
          <w:rStyle w:val="normaltextrun"/>
          <w:rFonts w:ascii="Public Sans" w:hAnsi="Public Sans"/>
          <w:i/>
          <w:iCs/>
          <w:szCs w:val="18"/>
          <w:shd w:val="clear" w:color="auto" w:fill="FFFFFF"/>
        </w:rPr>
        <w:t>Parliamentary Debates</w:t>
      </w:r>
      <w:r w:rsidRPr="00410DAB">
        <w:rPr>
          <w:rStyle w:val="normaltextrun"/>
          <w:rFonts w:ascii="Public Sans" w:hAnsi="Public Sans"/>
          <w:szCs w:val="18"/>
          <w:shd w:val="clear" w:color="auto" w:fill="FFFFFF"/>
        </w:rPr>
        <w:t>, Legislative Council, Second Reading Speech, 20 November 1996, 6265.</w:t>
      </w:r>
    </w:p>
  </w:footnote>
  <w:footnote w:id="1077">
    <w:p w14:paraId="7A208307"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Johanson v Blackledge</w:t>
      </w:r>
      <w:r w:rsidRPr="00410DAB">
        <w:rPr>
          <w:rFonts w:ascii="Public Sans" w:hAnsi="Public Sans"/>
          <w:szCs w:val="18"/>
        </w:rPr>
        <w:t xml:space="preserve"> [2001] FMCA 6 [101]; </w:t>
      </w:r>
      <w:r w:rsidRPr="00410DAB">
        <w:rPr>
          <w:rFonts w:ascii="Public Sans" w:hAnsi="Public Sans"/>
          <w:i/>
          <w:iCs/>
          <w:szCs w:val="18"/>
        </w:rPr>
        <w:t>McAlister v SEQ Aboriginal Corporation</w:t>
      </w:r>
      <w:r w:rsidRPr="00410DAB">
        <w:rPr>
          <w:rFonts w:ascii="Public Sans" w:hAnsi="Public Sans"/>
          <w:szCs w:val="18"/>
        </w:rPr>
        <w:t xml:space="preserve"> [2002] FMCA 109 [143]; </w:t>
      </w:r>
      <w:bookmarkStart w:id="471" w:name="_Hlk189144086"/>
      <w:r w:rsidRPr="00410DAB">
        <w:rPr>
          <w:rFonts w:ascii="Public Sans" w:hAnsi="Public Sans"/>
          <w:i/>
          <w:iCs/>
          <w:szCs w:val="18"/>
        </w:rPr>
        <w:t>Cooke v Plauen Holdings Pty Ltd</w:t>
      </w:r>
      <w:r w:rsidRPr="00410DAB">
        <w:rPr>
          <w:rFonts w:ascii="Public Sans" w:hAnsi="Public Sans"/>
          <w:szCs w:val="18"/>
        </w:rPr>
        <w:t xml:space="preserve"> [2001] FMCA 91 [37].</w:t>
      </w:r>
    </w:p>
    <w:bookmarkEnd w:id="471"/>
  </w:footnote>
  <w:footnote w:id="1078">
    <w:p w14:paraId="4C4F9270"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Van Schoeler v Allen Taylor and Company Ltd (No 2)</w:t>
      </w:r>
      <w:r w:rsidRPr="00410DAB">
        <w:rPr>
          <w:rFonts w:ascii="Public Sans" w:hAnsi="Public Sans"/>
          <w:szCs w:val="18"/>
        </w:rPr>
        <w:t xml:space="preserve"> [2020] FCAFC 13, 273 FCR 189 [60].</w:t>
      </w:r>
    </w:p>
  </w:footnote>
  <w:footnote w:id="1079">
    <w:p w14:paraId="23B1A5EF"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t xml:space="preserve">See, eg, </w:t>
      </w:r>
      <w:r w:rsidRPr="00410DAB">
        <w:rPr>
          <w:rFonts w:ascii="Public Sans" w:hAnsi="Public Sans"/>
          <w:i/>
          <w:iCs/>
          <w:szCs w:val="18"/>
        </w:rPr>
        <w:t>Van Schoeler v Allen Taylor and Company Ltd (No 2)</w:t>
      </w:r>
      <w:r w:rsidRPr="00410DAB">
        <w:rPr>
          <w:rFonts w:ascii="Public Sans" w:hAnsi="Public Sans"/>
          <w:szCs w:val="18"/>
        </w:rPr>
        <w:t xml:space="preserve"> [2020] FCAFC 13, 273 FCR 189 [85]; </w:t>
      </w:r>
      <w:r w:rsidRPr="00410DAB">
        <w:rPr>
          <w:rFonts w:ascii="Public Sans" w:hAnsi="Public Sans"/>
          <w:i/>
          <w:iCs/>
          <w:szCs w:val="18"/>
        </w:rPr>
        <w:t>Caton v Richmond Club Ltd</w:t>
      </w:r>
      <w:r w:rsidRPr="00410DAB">
        <w:rPr>
          <w:rFonts w:ascii="Public Sans" w:hAnsi="Public Sans"/>
          <w:szCs w:val="18"/>
        </w:rPr>
        <w:t xml:space="preserve"> [2003] NSWADT 202; </w:t>
      </w:r>
      <w:r w:rsidRPr="00410DAB">
        <w:rPr>
          <w:rFonts w:ascii="Public Sans" w:hAnsi="Public Sans"/>
          <w:i/>
          <w:iCs/>
          <w:szCs w:val="18"/>
        </w:rPr>
        <w:t>Richardson v Oracle Corporation Australia Pty Ltd</w:t>
      </w:r>
      <w:r w:rsidRPr="00410DAB">
        <w:rPr>
          <w:rFonts w:ascii="Public Sans" w:hAnsi="Public Sans"/>
          <w:szCs w:val="18"/>
        </w:rPr>
        <w:t xml:space="preserve"> (2013) 232 IR 31 [158], [164].</w:t>
      </w:r>
    </w:p>
  </w:footnote>
  <w:footnote w:id="1080">
    <w:p w14:paraId="71379418"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Shellharbour Golf Club Ltd v Wheeler</w:t>
      </w:r>
      <w:r w:rsidRPr="00410DAB">
        <w:rPr>
          <w:rFonts w:ascii="Public Sans" w:hAnsi="Public Sans"/>
          <w:szCs w:val="18"/>
        </w:rPr>
        <w:t xml:space="preserve"> [1999] NSWSC 224, 46 NSWLR 253 [58]. See also </w:t>
      </w:r>
      <w:r w:rsidRPr="00410DAB">
        <w:rPr>
          <w:rFonts w:ascii="Public Sans" w:hAnsi="Public Sans"/>
          <w:i/>
          <w:iCs/>
          <w:szCs w:val="18"/>
        </w:rPr>
        <w:t>Hudson v Strathfield Golf Club</w:t>
      </w:r>
      <w:r w:rsidRPr="00410DAB">
        <w:rPr>
          <w:rFonts w:ascii="Public Sans" w:hAnsi="Public Sans"/>
          <w:szCs w:val="18"/>
        </w:rPr>
        <w:t xml:space="preserve"> [2000] NSWADT 88 [183]; </w:t>
      </w:r>
      <w:r w:rsidRPr="00410DAB">
        <w:rPr>
          <w:rStyle w:val="normaltextrun"/>
          <w:rFonts w:ascii="Public Sans" w:hAnsi="Public Sans"/>
          <w:i/>
          <w:iCs/>
          <w:szCs w:val="18"/>
          <w:shd w:val="clear" w:color="auto" w:fill="FFFFFF"/>
        </w:rPr>
        <w:t xml:space="preserve">NSW </w:t>
      </w:r>
      <w:r w:rsidRPr="00410DAB">
        <w:rPr>
          <w:rStyle w:val="findhit"/>
          <w:rFonts w:ascii="Public Sans" w:hAnsi="Public Sans"/>
          <w:i/>
          <w:iCs/>
          <w:szCs w:val="18"/>
          <w:shd w:val="clear" w:color="auto" w:fill="FFFFFF"/>
        </w:rPr>
        <w:t>Breed</w:t>
      </w:r>
      <w:r w:rsidRPr="00410DAB">
        <w:rPr>
          <w:rStyle w:val="normaltextrun"/>
          <w:rFonts w:ascii="Public Sans" w:hAnsi="Public Sans"/>
          <w:i/>
          <w:iCs/>
          <w:szCs w:val="18"/>
          <w:shd w:val="clear" w:color="auto" w:fill="FFFFFF"/>
        </w:rPr>
        <w:t xml:space="preserve">ing and Racing Stables Pty Ltd v V </w:t>
      </w:r>
      <w:r w:rsidRPr="00410DAB">
        <w:rPr>
          <w:rStyle w:val="normaltextrun"/>
          <w:rFonts w:ascii="Public Sans" w:hAnsi="Public Sans"/>
          <w:szCs w:val="18"/>
          <w:shd w:val="clear" w:color="auto" w:fill="FFFFFF"/>
        </w:rPr>
        <w:t>[2005] NSWCA 114</w:t>
      </w:r>
      <w:r w:rsidRPr="00410DAB">
        <w:rPr>
          <w:rStyle w:val="eop"/>
          <w:rFonts w:ascii="Public Sans" w:hAnsi="Public Sans"/>
          <w:szCs w:val="18"/>
          <w:shd w:val="clear" w:color="auto" w:fill="FFFFFF"/>
        </w:rPr>
        <w:t> </w:t>
      </w:r>
      <w:r w:rsidRPr="00410DAB">
        <w:rPr>
          <w:rFonts w:ascii="Public Sans" w:hAnsi="Public Sans"/>
          <w:szCs w:val="18"/>
        </w:rPr>
        <w:t>[32]-[33].</w:t>
      </w:r>
    </w:p>
  </w:footnote>
  <w:footnote w:id="1081">
    <w:p w14:paraId="7C39477D"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Shellharbour Golf Club Ltd v Wheeler</w:t>
      </w:r>
      <w:r w:rsidRPr="00410DAB">
        <w:rPr>
          <w:rFonts w:ascii="Public Sans" w:hAnsi="Public Sans"/>
          <w:szCs w:val="18"/>
        </w:rPr>
        <w:t xml:space="preserve"> [1999] NSWSC 224, 46 NSWLR 253 [74]. </w:t>
      </w:r>
    </w:p>
  </w:footnote>
  <w:footnote w:id="1082">
    <w:p w14:paraId="3C788078"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Style w:val="normaltextrun"/>
          <w:rFonts w:ascii="Public Sans" w:hAnsi="Public Sans"/>
          <w:szCs w:val="18"/>
          <w:shd w:val="clear" w:color="auto" w:fill="FFFFFF"/>
        </w:rPr>
        <w:t xml:space="preserve">NSW Law Reform Commission, </w:t>
      </w:r>
      <w:r w:rsidRPr="00410DAB">
        <w:rPr>
          <w:rStyle w:val="normaltextrun"/>
          <w:rFonts w:ascii="Public Sans" w:hAnsi="Public Sans"/>
          <w:i/>
          <w:iCs/>
          <w:szCs w:val="18"/>
          <w:shd w:val="clear" w:color="auto" w:fill="FFFFFF"/>
        </w:rPr>
        <w:t>Review of the Anti-Discrimination Act 1977 (NSW)</w:t>
      </w:r>
      <w:r w:rsidRPr="00410DAB">
        <w:rPr>
          <w:rStyle w:val="normaltextrun"/>
          <w:rFonts w:ascii="Public Sans" w:hAnsi="Public Sans"/>
          <w:szCs w:val="18"/>
          <w:shd w:val="clear" w:color="auto" w:fill="FFFFFF"/>
        </w:rPr>
        <w:t>,</w:t>
      </w:r>
      <w:r w:rsidRPr="00410DAB">
        <w:rPr>
          <w:rStyle w:val="normaltextrun"/>
          <w:rFonts w:ascii="Public Sans" w:hAnsi="Public Sans"/>
          <w:i/>
          <w:iCs/>
          <w:szCs w:val="18"/>
          <w:shd w:val="clear" w:color="auto" w:fill="FFFFFF"/>
        </w:rPr>
        <w:t xml:space="preserve"> </w:t>
      </w:r>
      <w:r w:rsidRPr="00410DAB">
        <w:rPr>
          <w:rStyle w:val="normaltextrun"/>
          <w:rFonts w:ascii="Public Sans" w:hAnsi="Public Sans"/>
          <w:szCs w:val="18"/>
          <w:shd w:val="clear" w:color="auto" w:fill="FFFFFF"/>
        </w:rPr>
        <w:t>Report 92 (</w:t>
      </w:r>
      <w:r w:rsidRPr="00410DAB">
        <w:rPr>
          <w:rStyle w:val="findhit"/>
          <w:rFonts w:ascii="Public Sans" w:hAnsi="Public Sans"/>
          <w:szCs w:val="18"/>
          <w:shd w:val="clear" w:color="auto" w:fill="FFFFFF"/>
        </w:rPr>
        <w:t>1999</w:t>
      </w:r>
      <w:r w:rsidRPr="00410DAB">
        <w:rPr>
          <w:rStyle w:val="normaltextrun"/>
          <w:rFonts w:ascii="Public Sans" w:hAnsi="Public Sans"/>
          <w:szCs w:val="18"/>
          <w:shd w:val="clear" w:color="auto" w:fill="FFFFFF"/>
        </w:rPr>
        <w:t>)</w:t>
      </w:r>
      <w:r w:rsidRPr="00410DAB">
        <w:rPr>
          <w:rStyle w:val="eop"/>
          <w:rFonts w:ascii="Public Sans" w:hAnsi="Public Sans"/>
          <w:szCs w:val="18"/>
          <w:shd w:val="clear" w:color="auto" w:fill="FFFFFF"/>
        </w:rPr>
        <w:t xml:space="preserve"> rec 100, [7.209]–[7.210].</w:t>
      </w:r>
    </w:p>
  </w:footnote>
  <w:footnote w:id="1083">
    <w:p w14:paraId="75E55162" w14:textId="77777777" w:rsidR="009E3F78" w:rsidRPr="00410DAB" w:rsidRDefault="009E3F78" w:rsidP="009E3F78">
      <w:pPr>
        <w:pStyle w:val="FootnoteText"/>
        <w:rPr>
          <w:rFonts w:ascii="Public Sans" w:hAnsi="Public Sans"/>
          <w:color w:val="FF0000"/>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Style w:val="findhit"/>
          <w:rFonts w:ascii="Public Sans" w:hAnsi="Public Sans"/>
          <w:szCs w:val="18"/>
          <w:shd w:val="clear" w:color="auto" w:fill="FFFFFF"/>
        </w:rPr>
        <w:t>Australian Human Rights</w:t>
      </w:r>
      <w:r w:rsidRPr="00410DAB">
        <w:rPr>
          <w:rStyle w:val="normaltextrun"/>
          <w:rFonts w:ascii="Public Sans" w:hAnsi="Public Sans"/>
          <w:szCs w:val="18"/>
          <w:shd w:val="clear" w:color="auto" w:fill="FFFFFF"/>
        </w:rPr>
        <w:t xml:space="preserve"> Commission, </w:t>
      </w:r>
      <w:r w:rsidRPr="00410DAB">
        <w:rPr>
          <w:rStyle w:val="normaltextrun"/>
          <w:rFonts w:ascii="Public Sans" w:hAnsi="Public Sans"/>
          <w:i/>
          <w:iCs/>
          <w:szCs w:val="18"/>
          <w:shd w:val="clear" w:color="auto" w:fill="FFFFFF"/>
        </w:rPr>
        <w:t xml:space="preserve">Human Rights and Technology, </w:t>
      </w:r>
      <w:r w:rsidRPr="00410DAB">
        <w:rPr>
          <w:rStyle w:val="normaltextrun"/>
          <w:rFonts w:ascii="Public Sans" w:hAnsi="Public Sans"/>
          <w:szCs w:val="18"/>
          <w:shd w:val="clear" w:color="auto" w:fill="FFFFFF"/>
        </w:rPr>
        <w:t>Final Report (2021)</w:t>
      </w:r>
      <w:r w:rsidRPr="00410DAB">
        <w:rPr>
          <w:rStyle w:val="eop"/>
          <w:rFonts w:ascii="Public Sans" w:hAnsi="Public Sans"/>
          <w:szCs w:val="18"/>
          <w:shd w:val="clear" w:color="auto" w:fill="FFFFFF"/>
        </w:rPr>
        <w:t> 35.</w:t>
      </w:r>
    </w:p>
  </w:footnote>
  <w:footnote w:id="1084">
    <w:p w14:paraId="79701BFA"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Style w:val="normaltextrun"/>
          <w:rFonts w:ascii="Public Sans" w:hAnsi="Public Sans" w:cs="Arial"/>
          <w:szCs w:val="18"/>
          <w:shd w:val="clear" w:color="auto" w:fill="FFFFFF"/>
        </w:rPr>
        <w:t xml:space="preserve">N Sheard, “Employment Discrimination by Algorithm: Can Anyone Be Held Accountable?” (2022) 45 </w:t>
      </w:r>
      <w:r w:rsidRPr="00410DAB">
        <w:rPr>
          <w:rStyle w:val="normaltextrun"/>
          <w:rFonts w:ascii="Public Sans" w:hAnsi="Public Sans" w:cs="Arial"/>
          <w:i/>
          <w:iCs/>
          <w:szCs w:val="18"/>
          <w:shd w:val="clear" w:color="auto" w:fill="FFFFFF"/>
        </w:rPr>
        <w:t>UNSW Law Journal</w:t>
      </w:r>
      <w:r w:rsidRPr="00410DAB">
        <w:rPr>
          <w:rStyle w:val="normaltextrun"/>
          <w:rFonts w:ascii="Public Sans" w:hAnsi="Public Sans" w:cs="Arial"/>
          <w:szCs w:val="18"/>
          <w:shd w:val="clear" w:color="auto" w:fill="FFFFFF"/>
        </w:rPr>
        <w:t xml:space="preserve"> 617,</w:t>
      </w:r>
      <w:r w:rsidRPr="00410DAB">
        <w:rPr>
          <w:rFonts w:ascii="Public Sans" w:hAnsi="Public Sans"/>
          <w:szCs w:val="18"/>
        </w:rPr>
        <w:t xml:space="preserve"> 625–626.</w:t>
      </w:r>
    </w:p>
  </w:footnote>
  <w:footnote w:id="1085">
    <w:p w14:paraId="5CEE3DEE"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Migration Act 1958</w:t>
      </w:r>
      <w:r w:rsidRPr="00410DAB">
        <w:rPr>
          <w:rFonts w:ascii="Public Sans" w:hAnsi="Public Sans"/>
          <w:szCs w:val="18"/>
        </w:rPr>
        <w:t xml:space="preserve"> (Cth) s 495A; </w:t>
      </w:r>
      <w:r w:rsidRPr="00410DAB">
        <w:rPr>
          <w:rFonts w:ascii="Public Sans" w:hAnsi="Public Sans"/>
          <w:i/>
          <w:iCs/>
          <w:szCs w:val="18"/>
        </w:rPr>
        <w:t>Social Security (Administration) Act 1999</w:t>
      </w:r>
      <w:r w:rsidRPr="00410DAB">
        <w:rPr>
          <w:rFonts w:ascii="Public Sans" w:hAnsi="Public Sans"/>
          <w:szCs w:val="18"/>
        </w:rPr>
        <w:t xml:space="preserve"> (Cth) s 6A(2).</w:t>
      </w:r>
    </w:p>
  </w:footnote>
  <w:footnote w:id="1086">
    <w:p w14:paraId="3ACAB3E5" w14:textId="77777777" w:rsidR="009E3F78" w:rsidRPr="00410DAB" w:rsidRDefault="009E3F78" w:rsidP="009E3F78">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Style w:val="normaltextrun"/>
          <w:rFonts w:ascii="Public Sans" w:hAnsi="Public Sans" w:cs="Arial"/>
          <w:szCs w:val="18"/>
          <w:shd w:val="clear" w:color="auto" w:fill="FFFFFF"/>
        </w:rPr>
        <w:t xml:space="preserve">N Sheard, “Employment Discrimination by Algorithm: Can Anyone Be Held Accountable?” (2022) 45 </w:t>
      </w:r>
      <w:r w:rsidRPr="00410DAB">
        <w:rPr>
          <w:rStyle w:val="normaltextrun"/>
          <w:rFonts w:ascii="Public Sans" w:hAnsi="Public Sans" w:cs="Arial"/>
          <w:i/>
          <w:iCs/>
          <w:szCs w:val="18"/>
          <w:shd w:val="clear" w:color="auto" w:fill="FFFFFF"/>
        </w:rPr>
        <w:t>UNSW Law Journal</w:t>
      </w:r>
      <w:r w:rsidRPr="00410DAB">
        <w:rPr>
          <w:rStyle w:val="normaltextrun"/>
          <w:rFonts w:ascii="Public Sans" w:hAnsi="Public Sans" w:cs="Arial"/>
          <w:szCs w:val="18"/>
          <w:shd w:val="clear" w:color="auto" w:fill="FFFFFF"/>
        </w:rPr>
        <w:t xml:space="preserve"> 617,</w:t>
      </w:r>
      <w:r w:rsidRPr="00410DAB">
        <w:rPr>
          <w:rFonts w:ascii="Public Sans" w:hAnsi="Public Sans"/>
          <w:szCs w:val="18"/>
        </w:rPr>
        <w:t xml:space="preserve"> 638.</w:t>
      </w:r>
    </w:p>
  </w:footnote>
  <w:footnote w:id="1087">
    <w:p w14:paraId="3AEBD498" w14:textId="77777777" w:rsidR="004A000C" w:rsidRPr="00410DAB" w:rsidRDefault="004A000C" w:rsidP="004A000C">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t>See, eg, Explanatory Statement and Human Rights Compatibility Statement, Discrimination Amendment Bill 2022 (ACT) cl 30.</w:t>
      </w:r>
    </w:p>
  </w:footnote>
  <w:footnote w:id="1088">
    <w:p w14:paraId="04479806"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findhit"/>
          <w:rFonts w:ascii="Public Sans" w:hAnsi="Public Sans" w:cs="Arial"/>
          <w:i/>
          <w:iCs/>
          <w:color w:val="000000"/>
          <w:szCs w:val="18"/>
          <w:shd w:val="clear" w:color="auto" w:fill="FFFFFF"/>
        </w:rPr>
        <w:t>Convention on the Righ</w:t>
      </w:r>
      <w:r w:rsidRPr="00410DAB">
        <w:rPr>
          <w:rStyle w:val="normaltextrun"/>
          <w:rFonts w:ascii="Public Sans" w:hAnsi="Public Sans" w:cs="Arial"/>
          <w:i/>
          <w:iCs/>
          <w:color w:val="000000"/>
          <w:szCs w:val="18"/>
          <w:shd w:val="clear" w:color="auto" w:fill="FFFFFF"/>
        </w:rPr>
        <w:t>ts of Persons with Disabilities</w:t>
      </w:r>
      <w:r w:rsidRPr="00410DAB">
        <w:rPr>
          <w:rStyle w:val="normaltextrun"/>
          <w:rFonts w:ascii="Public Sans" w:hAnsi="Public Sans" w:cs="Arial"/>
          <w:color w:val="000000"/>
          <w:szCs w:val="18"/>
          <w:shd w:val="clear" w:color="auto" w:fill="FFFFFF"/>
        </w:rPr>
        <w:t>, 2515 UNTS 3 (entered into force 3 May 2008)</w:t>
      </w:r>
      <w:r w:rsidRPr="00410DAB">
        <w:rPr>
          <w:rStyle w:val="eop"/>
          <w:rFonts w:ascii="Public Sans" w:hAnsi="Public Sans" w:cs="Arial"/>
          <w:color w:val="000000"/>
          <w:szCs w:val="18"/>
          <w:shd w:val="clear" w:color="auto" w:fill="FFFFFF"/>
        </w:rPr>
        <w:t> art 2 definition of “reasonable accommodation”, arts 5, 14, 24, 27.</w:t>
      </w:r>
    </w:p>
  </w:footnote>
  <w:footnote w:id="1089">
    <w:p w14:paraId="499FD8A0"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49D(4)(b), s 49E(3)(b), s 49F(2)(b), s 49G(3)(b), s 49L(4).</w:t>
      </w:r>
    </w:p>
  </w:footnote>
  <w:footnote w:id="1090">
    <w:p w14:paraId="14463FAE"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49V(4)(b), s 49W(3)(b), s 49X(2)(b), s 49Y(3)(b).</w:t>
      </w:r>
    </w:p>
  </w:footnote>
  <w:footnote w:id="1091">
    <w:p w14:paraId="6605A99C"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49C, s 49U.</w:t>
      </w:r>
    </w:p>
  </w:footnote>
  <w:footnote w:id="1092">
    <w:p w14:paraId="0248B6BE"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Royal Commission into Violence, Abuse, Neglect and Exploitation of People with Disability</w:t>
      </w:r>
      <w:r w:rsidRPr="00410DAB">
        <w:rPr>
          <w:rFonts w:ascii="Public Sans" w:hAnsi="Public Sans" w:cs="Arial"/>
          <w:szCs w:val="18"/>
        </w:rPr>
        <w:t>, Final Report</w:t>
      </w:r>
      <w:r w:rsidRPr="00410DAB">
        <w:rPr>
          <w:rFonts w:ascii="Public Sans" w:hAnsi="Public Sans" w:cs="Arial"/>
          <w:i/>
          <w:iCs/>
          <w:szCs w:val="18"/>
        </w:rPr>
        <w:t xml:space="preserve"> </w:t>
      </w:r>
      <w:r w:rsidRPr="00410DAB">
        <w:rPr>
          <w:rFonts w:ascii="Public Sans" w:hAnsi="Public Sans" w:cs="Arial"/>
          <w:szCs w:val="18"/>
        </w:rPr>
        <w:t>(2023) vol 4, “Realising the Human Rights of People with Disability”, 308.</w:t>
      </w:r>
    </w:p>
  </w:footnote>
  <w:footnote w:id="1093">
    <w:p w14:paraId="3A974E2C"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Disability Discrimination Act 1992</w:t>
      </w:r>
      <w:r w:rsidRPr="00410DAB">
        <w:rPr>
          <w:rFonts w:ascii="Public Sans" w:hAnsi="Public Sans" w:cs="Arial"/>
          <w:szCs w:val="18"/>
        </w:rPr>
        <w:t xml:space="preserve"> (Cth) s 5(2), s 6(2).</w:t>
      </w:r>
    </w:p>
  </w:footnote>
  <w:footnote w:id="1094">
    <w:p w14:paraId="599EBBD6"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Disability Discrimination Act 1992</w:t>
      </w:r>
      <w:r w:rsidRPr="00410DAB">
        <w:rPr>
          <w:rFonts w:ascii="Public Sans" w:hAnsi="Public Sans" w:cs="Arial"/>
          <w:szCs w:val="18"/>
        </w:rPr>
        <w:t xml:space="preserve"> (Cth) s 5(2).</w:t>
      </w:r>
    </w:p>
  </w:footnote>
  <w:footnote w:id="1095">
    <w:p w14:paraId="3998E705" w14:textId="77777777" w:rsidR="004A000C" w:rsidRPr="00410DAB" w:rsidRDefault="004A000C" w:rsidP="004A000C">
      <w:pPr>
        <w:pStyle w:val="FootnoteText"/>
        <w:rPr>
          <w:rFonts w:ascii="Public Sans" w:hAnsi="Public Sans" w:cs="Arial"/>
          <w:szCs w:val="18"/>
        </w:rPr>
      </w:pPr>
      <w:bookmarkStart w:id="485" w:name="_Hlk191383746"/>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Purvis v New South Wales</w:t>
      </w:r>
      <w:r w:rsidRPr="00410DAB">
        <w:rPr>
          <w:rFonts w:ascii="Public Sans" w:hAnsi="Public Sans" w:cs="Arial"/>
          <w:szCs w:val="18"/>
        </w:rPr>
        <w:t xml:space="preserve"> [2003] HCA 62, 217 CLR 92 [104]; </w:t>
      </w:r>
      <w:bookmarkStart w:id="486" w:name="_Hlk191986920"/>
      <w:r w:rsidRPr="00410DAB">
        <w:rPr>
          <w:rFonts w:ascii="Public Sans" w:hAnsi="Public Sans" w:cs="Arial"/>
          <w:i/>
          <w:iCs/>
          <w:szCs w:val="18"/>
        </w:rPr>
        <w:t>Watts v Australian Postal Corporation</w:t>
      </w:r>
      <w:r w:rsidRPr="00410DAB">
        <w:rPr>
          <w:rFonts w:ascii="Public Sans" w:hAnsi="Public Sans" w:cs="Arial"/>
          <w:szCs w:val="18"/>
        </w:rPr>
        <w:t xml:space="preserve"> [2014] FCA 370, 222 FCR 220</w:t>
      </w:r>
      <w:bookmarkEnd w:id="486"/>
      <w:r w:rsidRPr="00410DAB">
        <w:rPr>
          <w:rFonts w:ascii="Public Sans" w:hAnsi="Public Sans" w:cs="Arial"/>
          <w:szCs w:val="18"/>
        </w:rPr>
        <w:t xml:space="preserve"> [233].</w:t>
      </w:r>
      <w:bookmarkEnd w:id="485"/>
    </w:p>
  </w:footnote>
  <w:footnote w:id="1096">
    <w:p w14:paraId="39E38255" w14:textId="77777777" w:rsidR="004A000C" w:rsidRPr="00410DAB" w:rsidRDefault="004A000C" w:rsidP="004A000C">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rPr>
        <w:t>Sklavos v Australasian College of Dermatologists</w:t>
      </w:r>
      <w:r w:rsidRPr="00410DAB">
        <w:rPr>
          <w:rFonts w:ascii="Public Sans" w:hAnsi="Public Sans" w:cs="Arial"/>
        </w:rPr>
        <w:t xml:space="preserve"> [2017] FCAFC 128 [23]–[53].</w:t>
      </w:r>
    </w:p>
  </w:footnote>
  <w:footnote w:id="1097">
    <w:p w14:paraId="680BD6B6" w14:textId="77777777" w:rsidR="004A000C" w:rsidRPr="00410DAB" w:rsidRDefault="004A000C" w:rsidP="004A000C">
      <w:pPr>
        <w:pStyle w:val="FootnoteText"/>
        <w:rPr>
          <w:rFonts w:ascii="Public Sans" w:hAnsi="Public Sans"/>
          <w:sz w:val="20"/>
          <w:lang w:val="en-GB"/>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 xml:space="preserve">Watts v Australian Postal Corporation </w:t>
      </w:r>
      <w:r w:rsidRPr="00410DAB">
        <w:rPr>
          <w:rFonts w:ascii="Public Sans" w:hAnsi="Public Sans" w:cs="Arial"/>
          <w:szCs w:val="18"/>
        </w:rPr>
        <w:t>[2014] FCA 370, 222 FCR 220 [22].</w:t>
      </w:r>
    </w:p>
  </w:footnote>
  <w:footnote w:id="1098">
    <w:p w14:paraId="2938EA2C" w14:textId="77777777" w:rsidR="004A000C" w:rsidRPr="00410DAB" w:rsidRDefault="004A000C" w:rsidP="004A000C">
      <w:pPr>
        <w:pStyle w:val="FootnoteText"/>
        <w:rPr>
          <w:rFonts w:ascii="Public Sans" w:hAnsi="Public Sans" w:cs="Arial"/>
          <w:color w:val="000000" w:themeColor="text1"/>
          <w:szCs w:val="18"/>
        </w:rPr>
      </w:pPr>
      <w:r w:rsidRPr="00410DAB">
        <w:rPr>
          <w:rStyle w:val="FootnoteReference"/>
          <w:rFonts w:cs="Arial"/>
          <w:color w:val="000000" w:themeColor="text1"/>
          <w:szCs w:val="18"/>
          <w:vertAlign w:val="baseline"/>
        </w:rPr>
        <w:footnoteRef/>
      </w:r>
      <w:r w:rsidRPr="00410DAB">
        <w:rPr>
          <w:rFonts w:ascii="Public Sans" w:hAnsi="Public Sans" w:cs="Arial"/>
          <w:color w:val="000000" w:themeColor="text1"/>
          <w:szCs w:val="18"/>
        </w:rPr>
        <w:t>.</w:t>
      </w:r>
      <w:r w:rsidRPr="00410DAB">
        <w:rPr>
          <w:rFonts w:ascii="Public Sans" w:hAnsi="Public Sans" w:cs="Arial"/>
          <w:color w:val="000000" w:themeColor="text1"/>
          <w:szCs w:val="18"/>
        </w:rPr>
        <w:tab/>
      </w:r>
      <w:r w:rsidRPr="00410DAB">
        <w:rPr>
          <w:rFonts w:ascii="Public Sans" w:hAnsi="Public Sans" w:cs="Arial"/>
          <w:i/>
          <w:iCs/>
          <w:color w:val="000000" w:themeColor="text1"/>
          <w:szCs w:val="18"/>
        </w:rPr>
        <w:t>Disability Discrimination Act 1992</w:t>
      </w:r>
      <w:r w:rsidRPr="00410DAB">
        <w:rPr>
          <w:rFonts w:ascii="Public Sans" w:hAnsi="Public Sans" w:cs="Arial"/>
          <w:color w:val="000000" w:themeColor="text1"/>
          <w:szCs w:val="18"/>
        </w:rPr>
        <w:t xml:space="preserve"> (Cth) s 4 definition of “reasonable adjustment”, s 11 definition of “unjustifiable hardship”.</w:t>
      </w:r>
    </w:p>
  </w:footnote>
  <w:footnote w:id="1099">
    <w:p w14:paraId="077C5C99"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Equal Opportunity Act 2010</w:t>
      </w:r>
      <w:r w:rsidRPr="00410DAB">
        <w:rPr>
          <w:rFonts w:ascii="Public Sans" w:hAnsi="Public Sans" w:cs="Arial"/>
          <w:szCs w:val="18"/>
        </w:rPr>
        <w:t xml:space="preserve"> (Vic) s 20, s 22A, s 33, s 40, s 45. </w:t>
      </w:r>
    </w:p>
  </w:footnote>
  <w:footnote w:id="1100">
    <w:p w14:paraId="48F91F6A"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Dziurbas v Mondelez Australia Pty Ltd</w:t>
      </w:r>
      <w:r w:rsidRPr="00410DAB">
        <w:rPr>
          <w:rFonts w:ascii="Public Sans" w:hAnsi="Public Sans" w:cs="Arial"/>
          <w:szCs w:val="18"/>
        </w:rPr>
        <w:t xml:space="preserve"> [2015] VCAT 1432 [141]; </w:t>
      </w:r>
      <w:r w:rsidRPr="00410DAB">
        <w:rPr>
          <w:rFonts w:ascii="Public Sans" w:hAnsi="Public Sans" w:cs="Arial"/>
          <w:i/>
          <w:iCs/>
          <w:szCs w:val="18"/>
        </w:rPr>
        <w:t>Equal Opportunity Act 2010</w:t>
      </w:r>
      <w:r w:rsidRPr="00410DAB">
        <w:rPr>
          <w:rFonts w:ascii="Public Sans" w:hAnsi="Public Sans" w:cs="Arial"/>
          <w:szCs w:val="18"/>
        </w:rPr>
        <w:t xml:space="preserve"> (Vic) s 20(1)(b)–(2), s 33(1)(b)–(2).</w:t>
      </w:r>
    </w:p>
  </w:footnote>
  <w:footnote w:id="1101">
    <w:p w14:paraId="18370A70"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w:t>
      </w:r>
      <w:r w:rsidRPr="00410DAB">
        <w:rPr>
          <w:rFonts w:ascii="Public Sans" w:hAnsi="Public Sans" w:cs="Arial"/>
          <w:i/>
          <w:iCs/>
          <w:szCs w:val="18"/>
        </w:rPr>
        <w:t>Equal Opportunity Act 2010</w:t>
      </w:r>
      <w:r w:rsidRPr="00410DAB">
        <w:rPr>
          <w:rFonts w:ascii="Public Sans" w:hAnsi="Public Sans" w:cs="Arial"/>
          <w:szCs w:val="18"/>
        </w:rPr>
        <w:t xml:space="preserve"> (Vic) s 20(3).</w:t>
      </w:r>
    </w:p>
  </w:footnote>
  <w:footnote w:id="1102">
    <w:p w14:paraId="129837DE"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Discrimination Act 1991</w:t>
      </w:r>
      <w:r w:rsidRPr="00410DAB">
        <w:rPr>
          <w:rFonts w:ascii="Public Sans" w:hAnsi="Public Sans" w:cs="Arial"/>
          <w:szCs w:val="18"/>
        </w:rPr>
        <w:t xml:space="preserve"> (ACT) s 74. </w:t>
      </w:r>
    </w:p>
  </w:footnote>
  <w:footnote w:id="1103">
    <w:p w14:paraId="74A3F691" w14:textId="77777777" w:rsidR="004A000C" w:rsidRPr="00410DAB" w:rsidRDefault="004A000C" w:rsidP="004A000C">
      <w:pPr>
        <w:pStyle w:val="FootnoteText"/>
        <w:rPr>
          <w:rFonts w:ascii="Public Sans" w:hAnsi="Public Sans" w:cs="Arial"/>
          <w:color w:val="0070C0"/>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Royal Commission into Violence, Abuse, Neglect and Exploitation of People with Disability</w:t>
      </w:r>
      <w:r w:rsidRPr="00410DAB">
        <w:rPr>
          <w:rFonts w:ascii="Public Sans" w:hAnsi="Public Sans" w:cs="Arial"/>
          <w:szCs w:val="18"/>
        </w:rPr>
        <w:t>, Final Report</w:t>
      </w:r>
      <w:r w:rsidRPr="00410DAB">
        <w:rPr>
          <w:rFonts w:ascii="Public Sans" w:hAnsi="Public Sans" w:cs="Arial"/>
          <w:i/>
          <w:iCs/>
          <w:szCs w:val="18"/>
        </w:rPr>
        <w:t xml:space="preserve"> </w:t>
      </w:r>
      <w:r w:rsidRPr="00410DAB">
        <w:rPr>
          <w:rFonts w:ascii="Public Sans" w:hAnsi="Public Sans" w:cs="Arial"/>
          <w:szCs w:val="18"/>
        </w:rPr>
        <w:t>(2023) vol 4, “Realising the Human Rights of People with Disability”, 308, rec 4.26.</w:t>
      </w:r>
    </w:p>
  </w:footnote>
  <w:footnote w:id="1104">
    <w:p w14:paraId="51371E59"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rec 5.1; </w:t>
      </w:r>
      <w:r w:rsidRPr="00410DAB">
        <w:rPr>
          <w:rStyle w:val="normaltextrun"/>
          <w:rFonts w:ascii="Public Sans" w:hAnsi="Public Sans" w:cs="Arial"/>
          <w:color w:val="000000"/>
          <w:szCs w:val="18"/>
          <w:shd w:val="clear" w:color="auto" w:fill="FFFFFF"/>
        </w:rPr>
        <w:t xml:space="preserve">NSW, </w:t>
      </w:r>
      <w:r w:rsidRPr="00410DAB">
        <w:rPr>
          <w:rStyle w:val="findhit"/>
          <w:rFonts w:ascii="Public Sans" w:hAnsi="Public Sans" w:cs="Arial"/>
          <w:color w:val="000000"/>
          <w:szCs w:val="18"/>
          <w:shd w:val="clear" w:color="auto" w:fill="FFFFFF"/>
        </w:rPr>
        <w:t>Legislative Council</w:t>
      </w:r>
      <w:r w:rsidRPr="00410DAB">
        <w:rPr>
          <w:rStyle w:val="normaltextrun"/>
          <w:rFonts w:ascii="Public Sans" w:hAnsi="Public Sans" w:cs="Arial"/>
          <w:color w:val="000000"/>
          <w:szCs w:val="18"/>
          <w:shd w:val="clear" w:color="auto" w:fill="FFFFFF"/>
        </w:rPr>
        <w:t xml:space="preserve"> Portfolio Committee No 3, </w:t>
      </w:r>
      <w:r w:rsidRPr="00410DAB">
        <w:rPr>
          <w:rStyle w:val="normaltextrun"/>
          <w:rFonts w:ascii="Public Sans" w:hAnsi="Public Sans" w:cs="Arial"/>
          <w:i/>
          <w:iCs/>
          <w:color w:val="000000"/>
          <w:szCs w:val="18"/>
          <w:shd w:val="clear" w:color="auto" w:fill="FFFFFF"/>
        </w:rPr>
        <w:t>Children and Young People with Disability in New South Wales Educational Settings,</w:t>
      </w:r>
      <w:r w:rsidRPr="00410DAB">
        <w:rPr>
          <w:rStyle w:val="normaltextrun"/>
          <w:rFonts w:ascii="Public Sans" w:hAnsi="Public Sans" w:cs="Arial"/>
          <w:color w:val="000000"/>
          <w:szCs w:val="18"/>
          <w:shd w:val="clear" w:color="auto" w:fill="FFFFFF"/>
        </w:rPr>
        <w:t xml:space="preserve"> Report 52 (2024) rec 25.</w:t>
      </w:r>
      <w:r w:rsidRPr="00410DAB">
        <w:rPr>
          <w:rStyle w:val="eop"/>
          <w:rFonts w:ascii="Public Sans" w:hAnsi="Public Sans" w:cs="Arial"/>
          <w:color w:val="000000"/>
          <w:szCs w:val="18"/>
          <w:shd w:val="clear" w:color="auto" w:fill="FFFFFF"/>
        </w:rPr>
        <w:t> </w:t>
      </w:r>
    </w:p>
  </w:footnote>
  <w:footnote w:id="1105">
    <w:p w14:paraId="4A9417F8"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Royal Commission into Violence, Abuse, Neglect and Exploitation of People with Disability</w:t>
      </w:r>
      <w:r w:rsidRPr="00410DAB">
        <w:rPr>
          <w:rFonts w:ascii="Public Sans" w:hAnsi="Public Sans" w:cs="Arial"/>
          <w:szCs w:val="18"/>
        </w:rPr>
        <w:t>, Final Report</w:t>
      </w:r>
      <w:r w:rsidRPr="00410DAB">
        <w:rPr>
          <w:rFonts w:ascii="Public Sans" w:hAnsi="Public Sans" w:cs="Arial"/>
          <w:i/>
          <w:iCs/>
          <w:szCs w:val="18"/>
        </w:rPr>
        <w:t xml:space="preserve"> </w:t>
      </w:r>
      <w:r w:rsidRPr="00410DAB">
        <w:rPr>
          <w:rFonts w:ascii="Public Sans" w:hAnsi="Public Sans" w:cs="Arial"/>
          <w:szCs w:val="18"/>
        </w:rPr>
        <w:t>(2023) vol 4, “Realising the Human Rights of People with Disability”, 308.</w:t>
      </w:r>
    </w:p>
  </w:footnote>
  <w:footnote w:id="1106">
    <w:p w14:paraId="2E68648E"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122–123.</w:t>
      </w:r>
    </w:p>
  </w:footnote>
  <w:footnote w:id="1107">
    <w:p w14:paraId="75E65ECB" w14:textId="77777777" w:rsidR="004A000C" w:rsidRPr="00410DAB" w:rsidRDefault="004A000C" w:rsidP="004A000C">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i/>
          <w:iCs/>
          <w:szCs w:val="18"/>
        </w:rPr>
        <w:t>Discrimination Act 1991</w:t>
      </w:r>
      <w:r w:rsidRPr="00410DAB">
        <w:rPr>
          <w:rFonts w:ascii="Public Sans" w:hAnsi="Public Sans" w:cs="Arial"/>
          <w:szCs w:val="18"/>
        </w:rPr>
        <w:t xml:space="preserve"> (ACT) s 74.</w:t>
      </w:r>
    </w:p>
  </w:footnote>
  <w:footnote w:id="1108">
    <w:p w14:paraId="21CF8F54"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1992 (</w:t>
      </w:r>
      <w:r w:rsidRPr="00410DAB">
        <w:rPr>
          <w:rFonts w:ascii="Public Sans" w:hAnsi="Public Sans" w:cs="Arial"/>
          <w:szCs w:val="18"/>
        </w:rPr>
        <w:t>NT) s 24(1).</w:t>
      </w:r>
    </w:p>
  </w:footnote>
  <w:footnote w:id="1109">
    <w:p w14:paraId="32BA4D7A"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Equal Opportunity Act 2010</w:t>
      </w:r>
      <w:r w:rsidRPr="00410DAB">
        <w:rPr>
          <w:rFonts w:ascii="Public Sans" w:hAnsi="Public Sans" w:cs="Arial"/>
          <w:szCs w:val="18"/>
        </w:rPr>
        <w:t xml:space="preserve"> (Vic) s 17(1), s 19(1),</w:t>
      </w:r>
      <w:r w:rsidRPr="00410DAB">
        <w:rPr>
          <w:rStyle w:val="cf01"/>
          <w:rFonts w:ascii="Public Sans" w:hAnsi="Public Sans" w:cs="Arial"/>
        </w:rPr>
        <w:t xml:space="preserve"> s 22(1), s 32(1).</w:t>
      </w:r>
    </w:p>
  </w:footnote>
  <w:footnote w:id="1110">
    <w:p w14:paraId="303B117F"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Law Reform Commission of Western Australia, </w:t>
      </w:r>
      <w:r w:rsidRPr="00410DAB">
        <w:rPr>
          <w:rFonts w:ascii="Public Sans" w:hAnsi="Public Sans" w:cs="Arial"/>
          <w:i/>
          <w:iCs/>
          <w:szCs w:val="18"/>
        </w:rPr>
        <w:t>Review of the Equal Opportunity Act 1984 (WA)</w:t>
      </w:r>
      <w:r w:rsidRPr="00410DAB">
        <w:rPr>
          <w:rFonts w:ascii="Public Sans" w:hAnsi="Public Sans" w:cs="Arial"/>
          <w:szCs w:val="18"/>
        </w:rPr>
        <w:t>, Project 111, Final Report (2022) 151, rec 66.</w:t>
      </w:r>
    </w:p>
  </w:footnote>
  <w:footnote w:id="1111">
    <w:p w14:paraId="651AF63F"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Convention on the Elimination of All Forms of Discrimination against Women</w:t>
      </w:r>
      <w:r w:rsidRPr="00410DAB">
        <w:rPr>
          <w:rFonts w:ascii="Public Sans" w:hAnsi="Public Sans" w:cs="Arial"/>
          <w:szCs w:val="18"/>
        </w:rPr>
        <w:t xml:space="preserve">, 1249 UNTS 13 (entered into force 3 September 1981) art 4(1); </w:t>
      </w:r>
      <w:r w:rsidRPr="00410DAB">
        <w:rPr>
          <w:rFonts w:ascii="Public Sans" w:hAnsi="Public Sans" w:cs="Arial"/>
          <w:i/>
          <w:iCs/>
          <w:szCs w:val="18"/>
        </w:rPr>
        <w:t>International Convention on the Elimination of All Forms of Racial Discrimination</w:t>
      </w:r>
      <w:r w:rsidRPr="00410DAB">
        <w:rPr>
          <w:rFonts w:ascii="Public Sans" w:hAnsi="Public Sans" w:cs="Arial"/>
          <w:szCs w:val="18"/>
        </w:rPr>
        <w:t>, 660 UNTS 195 (entered into force 4 January 1969) art 1(4). See also</w:t>
      </w:r>
      <w:r w:rsidRPr="00410DAB">
        <w:rPr>
          <w:rFonts w:ascii="Public Sans" w:hAnsi="Public Sans" w:cs="Arial"/>
          <w:i/>
          <w:iCs/>
          <w:szCs w:val="18"/>
        </w:rPr>
        <w:t xml:space="preserve"> Convention on the Rights of Persons with Disabilities</w:t>
      </w:r>
      <w:r w:rsidRPr="00410DAB">
        <w:rPr>
          <w:rFonts w:ascii="Public Sans" w:hAnsi="Public Sans" w:cs="Arial"/>
          <w:szCs w:val="18"/>
        </w:rPr>
        <w:t>, 2515 UNTS 3 (entered into force 3 May 2008) art 5(4).</w:t>
      </w:r>
    </w:p>
  </w:footnote>
  <w:footnote w:id="1112">
    <w:p w14:paraId="5665C92B" w14:textId="77777777" w:rsidR="004A000C" w:rsidRPr="00410DAB" w:rsidRDefault="004A000C" w:rsidP="004A000C">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i/>
          <w:iCs/>
          <w:szCs w:val="18"/>
        </w:rPr>
        <w:t>Gerhardy v Brown</w:t>
      </w:r>
      <w:r w:rsidRPr="00410DAB">
        <w:rPr>
          <w:rFonts w:ascii="Public Sans" w:hAnsi="Public Sans"/>
          <w:szCs w:val="18"/>
        </w:rPr>
        <w:t xml:space="preserve"> (1985) 159 CLR 70, 133. </w:t>
      </w:r>
    </w:p>
  </w:footnote>
  <w:footnote w:id="1113">
    <w:p w14:paraId="19E3613F"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 xml:space="preserve">Equal Opportunity Act 2010 </w:t>
      </w:r>
      <w:r w:rsidRPr="00410DAB">
        <w:rPr>
          <w:rFonts w:ascii="Public Sans" w:hAnsi="Public Sans" w:cs="Arial"/>
          <w:szCs w:val="18"/>
        </w:rPr>
        <w:t>(Vic) s 12, examples.</w:t>
      </w:r>
    </w:p>
  </w:footnote>
  <w:footnote w:id="1114">
    <w:p w14:paraId="43167392"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 xml:space="preserve">Anti-Discrimination Act 1977 </w:t>
      </w:r>
      <w:r w:rsidRPr="00410DAB">
        <w:rPr>
          <w:rFonts w:ascii="Public Sans" w:hAnsi="Public Sans" w:cs="Arial"/>
          <w:szCs w:val="18"/>
        </w:rPr>
        <w:t>(NSW) s 21, s 49ZYR.</w:t>
      </w:r>
    </w:p>
  </w:footnote>
  <w:footnote w:id="1115">
    <w:p w14:paraId="4F5C7F08"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 xml:space="preserve">Anti-Discrimination Act 1977 </w:t>
      </w:r>
      <w:r w:rsidRPr="00410DAB">
        <w:rPr>
          <w:rFonts w:ascii="Public Sans" w:hAnsi="Public Sans" w:cs="Arial"/>
          <w:szCs w:val="18"/>
        </w:rPr>
        <w:t>(NSW) s 17(3), s 35; NSW Law Reform Commission,</w:t>
      </w:r>
      <w:r w:rsidRPr="00410DAB">
        <w:rPr>
          <w:rFonts w:ascii="Public Sans" w:hAnsi="Public Sans" w:cs="Arial"/>
          <w:i/>
          <w:iCs/>
          <w:szCs w:val="18"/>
        </w:rPr>
        <w:t xml:space="preserve"> Review of the Anti-Discrimination Act 1977 (NSW)</w:t>
      </w:r>
      <w:r w:rsidRPr="00410DAB">
        <w:rPr>
          <w:rFonts w:ascii="Public Sans" w:hAnsi="Public Sans" w:cs="Arial"/>
          <w:szCs w:val="18"/>
        </w:rPr>
        <w:t>, Report 92 (1999) [4.182].</w:t>
      </w:r>
    </w:p>
  </w:footnote>
  <w:footnote w:id="1116">
    <w:p w14:paraId="2A822B53"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126.</w:t>
      </w:r>
    </w:p>
  </w:footnote>
  <w:footnote w:id="1117">
    <w:p w14:paraId="5EC4EBB0"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Anti-Discrimination NSW, </w:t>
      </w:r>
      <w:r w:rsidRPr="00410DAB">
        <w:rPr>
          <w:rFonts w:ascii="Public Sans" w:hAnsi="Public Sans" w:cs="Arial"/>
          <w:i/>
          <w:iCs/>
          <w:szCs w:val="18"/>
        </w:rPr>
        <w:t>Annual Report 2022–23</w:t>
      </w:r>
      <w:r w:rsidRPr="00410DAB">
        <w:rPr>
          <w:rFonts w:ascii="Public Sans" w:hAnsi="Public Sans" w:cs="Arial"/>
          <w:szCs w:val="18"/>
        </w:rPr>
        <w:t xml:space="preserve"> (2023) 24.</w:t>
      </w:r>
    </w:p>
  </w:footnote>
  <w:footnote w:id="1118">
    <w:p w14:paraId="4392A54A"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NSW Law Reform Commission, </w:t>
      </w:r>
      <w:r w:rsidRPr="00410DAB">
        <w:rPr>
          <w:rFonts w:ascii="Public Sans" w:hAnsi="Public Sans" w:cs="Arial"/>
          <w:i/>
          <w:iCs/>
          <w:szCs w:val="18"/>
        </w:rPr>
        <w:t>Review of the Anti-Discrimination Act 1977 (NSW)</w:t>
      </w:r>
      <w:r w:rsidRPr="00410DAB">
        <w:rPr>
          <w:rFonts w:ascii="Public Sans" w:hAnsi="Public Sans" w:cs="Arial"/>
          <w:szCs w:val="18"/>
        </w:rPr>
        <w:t>,</w:t>
      </w:r>
      <w:r w:rsidRPr="00410DAB">
        <w:rPr>
          <w:rFonts w:ascii="Public Sans" w:hAnsi="Public Sans" w:cs="Arial"/>
          <w:i/>
          <w:iCs/>
          <w:szCs w:val="18"/>
        </w:rPr>
        <w:t xml:space="preserve"> </w:t>
      </w:r>
      <w:r w:rsidRPr="00410DAB">
        <w:rPr>
          <w:rFonts w:ascii="Public Sans" w:hAnsi="Public Sans" w:cs="Arial"/>
          <w:szCs w:val="18"/>
        </w:rPr>
        <w:t>Report 92 (1999) [6.124].</w:t>
      </w:r>
    </w:p>
  </w:footnote>
  <w:footnote w:id="1119">
    <w:p w14:paraId="6BDBE65D"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Anti-Discrimination NSW, </w:t>
      </w:r>
      <w:r w:rsidRPr="00410DAB">
        <w:rPr>
          <w:rFonts w:ascii="Public Sans" w:hAnsi="Public Sans" w:cs="Arial"/>
          <w:i/>
          <w:iCs/>
          <w:szCs w:val="18"/>
        </w:rPr>
        <w:t>Annual Report 2023–24</w:t>
      </w:r>
      <w:r w:rsidRPr="00410DAB">
        <w:rPr>
          <w:rFonts w:ascii="Public Sans" w:hAnsi="Public Sans" w:cs="Arial"/>
          <w:szCs w:val="18"/>
        </w:rPr>
        <w:t xml:space="preserve"> (2024) 24; Anti-Discrimination Board of NSW, </w:t>
      </w:r>
      <w:r w:rsidRPr="00410DAB">
        <w:rPr>
          <w:rFonts w:ascii="Public Sans" w:hAnsi="Public Sans" w:cs="Arial"/>
          <w:i/>
          <w:iCs/>
          <w:szCs w:val="18"/>
        </w:rPr>
        <w:t>Annual Report 2018–19</w:t>
      </w:r>
      <w:r w:rsidRPr="00410DAB">
        <w:rPr>
          <w:rFonts w:ascii="Public Sans" w:hAnsi="Public Sans" w:cs="Arial"/>
          <w:szCs w:val="18"/>
        </w:rPr>
        <w:t xml:space="preserve"> (2019) 14.</w:t>
      </w:r>
    </w:p>
  </w:footnote>
  <w:footnote w:id="1120">
    <w:p w14:paraId="6E217FDC"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 xml:space="preserve">Anti-Discrimination Regulation 2019 </w:t>
      </w:r>
      <w:r w:rsidRPr="00410DAB">
        <w:rPr>
          <w:rFonts w:ascii="Public Sans" w:hAnsi="Public Sans" w:cs="Arial"/>
          <w:szCs w:val="18"/>
        </w:rPr>
        <w:t>(NSW) cl 6(1).</w:t>
      </w:r>
    </w:p>
  </w:footnote>
  <w:footnote w:id="1121">
    <w:p w14:paraId="1633015A" w14:textId="68608F89"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Anti-Discrimination NSW, “Exemptions and Certifications” (2025) &lt;</w:t>
      </w:r>
      <w:hyperlink r:id="rId24" w:history="1">
        <w:r w:rsidRPr="00410DAB">
          <w:rPr>
            <w:rStyle w:val="Hyperlink"/>
            <w:rFonts w:ascii="Public Sans" w:hAnsi="Public Sans" w:cs="Arial"/>
            <w:szCs w:val="18"/>
          </w:rPr>
          <w:t>antidiscrimination.nsw.gov.au/anti-discrimination-nsw/organisations-and-community-groups/exemptions-and-certifications.html</w:t>
        </w:r>
      </w:hyperlink>
      <w:r w:rsidRPr="00410DAB">
        <w:rPr>
          <w:rFonts w:ascii="Public Sans" w:hAnsi="Public Sans" w:cs="Arial"/>
          <w:szCs w:val="18"/>
        </w:rPr>
        <w:t>&gt; (retrieved 4 March 2025).</w:t>
      </w:r>
    </w:p>
  </w:footnote>
  <w:footnote w:id="1122">
    <w:p w14:paraId="3DC798DC"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126(5).</w:t>
      </w:r>
    </w:p>
  </w:footnote>
  <w:footnote w:id="1123">
    <w:p w14:paraId="2D400E7C"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Anti-Discrimination NSW, </w:t>
      </w:r>
      <w:r w:rsidRPr="00410DAB">
        <w:rPr>
          <w:rFonts w:ascii="Public Sans" w:hAnsi="Public Sans" w:cs="Arial"/>
          <w:i/>
          <w:iCs/>
          <w:szCs w:val="18"/>
        </w:rPr>
        <w:t>Annual Report 2023–24</w:t>
      </w:r>
      <w:r w:rsidRPr="00410DAB">
        <w:rPr>
          <w:rFonts w:ascii="Public Sans" w:hAnsi="Public Sans" w:cs="Arial"/>
          <w:szCs w:val="18"/>
        </w:rPr>
        <w:t xml:space="preserve"> (2024) 24.</w:t>
      </w:r>
    </w:p>
  </w:footnote>
  <w:footnote w:id="1124">
    <w:p w14:paraId="0D78675E"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126A(2). </w:t>
      </w:r>
    </w:p>
  </w:footnote>
  <w:footnote w:id="1125">
    <w:p w14:paraId="5F223D17"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Anti-Discrimination NSW, </w:t>
      </w:r>
      <w:r w:rsidRPr="00410DAB">
        <w:rPr>
          <w:rFonts w:ascii="Public Sans" w:hAnsi="Public Sans" w:cs="Arial"/>
          <w:i/>
          <w:iCs/>
          <w:szCs w:val="18"/>
        </w:rPr>
        <w:t>Annual Report 2022–23</w:t>
      </w:r>
      <w:r w:rsidRPr="00410DAB">
        <w:rPr>
          <w:rFonts w:ascii="Public Sans" w:hAnsi="Public Sans" w:cs="Arial"/>
          <w:szCs w:val="18"/>
        </w:rPr>
        <w:t xml:space="preserve"> (2023) 38.</w:t>
      </w:r>
    </w:p>
  </w:footnote>
  <w:footnote w:id="1126">
    <w:p w14:paraId="3F8E812F"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1977</w:t>
      </w:r>
      <w:r w:rsidRPr="00410DAB">
        <w:rPr>
          <w:rFonts w:ascii="Public Sans" w:hAnsi="Public Sans" w:cs="Arial"/>
          <w:szCs w:val="18"/>
        </w:rPr>
        <w:t xml:space="preserve"> (NSW) s 126A(1).</w:t>
      </w:r>
    </w:p>
  </w:footnote>
  <w:footnote w:id="1127">
    <w:p w14:paraId="58FEBC24"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Anti-Discrimination Board of NSW</w:t>
      </w:r>
      <w:r w:rsidRPr="00410DAB">
        <w:rPr>
          <w:rFonts w:ascii="Public Sans" w:hAnsi="Public Sans" w:cs="Arial"/>
          <w:i/>
          <w:iCs/>
          <w:szCs w:val="18"/>
        </w:rPr>
        <w:t xml:space="preserve"> Annual Report 2018–19</w:t>
      </w:r>
      <w:r w:rsidRPr="00410DAB">
        <w:rPr>
          <w:rFonts w:ascii="Public Sans" w:hAnsi="Public Sans" w:cs="Arial"/>
          <w:szCs w:val="18"/>
        </w:rPr>
        <w:t xml:space="preserve"> (2019) 14; Anti-Discrimination NSW, </w:t>
      </w:r>
      <w:r w:rsidRPr="00410DAB">
        <w:rPr>
          <w:rFonts w:ascii="Public Sans" w:hAnsi="Public Sans" w:cs="Arial"/>
          <w:i/>
          <w:iCs/>
          <w:szCs w:val="18"/>
        </w:rPr>
        <w:t>ADNSW Annual Report 2019–20</w:t>
      </w:r>
      <w:r w:rsidRPr="00410DAB">
        <w:rPr>
          <w:rFonts w:ascii="Public Sans" w:hAnsi="Public Sans" w:cs="Arial"/>
          <w:szCs w:val="18"/>
        </w:rPr>
        <w:t xml:space="preserve"> (2020) 38; Anti-Discrimination NSW, </w:t>
      </w:r>
      <w:r w:rsidRPr="00410DAB">
        <w:rPr>
          <w:rFonts w:ascii="Public Sans" w:hAnsi="Public Sans" w:cs="Arial"/>
          <w:i/>
          <w:iCs/>
          <w:szCs w:val="18"/>
        </w:rPr>
        <w:t>ADNSW Annual Report 2020–21</w:t>
      </w:r>
      <w:r w:rsidRPr="00410DAB">
        <w:rPr>
          <w:rFonts w:ascii="Public Sans" w:hAnsi="Public Sans" w:cs="Arial"/>
          <w:szCs w:val="18"/>
        </w:rPr>
        <w:t xml:space="preserve"> (2021) 31; Anti-Discrimination NSW,</w:t>
      </w:r>
      <w:r w:rsidRPr="00410DAB">
        <w:rPr>
          <w:rFonts w:ascii="Public Sans" w:hAnsi="Public Sans" w:cs="Arial"/>
          <w:i/>
          <w:iCs/>
          <w:szCs w:val="18"/>
        </w:rPr>
        <w:t xml:space="preserve"> Annual Report 2021–22</w:t>
      </w:r>
      <w:r w:rsidRPr="00410DAB">
        <w:rPr>
          <w:rFonts w:ascii="Public Sans" w:hAnsi="Public Sans" w:cs="Arial"/>
          <w:szCs w:val="18"/>
        </w:rPr>
        <w:t xml:space="preserve"> (2022) 35; </w:t>
      </w:r>
      <w:r w:rsidRPr="00410DAB">
        <w:rPr>
          <w:rFonts w:ascii="Public Sans" w:hAnsi="Public Sans" w:cs="Arial"/>
          <w:i/>
          <w:iCs/>
          <w:szCs w:val="18"/>
        </w:rPr>
        <w:t>Annual Report 2022–23</w:t>
      </w:r>
      <w:r w:rsidRPr="00410DAB">
        <w:rPr>
          <w:rFonts w:ascii="Public Sans" w:hAnsi="Public Sans" w:cs="Arial"/>
          <w:szCs w:val="18"/>
        </w:rPr>
        <w:t xml:space="preserve"> (2023) 24; Anti-Discrimination NSW,</w:t>
      </w:r>
      <w:r w:rsidRPr="00410DAB">
        <w:rPr>
          <w:rFonts w:ascii="Public Sans" w:hAnsi="Public Sans" w:cs="Arial"/>
          <w:i/>
          <w:iCs/>
          <w:szCs w:val="18"/>
        </w:rPr>
        <w:t xml:space="preserve"> Annual Report 2023–24</w:t>
      </w:r>
      <w:r w:rsidRPr="00410DAB">
        <w:rPr>
          <w:rFonts w:ascii="Public Sans" w:hAnsi="Public Sans" w:cs="Arial"/>
          <w:szCs w:val="18"/>
        </w:rPr>
        <w:t xml:space="preserve"> (2024) 24.</w:t>
      </w:r>
    </w:p>
  </w:footnote>
  <w:footnote w:id="1128">
    <w:p w14:paraId="3F84A9A3"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Anti-Discrimination NSW, </w:t>
      </w:r>
      <w:r w:rsidRPr="00410DAB">
        <w:rPr>
          <w:rFonts w:ascii="Public Sans" w:hAnsi="Public Sans" w:cs="Arial"/>
          <w:i/>
          <w:iCs/>
          <w:szCs w:val="18"/>
        </w:rPr>
        <w:t>Annual Report 2023–24</w:t>
      </w:r>
      <w:r w:rsidRPr="00410DAB">
        <w:rPr>
          <w:rFonts w:ascii="Public Sans" w:hAnsi="Public Sans" w:cs="Arial"/>
          <w:szCs w:val="18"/>
        </w:rPr>
        <w:t xml:space="preserve"> (2024) 24.</w:t>
      </w:r>
    </w:p>
  </w:footnote>
  <w:footnote w:id="1129">
    <w:p w14:paraId="5F6CB605"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Business Council of Australia, </w:t>
      </w:r>
      <w:r w:rsidRPr="00410DAB">
        <w:rPr>
          <w:rFonts w:ascii="Public Sans" w:hAnsi="Public Sans" w:cs="Arial"/>
          <w:i/>
          <w:iCs/>
          <w:szCs w:val="18"/>
        </w:rPr>
        <w:t>Preliminary Submission PAD13</w:t>
      </w:r>
      <w:r w:rsidRPr="00410DAB">
        <w:rPr>
          <w:rFonts w:ascii="Public Sans" w:hAnsi="Public Sans" w:cs="Arial"/>
          <w:szCs w:val="18"/>
        </w:rPr>
        <w:t xml:space="preserve">, 3–4; Anti-Discrimination NSW, </w:t>
      </w:r>
      <w:r w:rsidRPr="00410DAB">
        <w:rPr>
          <w:rFonts w:ascii="Public Sans" w:hAnsi="Public Sans" w:cs="Arial"/>
          <w:i/>
          <w:iCs/>
          <w:szCs w:val="18"/>
        </w:rPr>
        <w:t>Preliminary Submission PAD83</w:t>
      </w:r>
      <w:r w:rsidRPr="00410DAB">
        <w:rPr>
          <w:rFonts w:ascii="Public Sans" w:hAnsi="Public Sans" w:cs="Arial"/>
          <w:szCs w:val="18"/>
        </w:rPr>
        <w:t xml:space="preserve">, 19–20; Australian Industry Group, </w:t>
      </w:r>
      <w:r w:rsidRPr="00410DAB">
        <w:rPr>
          <w:rFonts w:ascii="Public Sans" w:hAnsi="Public Sans" w:cs="Arial"/>
          <w:i/>
          <w:iCs/>
          <w:szCs w:val="18"/>
        </w:rPr>
        <w:t>Preliminary Submission PAD24</w:t>
      </w:r>
      <w:r w:rsidRPr="00410DAB">
        <w:rPr>
          <w:rFonts w:ascii="Public Sans" w:hAnsi="Public Sans" w:cs="Arial"/>
          <w:szCs w:val="18"/>
        </w:rPr>
        <w:t xml:space="preserve">, 4; Transport for NSW, </w:t>
      </w:r>
      <w:r w:rsidRPr="00410DAB">
        <w:rPr>
          <w:rFonts w:ascii="Public Sans" w:hAnsi="Public Sans" w:cs="Arial"/>
          <w:i/>
          <w:iCs/>
          <w:szCs w:val="18"/>
        </w:rPr>
        <w:t>Preliminary Submission PAD91</w:t>
      </w:r>
      <w:r w:rsidRPr="00410DAB">
        <w:rPr>
          <w:rFonts w:ascii="Public Sans" w:hAnsi="Public Sans" w:cs="Arial"/>
          <w:szCs w:val="18"/>
        </w:rPr>
        <w:t xml:space="preserve">, 4. </w:t>
      </w:r>
    </w:p>
  </w:footnote>
  <w:footnote w:id="1130">
    <w:p w14:paraId="688FB58E"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Anti-Discrimination NSW, </w:t>
      </w:r>
      <w:r w:rsidRPr="00410DAB">
        <w:rPr>
          <w:rFonts w:ascii="Public Sans" w:hAnsi="Public Sans" w:cs="Arial"/>
          <w:i/>
          <w:iCs/>
          <w:szCs w:val="18"/>
        </w:rPr>
        <w:t>Preliminary Submission PAD83</w:t>
      </w:r>
      <w:r w:rsidRPr="00410DAB">
        <w:rPr>
          <w:rFonts w:ascii="Public Sans" w:hAnsi="Public Sans" w:cs="Arial"/>
          <w:szCs w:val="18"/>
        </w:rPr>
        <w:t xml:space="preserve">, 20. </w:t>
      </w:r>
    </w:p>
  </w:footnote>
  <w:footnote w:id="1131">
    <w:p w14:paraId="6C34FD52"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Business Council of Australia, </w:t>
      </w:r>
      <w:r w:rsidRPr="00410DAB">
        <w:rPr>
          <w:rFonts w:ascii="Public Sans" w:hAnsi="Public Sans" w:cs="Arial"/>
          <w:i/>
          <w:iCs/>
          <w:szCs w:val="18"/>
        </w:rPr>
        <w:t>Preliminary Submission PAD13</w:t>
      </w:r>
      <w:r w:rsidRPr="00410DAB">
        <w:rPr>
          <w:rFonts w:ascii="Public Sans" w:hAnsi="Public Sans" w:cs="Arial"/>
          <w:szCs w:val="18"/>
        </w:rPr>
        <w:t>, 4.</w:t>
      </w:r>
    </w:p>
  </w:footnote>
  <w:footnote w:id="1132">
    <w:p w14:paraId="47E732D7"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NSW Law Reform Commission, </w:t>
      </w:r>
      <w:r w:rsidRPr="00410DAB">
        <w:rPr>
          <w:rFonts w:ascii="Public Sans" w:hAnsi="Public Sans" w:cs="Arial"/>
          <w:i/>
          <w:iCs/>
          <w:szCs w:val="18"/>
        </w:rPr>
        <w:t>Review of the Anti-Discrimination Act 1977 (NSW)</w:t>
      </w:r>
      <w:r w:rsidRPr="00410DAB">
        <w:rPr>
          <w:rFonts w:ascii="Public Sans" w:hAnsi="Public Sans" w:cs="Arial"/>
          <w:szCs w:val="18"/>
        </w:rPr>
        <w:t>, Report 92 (1999) rec 49.</w:t>
      </w:r>
    </w:p>
  </w:footnote>
  <w:footnote w:id="1133">
    <w:p w14:paraId="0B964C48"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Diversity Council Australia, </w:t>
      </w:r>
      <w:r w:rsidRPr="00410DAB">
        <w:rPr>
          <w:rFonts w:ascii="Public Sans" w:hAnsi="Public Sans" w:cs="Arial"/>
          <w:i/>
          <w:iCs/>
          <w:szCs w:val="18"/>
        </w:rPr>
        <w:t>Preliminary Submission PAD14</w:t>
      </w:r>
      <w:r w:rsidRPr="00410DAB">
        <w:rPr>
          <w:rFonts w:ascii="Public Sans" w:hAnsi="Public Sans" w:cs="Arial"/>
          <w:szCs w:val="18"/>
        </w:rPr>
        <w:t>, 2–3.</w:t>
      </w:r>
    </w:p>
  </w:footnote>
  <w:footnote w:id="1134">
    <w:p w14:paraId="1FF92865"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NSW Law Reform Commission, </w:t>
      </w:r>
      <w:r w:rsidRPr="00410DAB">
        <w:rPr>
          <w:rFonts w:ascii="Public Sans" w:hAnsi="Public Sans" w:cs="Arial"/>
          <w:i/>
          <w:iCs/>
          <w:szCs w:val="18"/>
        </w:rPr>
        <w:t>Review of the Anti-Discrimination Act 1977 (NSW)</w:t>
      </w:r>
      <w:r w:rsidRPr="00410DAB">
        <w:rPr>
          <w:rFonts w:ascii="Public Sans" w:hAnsi="Public Sans" w:cs="Arial"/>
          <w:szCs w:val="18"/>
        </w:rPr>
        <w:t>,</w:t>
      </w:r>
      <w:r w:rsidRPr="00410DAB">
        <w:rPr>
          <w:rFonts w:ascii="Public Sans" w:hAnsi="Public Sans" w:cs="Arial"/>
          <w:i/>
          <w:iCs/>
          <w:szCs w:val="18"/>
        </w:rPr>
        <w:t xml:space="preserve"> </w:t>
      </w:r>
      <w:r w:rsidRPr="00410DAB">
        <w:rPr>
          <w:rFonts w:ascii="Public Sans" w:hAnsi="Public Sans" w:cs="Arial"/>
          <w:szCs w:val="18"/>
        </w:rPr>
        <w:t>Report 92 (1999) rec 49.</w:t>
      </w:r>
    </w:p>
  </w:footnote>
  <w:footnote w:id="1135">
    <w:p w14:paraId="348F740C"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Maloney v R</w:t>
      </w:r>
      <w:r w:rsidRPr="00410DAB">
        <w:rPr>
          <w:rFonts w:ascii="Public Sans" w:hAnsi="Public Sans" w:cs="Arial"/>
          <w:szCs w:val="18"/>
        </w:rPr>
        <w:t xml:space="preserve"> [2013] HCA 28, 252 CLR 168 [327].</w:t>
      </w:r>
    </w:p>
  </w:footnote>
  <w:footnote w:id="1136">
    <w:p w14:paraId="7E63C387"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w:t>
      </w:r>
      <w:r w:rsidRPr="00410DAB">
        <w:rPr>
          <w:rFonts w:ascii="Public Sans" w:hAnsi="Public Sans" w:cs="Arial"/>
          <w:i/>
          <w:iCs/>
          <w:szCs w:val="18"/>
        </w:rPr>
        <w:t>Equal Opportunity Act 2010</w:t>
      </w:r>
      <w:r w:rsidRPr="00410DAB">
        <w:rPr>
          <w:rFonts w:ascii="Public Sans" w:hAnsi="Public Sans" w:cs="Arial"/>
          <w:szCs w:val="18"/>
        </w:rPr>
        <w:t xml:space="preserve"> (Vic) s 12; </w:t>
      </w:r>
      <w:r w:rsidRPr="00410DAB">
        <w:rPr>
          <w:rFonts w:ascii="Public Sans" w:hAnsi="Public Sans" w:cs="Arial"/>
          <w:i/>
          <w:iCs/>
          <w:szCs w:val="18"/>
        </w:rPr>
        <w:t>Sex Discrimination Act 1984</w:t>
      </w:r>
      <w:r w:rsidRPr="00410DAB">
        <w:rPr>
          <w:rFonts w:ascii="Public Sans" w:hAnsi="Public Sans" w:cs="Arial"/>
          <w:szCs w:val="18"/>
        </w:rPr>
        <w:t xml:space="preserve"> (Cth) s 7D. See also ACT Law Reform Advisory Council, </w:t>
      </w:r>
      <w:r w:rsidRPr="00410DAB">
        <w:rPr>
          <w:rFonts w:ascii="Public Sans" w:hAnsi="Public Sans" w:cs="Arial"/>
          <w:i/>
          <w:iCs/>
          <w:szCs w:val="18"/>
        </w:rPr>
        <w:t>Review of the Discrimination Act 1991 (ACT</w:t>
      </w:r>
      <w:r w:rsidRPr="00410DAB">
        <w:rPr>
          <w:rFonts w:ascii="Public Sans" w:hAnsi="Public Sans" w:cs="Arial"/>
          <w:szCs w:val="18"/>
        </w:rPr>
        <w:t xml:space="preserve">), Final Report (2015) rec 20.1; 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rec 4.1.</w:t>
      </w:r>
    </w:p>
  </w:footnote>
  <w:footnote w:id="1137">
    <w:p w14:paraId="545103B5"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Convention on the Rights of Persons with Disabilities</w:t>
      </w:r>
      <w:r w:rsidRPr="00410DAB">
        <w:rPr>
          <w:rFonts w:ascii="Public Sans" w:hAnsi="Public Sans" w:cs="Arial"/>
          <w:szCs w:val="18"/>
        </w:rPr>
        <w:t xml:space="preserve">, 2515 UNTS 3 (entered into force 3 May 2008) art 5(4); </w:t>
      </w:r>
      <w:r w:rsidRPr="00410DAB">
        <w:rPr>
          <w:rFonts w:ascii="Public Sans" w:hAnsi="Public Sans" w:cs="Arial"/>
          <w:i/>
          <w:iCs/>
          <w:szCs w:val="18"/>
        </w:rPr>
        <w:t>Convention on the Elimination of All Forms of Discrimination against Women</w:t>
      </w:r>
      <w:r w:rsidRPr="00410DAB">
        <w:rPr>
          <w:rFonts w:ascii="Public Sans" w:hAnsi="Public Sans" w:cs="Arial"/>
          <w:szCs w:val="18"/>
        </w:rPr>
        <w:t xml:space="preserve">, 1249 UNTS 13 (entered into force 3 September 1981) art 4(1); </w:t>
      </w:r>
      <w:r w:rsidRPr="00410DAB">
        <w:rPr>
          <w:rFonts w:ascii="Public Sans" w:hAnsi="Public Sans" w:cs="Arial"/>
          <w:i/>
          <w:iCs/>
          <w:szCs w:val="18"/>
        </w:rPr>
        <w:t>International Convention on the Elimination of All Forms of Racial Discrimination</w:t>
      </w:r>
      <w:r w:rsidRPr="00410DAB">
        <w:rPr>
          <w:rFonts w:ascii="Public Sans" w:hAnsi="Public Sans" w:cs="Arial"/>
          <w:szCs w:val="18"/>
        </w:rPr>
        <w:t xml:space="preserve">, </w:t>
      </w:r>
      <w:r w:rsidRPr="00410DAB">
        <w:rPr>
          <w:rFonts w:ascii="Public Sans" w:hAnsi="Public Sans"/>
          <w:szCs w:val="18"/>
        </w:rPr>
        <w:t xml:space="preserve">660 UNTS 195 (entered into force 4 January 1969) </w:t>
      </w:r>
      <w:r w:rsidRPr="00410DAB">
        <w:rPr>
          <w:rFonts w:ascii="Public Sans" w:hAnsi="Public Sans" w:cs="Arial"/>
          <w:szCs w:val="18"/>
        </w:rPr>
        <w:t xml:space="preserve">art 1(4). </w:t>
      </w:r>
    </w:p>
  </w:footnote>
  <w:footnote w:id="1138">
    <w:p w14:paraId="430825B9"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ACT Law Reform Advisory Council, </w:t>
      </w:r>
      <w:r w:rsidRPr="00410DAB">
        <w:rPr>
          <w:rFonts w:ascii="Public Sans" w:hAnsi="Public Sans" w:cs="Arial"/>
          <w:i/>
          <w:iCs/>
          <w:szCs w:val="18"/>
        </w:rPr>
        <w:t>Review of the Discrimination Act 1991 (ACT</w:t>
      </w:r>
      <w:r w:rsidRPr="00410DAB">
        <w:rPr>
          <w:rFonts w:ascii="Public Sans" w:hAnsi="Public Sans" w:cs="Arial"/>
          <w:szCs w:val="18"/>
        </w:rPr>
        <w:t xml:space="preserve">), Final Report (2015) rec 20.2; Queensland Human Rights Commission, </w:t>
      </w:r>
      <w:r w:rsidRPr="00410DAB">
        <w:rPr>
          <w:rFonts w:ascii="Public Sans" w:hAnsi="Public Sans" w:cs="Arial"/>
          <w:i/>
          <w:iCs/>
          <w:szCs w:val="18"/>
        </w:rPr>
        <w:t xml:space="preserve">Building Belonging: Review of Queensland’s Anti-Discrimination Act 1991 </w:t>
      </w:r>
      <w:r w:rsidRPr="00410DAB">
        <w:rPr>
          <w:rFonts w:ascii="Public Sans" w:hAnsi="Public Sans" w:cs="Arial"/>
          <w:szCs w:val="18"/>
        </w:rPr>
        <w:t>(2022) 116.</w:t>
      </w:r>
    </w:p>
  </w:footnote>
  <w:footnote w:id="1139">
    <w:p w14:paraId="2A9C046C"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Equal Opportunity Act 2010</w:t>
      </w:r>
      <w:r w:rsidRPr="00410DAB">
        <w:rPr>
          <w:rFonts w:ascii="Public Sans" w:hAnsi="Public Sans" w:cs="Arial"/>
          <w:szCs w:val="18"/>
        </w:rPr>
        <w:t xml:space="preserve"> (Vic) s 12.</w:t>
      </w:r>
    </w:p>
  </w:footnote>
  <w:footnote w:id="1140">
    <w:p w14:paraId="3E627163" w14:textId="77777777" w:rsidR="004A000C" w:rsidRPr="00410DAB" w:rsidRDefault="004A000C" w:rsidP="004A000C">
      <w:pPr>
        <w:pStyle w:val="FootnoteText"/>
        <w:rPr>
          <w:rFonts w:ascii="Public Sans" w:hAnsi="Public Sans" w:cs="Arial"/>
        </w:rPr>
      </w:pPr>
      <w:r w:rsidRPr="00410DAB">
        <w:rPr>
          <w:rStyle w:val="FootnoteReference"/>
          <w:rFonts w:cs="Arial"/>
          <w:vertAlign w:val="baseline"/>
        </w:rPr>
        <w:footnoteRef/>
      </w:r>
      <w:r w:rsidRPr="00410DAB">
        <w:rPr>
          <w:rFonts w:ascii="Public Sans" w:hAnsi="Public Sans" w:cs="Arial"/>
        </w:rPr>
        <w:t>.</w:t>
      </w:r>
      <w:r w:rsidRPr="00410DAB">
        <w:rPr>
          <w:rFonts w:ascii="Public Sans" w:hAnsi="Public Sans" w:cs="Arial"/>
        </w:rPr>
        <w:tab/>
      </w:r>
      <w:r w:rsidRPr="00410DAB">
        <w:rPr>
          <w:rFonts w:ascii="Public Sans" w:hAnsi="Public Sans" w:cs="Arial"/>
          <w:szCs w:val="18"/>
        </w:rPr>
        <w:t xml:space="preserve">ACT Law Reform Advisory Council, </w:t>
      </w:r>
      <w:r w:rsidRPr="00410DAB">
        <w:rPr>
          <w:rFonts w:ascii="Public Sans" w:hAnsi="Public Sans" w:cs="Arial"/>
          <w:i/>
          <w:iCs/>
          <w:szCs w:val="18"/>
        </w:rPr>
        <w:t>Review of the Discrimination Act 1991 (ACT</w:t>
      </w:r>
      <w:r w:rsidRPr="00410DAB">
        <w:rPr>
          <w:rFonts w:ascii="Public Sans" w:hAnsi="Public Sans" w:cs="Arial"/>
          <w:szCs w:val="18"/>
        </w:rPr>
        <w:t xml:space="preserve">), Final Report (2015) rec 20.1; Queensland Human Rights Commission, </w:t>
      </w:r>
      <w:r w:rsidRPr="00410DAB">
        <w:rPr>
          <w:rFonts w:ascii="Public Sans" w:hAnsi="Public Sans" w:cs="Arial"/>
          <w:i/>
          <w:iCs/>
          <w:szCs w:val="18"/>
        </w:rPr>
        <w:t xml:space="preserve">Building Belonging: Review of Queensland’s Anti-Discrimination Act 1991 </w:t>
      </w:r>
      <w:r w:rsidRPr="00410DAB">
        <w:rPr>
          <w:rFonts w:ascii="Public Sans" w:hAnsi="Public Sans" w:cs="Arial"/>
          <w:szCs w:val="18"/>
        </w:rPr>
        <w:t>(2022) rec 4.1</w:t>
      </w:r>
    </w:p>
  </w:footnote>
  <w:footnote w:id="1141">
    <w:p w14:paraId="61A4A7BF"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NSW Law Reform Commission, </w:t>
      </w:r>
      <w:r w:rsidRPr="00410DAB">
        <w:rPr>
          <w:rFonts w:ascii="Public Sans" w:hAnsi="Public Sans" w:cs="Arial"/>
          <w:i/>
          <w:iCs/>
          <w:szCs w:val="18"/>
        </w:rPr>
        <w:t>Review of the Anti-Discrimination Act 1977 (NSW)</w:t>
      </w:r>
      <w:r w:rsidRPr="00410DAB">
        <w:rPr>
          <w:rFonts w:ascii="Public Sans" w:hAnsi="Public Sans" w:cs="Arial"/>
          <w:szCs w:val="18"/>
        </w:rPr>
        <w:t>,</w:t>
      </w:r>
      <w:r w:rsidRPr="00410DAB">
        <w:rPr>
          <w:rFonts w:ascii="Public Sans" w:hAnsi="Public Sans" w:cs="Arial"/>
          <w:i/>
          <w:iCs/>
          <w:szCs w:val="18"/>
        </w:rPr>
        <w:t xml:space="preserve"> </w:t>
      </w:r>
      <w:r w:rsidRPr="00410DAB">
        <w:rPr>
          <w:rFonts w:ascii="Public Sans" w:hAnsi="Public Sans" w:cs="Arial"/>
          <w:szCs w:val="18"/>
        </w:rPr>
        <w:t>Report 92 (1999) appendix A, Draft Anti-Discrimination Bill 1999, cl 68.</w:t>
      </w:r>
    </w:p>
  </w:footnote>
  <w:footnote w:id="1142">
    <w:p w14:paraId="04C440DA"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ACT Law Reform Advisory Council, </w:t>
      </w:r>
      <w:r w:rsidRPr="00410DAB">
        <w:rPr>
          <w:rFonts w:ascii="Public Sans" w:hAnsi="Public Sans" w:cs="Arial"/>
          <w:i/>
          <w:iCs/>
          <w:szCs w:val="18"/>
        </w:rPr>
        <w:t>Review of the Discrimination Act 1991 (ACT</w:t>
      </w:r>
      <w:r w:rsidRPr="00410DAB">
        <w:rPr>
          <w:rFonts w:ascii="Public Sans" w:hAnsi="Public Sans" w:cs="Arial"/>
          <w:szCs w:val="18"/>
        </w:rPr>
        <w:t xml:space="preserve">), Final Report (2015) 20.2; Queensland Human Rights Commission, </w:t>
      </w:r>
      <w:r w:rsidRPr="00410DAB">
        <w:rPr>
          <w:rFonts w:ascii="Public Sans" w:hAnsi="Public Sans" w:cs="Arial"/>
          <w:i/>
          <w:iCs/>
          <w:szCs w:val="18"/>
        </w:rPr>
        <w:t xml:space="preserve">Building Belonging: Review of Queensland’s Anti-Discrimination Act 1991 </w:t>
      </w:r>
      <w:r w:rsidRPr="00410DAB">
        <w:rPr>
          <w:rFonts w:ascii="Public Sans" w:hAnsi="Public Sans" w:cs="Arial"/>
          <w:szCs w:val="18"/>
        </w:rPr>
        <w:t xml:space="preserve">(2022) rec 4.3. </w:t>
      </w:r>
    </w:p>
  </w:footnote>
  <w:footnote w:id="1143">
    <w:p w14:paraId="77F8A556" w14:textId="27A9F9A6" w:rsidR="004A000C" w:rsidRPr="00410DAB" w:rsidRDefault="004A000C" w:rsidP="004A000C">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Anti-Discrimination NSW, “Current Exemptions” (2025) &lt;</w:t>
      </w:r>
      <w:hyperlink r:id="rId25" w:history="1">
        <w:r w:rsidRPr="00410DAB">
          <w:rPr>
            <w:rStyle w:val="Hyperlink"/>
            <w:rFonts w:ascii="Public Sans" w:hAnsi="Public Sans" w:cs="Arial"/>
            <w:szCs w:val="18"/>
          </w:rPr>
          <w:t>antidiscrimination.nsw.gov.au/anti-discrimination-nsw/organisations-and-community-groups/exemptions-and-certifications/current-exemptions.html</w:t>
        </w:r>
      </w:hyperlink>
      <w:r w:rsidRPr="00410DAB">
        <w:rPr>
          <w:rFonts w:ascii="Public Sans" w:hAnsi="Public Sans" w:cs="Arial"/>
          <w:szCs w:val="18"/>
        </w:rPr>
        <w:t xml:space="preserve">&gt; (retrieved 4 March 2025). See also </w:t>
      </w:r>
      <w:r w:rsidRPr="00410DAB">
        <w:rPr>
          <w:rFonts w:ascii="Public Sans" w:hAnsi="Public Sans"/>
          <w:i/>
          <w:iCs/>
          <w:szCs w:val="18"/>
        </w:rPr>
        <w:t>Re Rheinmetall Defence Australia Pty Ltd</w:t>
      </w:r>
      <w:r w:rsidRPr="00410DAB">
        <w:rPr>
          <w:rFonts w:ascii="Public Sans" w:hAnsi="Public Sans"/>
          <w:szCs w:val="18"/>
        </w:rPr>
        <w:t xml:space="preserve"> [2022] QIRC 440; </w:t>
      </w:r>
      <w:r w:rsidRPr="00410DAB">
        <w:rPr>
          <w:rFonts w:ascii="Public Sans" w:hAnsi="Public Sans"/>
          <w:i/>
          <w:iCs/>
          <w:szCs w:val="18"/>
        </w:rPr>
        <w:t>BAE Systems Australia Ltd</w:t>
      </w:r>
      <w:r w:rsidRPr="00410DAB">
        <w:rPr>
          <w:rFonts w:ascii="Public Sans" w:hAnsi="Public Sans"/>
          <w:szCs w:val="18"/>
        </w:rPr>
        <w:t xml:space="preserve"> [2008] VCAT 1799.</w:t>
      </w:r>
    </w:p>
  </w:footnote>
  <w:footnote w:id="1144">
    <w:p w14:paraId="18EBD2A6"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w:t>
      </w:r>
      <w:r w:rsidRPr="00410DAB">
        <w:rPr>
          <w:rFonts w:ascii="Public Sans" w:hAnsi="Public Sans" w:cs="Arial"/>
          <w:i/>
          <w:iCs/>
          <w:szCs w:val="18"/>
        </w:rPr>
        <w:t xml:space="preserve">Sex Discrimination Act 1984 </w:t>
      </w:r>
      <w:r w:rsidRPr="00410DAB">
        <w:rPr>
          <w:rFonts w:ascii="Public Sans" w:hAnsi="Public Sans" w:cs="Arial"/>
          <w:szCs w:val="18"/>
        </w:rPr>
        <w:t xml:space="preserve">(Cth) s 44; </w:t>
      </w:r>
      <w:r w:rsidRPr="00410DAB">
        <w:rPr>
          <w:rFonts w:ascii="Public Sans" w:hAnsi="Public Sans" w:cs="Arial"/>
          <w:i/>
          <w:iCs/>
          <w:szCs w:val="18"/>
        </w:rPr>
        <w:t xml:space="preserve">Equal Opportunity Act 2010 </w:t>
      </w:r>
      <w:r w:rsidRPr="00410DAB">
        <w:rPr>
          <w:rFonts w:ascii="Public Sans" w:hAnsi="Public Sans" w:cs="Arial"/>
          <w:szCs w:val="18"/>
        </w:rPr>
        <w:t xml:space="preserve">(Vic) s 89; </w:t>
      </w:r>
      <w:r w:rsidRPr="00410DAB">
        <w:rPr>
          <w:rFonts w:ascii="Public Sans" w:hAnsi="Public Sans" w:cs="Arial"/>
          <w:i/>
          <w:iCs/>
          <w:szCs w:val="18"/>
        </w:rPr>
        <w:t xml:space="preserve">Anti-Discrimination Act 1992 </w:t>
      </w:r>
      <w:r w:rsidRPr="00410DAB">
        <w:rPr>
          <w:rFonts w:ascii="Public Sans" w:hAnsi="Public Sans" w:cs="Arial"/>
          <w:szCs w:val="18"/>
        </w:rPr>
        <w:t>(NT) s 59.</w:t>
      </w:r>
    </w:p>
  </w:footnote>
  <w:footnote w:id="1145">
    <w:p w14:paraId="29FCEE44"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NSW Law Reform Commission, </w:t>
      </w:r>
      <w:r w:rsidRPr="00410DAB">
        <w:rPr>
          <w:rFonts w:ascii="Public Sans" w:hAnsi="Public Sans" w:cs="Arial"/>
          <w:i/>
          <w:iCs/>
          <w:szCs w:val="18"/>
        </w:rPr>
        <w:t>Review of the Anti-Discrimination Act 1977 (NSW)</w:t>
      </w:r>
      <w:r w:rsidRPr="00410DAB">
        <w:rPr>
          <w:rFonts w:ascii="Public Sans" w:hAnsi="Public Sans" w:cs="Arial"/>
          <w:szCs w:val="18"/>
        </w:rPr>
        <w:t>, Report 92 (1999) [6.139], rec 51.</w:t>
      </w:r>
    </w:p>
  </w:footnote>
  <w:footnote w:id="1146">
    <w:p w14:paraId="674D76E0" w14:textId="785CCEB0"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Equal Opportunity Act 2010</w:t>
      </w:r>
      <w:r w:rsidRPr="00410DAB">
        <w:rPr>
          <w:rFonts w:ascii="Public Sans" w:hAnsi="Public Sans" w:cs="Arial"/>
          <w:szCs w:val="18"/>
        </w:rPr>
        <w:t xml:space="preserve"> (Vic) s 15; </w:t>
      </w:r>
      <w:r w:rsidRPr="00410DAB">
        <w:rPr>
          <w:rFonts w:ascii="Public Sans" w:hAnsi="Public Sans" w:cs="Arial"/>
          <w:i/>
          <w:iCs/>
          <w:szCs w:val="18"/>
        </w:rPr>
        <w:t>Anti-Discrimination Act 1992</w:t>
      </w:r>
      <w:r w:rsidRPr="00410DAB">
        <w:rPr>
          <w:rFonts w:ascii="Public Sans" w:hAnsi="Public Sans" w:cs="Arial"/>
          <w:szCs w:val="18"/>
        </w:rPr>
        <w:t xml:space="preserve"> (NT) s 18B; </w:t>
      </w:r>
      <w:r w:rsidRPr="00410DAB">
        <w:rPr>
          <w:rFonts w:ascii="Public Sans" w:hAnsi="Public Sans" w:cs="Arial"/>
          <w:i/>
          <w:iCs/>
          <w:szCs w:val="18"/>
        </w:rPr>
        <w:t>Discrimination Act 1991</w:t>
      </w:r>
      <w:r w:rsidRPr="00410DAB">
        <w:rPr>
          <w:rFonts w:ascii="Public Sans" w:hAnsi="Public Sans" w:cs="Arial"/>
          <w:szCs w:val="18"/>
        </w:rPr>
        <w:t xml:space="preserve"> (ACT) s 75; </w:t>
      </w:r>
      <w:r w:rsidRPr="00410DAB">
        <w:rPr>
          <w:rFonts w:ascii="Public Sans" w:hAnsi="Public Sans" w:cs="Arial"/>
          <w:i/>
          <w:iCs/>
          <w:szCs w:val="18"/>
        </w:rPr>
        <w:t>Anti-Discrimination Act 1998</w:t>
      </w:r>
      <w:r w:rsidRPr="00410DAB">
        <w:rPr>
          <w:rFonts w:ascii="Public Sans" w:hAnsi="Public Sans" w:cs="Arial"/>
          <w:szCs w:val="18"/>
        </w:rPr>
        <w:t xml:space="preserve"> (Tas) s 104; </w:t>
      </w:r>
      <w:r w:rsidRPr="00410DAB">
        <w:rPr>
          <w:rFonts w:ascii="Public Sans" w:hAnsi="Public Sans" w:cs="Arial"/>
          <w:i/>
          <w:iCs/>
          <w:szCs w:val="18"/>
        </w:rPr>
        <w:t>Sex Discrimination Act 1984</w:t>
      </w:r>
      <w:r w:rsidRPr="00410DAB">
        <w:rPr>
          <w:rFonts w:ascii="Public Sans" w:hAnsi="Public Sans" w:cs="Arial"/>
          <w:szCs w:val="18"/>
        </w:rPr>
        <w:t xml:space="preserve"> (Cth) s 47C. See also </w:t>
      </w:r>
      <w:r w:rsidRPr="00410DAB">
        <w:rPr>
          <w:rFonts w:ascii="Public Sans" w:hAnsi="Public Sans" w:cs="Arial"/>
          <w:i/>
          <w:iCs/>
          <w:szCs w:val="18"/>
        </w:rPr>
        <w:t>Respect at Work and Other Matters Amendment Act 2024</w:t>
      </w:r>
      <w:r w:rsidRPr="00410DAB">
        <w:rPr>
          <w:rFonts w:ascii="Public Sans" w:hAnsi="Public Sans" w:cs="Arial"/>
          <w:szCs w:val="18"/>
        </w:rPr>
        <w:t xml:space="preserve"> (Qld) s 25, inserting </w:t>
      </w:r>
      <w:r w:rsidRPr="00410DAB">
        <w:rPr>
          <w:rFonts w:ascii="Public Sans" w:hAnsi="Public Sans" w:cs="Arial"/>
          <w:i/>
          <w:iCs/>
          <w:szCs w:val="18"/>
        </w:rPr>
        <w:t xml:space="preserve">Anti-Discrimination Act 1991 </w:t>
      </w:r>
      <w:r w:rsidRPr="00410DAB">
        <w:rPr>
          <w:rFonts w:ascii="Public Sans" w:hAnsi="Public Sans" w:cs="Arial"/>
          <w:szCs w:val="18"/>
        </w:rPr>
        <w:t>(Qld) s 131I (</w:t>
      </w:r>
      <w:r w:rsidR="001C23B2">
        <w:rPr>
          <w:rFonts w:ascii="Public Sans" w:hAnsi="Public Sans" w:cs="Arial"/>
          <w:szCs w:val="18"/>
        </w:rPr>
        <w:t>uncommenced</w:t>
      </w:r>
      <w:r w:rsidRPr="00410DAB">
        <w:rPr>
          <w:rFonts w:ascii="Public Sans" w:hAnsi="Public Sans" w:cs="Arial"/>
          <w:szCs w:val="18"/>
        </w:rPr>
        <w:t>).</w:t>
      </w:r>
    </w:p>
  </w:footnote>
  <w:footnote w:id="1147">
    <w:p w14:paraId="21D656DA"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Royal Commission into Violence, Abuse, Neglect and Exploitation of People with Disability</w:t>
      </w:r>
      <w:r w:rsidRPr="00410DAB">
        <w:rPr>
          <w:rFonts w:ascii="Public Sans" w:hAnsi="Public Sans" w:cs="Arial"/>
          <w:szCs w:val="18"/>
        </w:rPr>
        <w:t>,</w:t>
      </w:r>
      <w:r w:rsidRPr="00410DAB">
        <w:rPr>
          <w:rFonts w:ascii="Public Sans" w:hAnsi="Public Sans" w:cs="Arial"/>
          <w:i/>
          <w:iCs/>
          <w:szCs w:val="18"/>
        </w:rPr>
        <w:t xml:space="preserve"> </w:t>
      </w:r>
      <w:r w:rsidRPr="00410DAB">
        <w:rPr>
          <w:rFonts w:ascii="Public Sans" w:hAnsi="Public Sans" w:cs="Arial"/>
          <w:szCs w:val="18"/>
        </w:rPr>
        <w:t xml:space="preserve">Final Report (2023) vol 4, “Realising the Human Rights of People with Disability“, rec 4.27; Australian Human Rights Commission, </w:t>
      </w:r>
      <w:r w:rsidRPr="00410DAB">
        <w:rPr>
          <w:rFonts w:ascii="Public Sans" w:hAnsi="Public Sans" w:cs="Arial"/>
          <w:i/>
          <w:iCs/>
          <w:szCs w:val="18"/>
        </w:rPr>
        <w:t xml:space="preserve">Free and Equal: Revitalising Australia’s Commitment to Human Rights, </w:t>
      </w:r>
      <w:r w:rsidRPr="00410DAB">
        <w:rPr>
          <w:rFonts w:ascii="Public Sans" w:hAnsi="Public Sans" w:cs="Arial"/>
          <w:szCs w:val="18"/>
        </w:rPr>
        <w:t xml:space="preserve">Final Report (2023) 82–83, 92, 95; Australian Human Rights Commission, </w:t>
      </w:r>
      <w:r w:rsidRPr="00410DAB">
        <w:rPr>
          <w:rFonts w:ascii="Public Sans" w:hAnsi="Public Sans" w:cs="Arial"/>
          <w:i/>
          <w:iCs/>
          <w:szCs w:val="18"/>
        </w:rPr>
        <w:t>The National Anti-Racism Framework: A Roadmap to Eliminating Racism in Australia</w:t>
      </w:r>
      <w:r w:rsidRPr="00410DAB">
        <w:rPr>
          <w:rFonts w:ascii="Public Sans" w:hAnsi="Public Sans" w:cs="Arial"/>
          <w:szCs w:val="18"/>
        </w:rPr>
        <w:t xml:space="preserve"> (2024) rec 10; Australian Law Reform Commission, </w:t>
      </w:r>
      <w:r w:rsidRPr="00410DAB">
        <w:rPr>
          <w:rFonts w:ascii="Public Sans" w:hAnsi="Public Sans" w:cs="Arial"/>
          <w:i/>
          <w:iCs/>
          <w:szCs w:val="18"/>
        </w:rPr>
        <w:t>Safe, Informed, Supported: Reforming Justice Responses to Sexual Violence</w:t>
      </w:r>
      <w:r w:rsidRPr="00410DAB">
        <w:rPr>
          <w:rFonts w:ascii="Public Sans" w:hAnsi="Public Sans" w:cs="Arial"/>
          <w:szCs w:val="18"/>
        </w:rPr>
        <w:t>, Report 143 (2025) rec 53.</w:t>
      </w:r>
    </w:p>
  </w:footnote>
  <w:footnote w:id="1148">
    <w:p w14:paraId="36CEBD1E"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47C(1)–(4).</w:t>
      </w:r>
    </w:p>
  </w:footnote>
  <w:footnote w:id="1149">
    <w:p w14:paraId="3439EC29" w14:textId="77777777" w:rsidR="004A000C" w:rsidRPr="00410DAB" w:rsidRDefault="004A000C" w:rsidP="004A000C">
      <w:pPr>
        <w:pStyle w:val="FootnoteText"/>
        <w:rPr>
          <w:rFonts w:ascii="Public Sans" w:hAnsi="Public Sans"/>
        </w:rPr>
      </w:pPr>
      <w:r w:rsidRPr="00410DAB">
        <w:rPr>
          <w:rStyle w:val="FootnoteReference"/>
          <w:rFonts w:cs="Arial"/>
          <w:szCs w:val="18"/>
          <w:vertAlign w:val="baseline"/>
        </w:rPr>
        <w:footnoteRef/>
      </w:r>
      <w:r w:rsidRPr="00410DAB">
        <w:rPr>
          <w:rFonts w:ascii="Public Sans" w:hAnsi="Public Sans"/>
        </w:rPr>
        <w:t xml:space="preserve">. </w:t>
      </w:r>
      <w:r w:rsidRPr="00410DAB">
        <w:rPr>
          <w:rFonts w:ascii="Public Sans" w:hAnsi="Public Sans"/>
        </w:rPr>
        <w:tab/>
      </w:r>
      <w:r w:rsidRPr="00410DAB">
        <w:rPr>
          <w:rFonts w:ascii="Public Sans" w:hAnsi="Public Sans" w:cs="Arial"/>
          <w:i/>
          <w:iCs/>
          <w:szCs w:val="18"/>
        </w:rPr>
        <w:t>Work Health and Safety Act 2011</w:t>
      </w:r>
      <w:r w:rsidRPr="00410DAB">
        <w:rPr>
          <w:rFonts w:ascii="Public Sans" w:hAnsi="Public Sans" w:cs="Arial"/>
          <w:szCs w:val="18"/>
        </w:rPr>
        <w:t xml:space="preserve"> (NSW) s 17, s 19.</w:t>
      </w:r>
    </w:p>
  </w:footnote>
  <w:footnote w:id="1150">
    <w:p w14:paraId="2D25A694"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Work Health and Safety Regulation 2017</w:t>
      </w:r>
      <w:r w:rsidRPr="00410DAB">
        <w:rPr>
          <w:rFonts w:ascii="Public Sans" w:hAnsi="Public Sans" w:cs="Arial"/>
          <w:szCs w:val="18"/>
        </w:rPr>
        <w:t xml:space="preserve"> (NSW) cl 34–35, cl 37–38, cl 55A definition of “psychosocial hazard”, cl 55B definition of “psychosocial risk”, cl 55D.</w:t>
      </w:r>
    </w:p>
  </w:footnote>
  <w:footnote w:id="1151">
    <w:p w14:paraId="187452C3"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Australian Human Rights Commission, </w:t>
      </w:r>
      <w:r w:rsidRPr="00410DAB">
        <w:rPr>
          <w:rFonts w:ascii="Public Sans" w:hAnsi="Public Sans" w:cs="Arial"/>
          <w:i/>
          <w:iCs/>
          <w:szCs w:val="18"/>
        </w:rPr>
        <w:t>Free and Equal: A Reform Agenda for Federal Discrimination Laws</w:t>
      </w:r>
      <w:r w:rsidRPr="00410DAB">
        <w:rPr>
          <w:rFonts w:ascii="Public Sans" w:hAnsi="Public Sans" w:cs="Arial"/>
          <w:szCs w:val="18"/>
        </w:rPr>
        <w:t xml:space="preserve"> (2021) 73.</w:t>
      </w:r>
    </w:p>
  </w:footnote>
  <w:footnote w:id="1152">
    <w:p w14:paraId="4197B1E5"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Australian Human Rights Commission, </w:t>
      </w:r>
      <w:r w:rsidRPr="00410DAB">
        <w:rPr>
          <w:rFonts w:ascii="Public Sans" w:hAnsi="Public Sans" w:cs="Arial"/>
          <w:i/>
          <w:iCs/>
          <w:szCs w:val="18"/>
        </w:rPr>
        <w:t>Respect@Work: National Inquiry into Sexual Harassment in Australian Workplaces</w:t>
      </w:r>
      <w:r w:rsidRPr="00410DAB">
        <w:rPr>
          <w:rFonts w:ascii="Public Sans" w:hAnsi="Public Sans" w:cs="Arial"/>
          <w:szCs w:val="18"/>
        </w:rPr>
        <w:t xml:space="preserve"> (2020) 480; 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230. </w:t>
      </w:r>
    </w:p>
  </w:footnote>
  <w:footnote w:id="1153">
    <w:p w14:paraId="73907ABA"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NSW Nurses and Midwives’ Association, </w:t>
      </w:r>
      <w:r w:rsidRPr="00410DAB">
        <w:rPr>
          <w:rFonts w:ascii="Public Sans" w:hAnsi="Public Sans" w:cs="Arial"/>
          <w:i/>
          <w:iCs/>
          <w:szCs w:val="18"/>
        </w:rPr>
        <w:t>Preliminary Submission PAD50</w:t>
      </w:r>
      <w:r w:rsidRPr="00410DAB">
        <w:rPr>
          <w:rFonts w:ascii="Public Sans" w:hAnsi="Public Sans" w:cs="Arial"/>
          <w:szCs w:val="18"/>
        </w:rPr>
        <w:t>, 4.</w:t>
      </w:r>
    </w:p>
  </w:footnote>
  <w:footnote w:id="1154">
    <w:p w14:paraId="08C117ED"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See, eg, Explanatory Statement and Human Rights Compatibility Statement, Discrimination Amendment Bill 2022 (ACT) cl 30; Explanatory Memorandum, Anti-Discrimination and Human Rights Legislation Amendment (Respect at Work) Bill 2022 (Cth) [14]. </w:t>
      </w:r>
    </w:p>
  </w:footnote>
  <w:footnote w:id="1155">
    <w:p w14:paraId="72BF975E" w14:textId="77777777" w:rsidR="004A000C" w:rsidRPr="00410DAB" w:rsidRDefault="004A000C" w:rsidP="004A000C">
      <w:pPr>
        <w:pStyle w:val="FootnoteText"/>
        <w:rPr>
          <w:rFonts w:ascii="Public Sans" w:hAnsi="Public Sans"/>
          <w:szCs w:val="18"/>
        </w:rPr>
      </w:pPr>
      <w:r w:rsidRPr="00410DAB">
        <w:rPr>
          <w:rStyle w:val="FootnoteReference"/>
          <w:rFonts w:cs="Arial"/>
          <w:szCs w:val="18"/>
          <w:vertAlign w:val="baseline"/>
        </w:rPr>
        <w:footnoteRef/>
      </w:r>
      <w:r w:rsidRPr="00410DAB">
        <w:rPr>
          <w:rFonts w:ascii="Public Sans" w:hAnsi="Public Sans"/>
          <w:szCs w:val="18"/>
        </w:rPr>
        <w:t>.</w:t>
      </w:r>
      <w:r w:rsidRPr="00410DAB">
        <w:rPr>
          <w:rFonts w:ascii="Public Sans" w:hAnsi="Public Sans"/>
          <w:szCs w:val="18"/>
        </w:rPr>
        <w:tab/>
      </w:r>
      <w:r w:rsidRPr="00410DAB">
        <w:rPr>
          <w:rFonts w:ascii="Public Sans" w:hAnsi="Public Sans" w:cs="Arial"/>
          <w:i/>
          <w:iCs/>
          <w:szCs w:val="18"/>
        </w:rPr>
        <w:t>Equal Opportunity Act 2010</w:t>
      </w:r>
      <w:r w:rsidRPr="00410DAB">
        <w:rPr>
          <w:rFonts w:ascii="Public Sans" w:hAnsi="Public Sans" w:cs="Arial"/>
          <w:szCs w:val="18"/>
        </w:rPr>
        <w:t xml:space="preserve"> (Vic) s 15(6). </w:t>
      </w:r>
    </w:p>
  </w:footnote>
  <w:footnote w:id="1156">
    <w:p w14:paraId="3B1EDACC"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 xml:space="preserve">. </w:t>
      </w:r>
      <w:r w:rsidRPr="00410DAB">
        <w:rPr>
          <w:rFonts w:ascii="Public Sans" w:hAnsi="Public Sans" w:cs="Arial"/>
          <w:szCs w:val="18"/>
        </w:rPr>
        <w:tab/>
      </w:r>
      <w:r w:rsidRPr="00410DAB">
        <w:rPr>
          <w:rFonts w:ascii="Public Sans" w:hAnsi="Public Sans" w:cs="Arial"/>
          <w:i/>
          <w:iCs/>
          <w:szCs w:val="18"/>
        </w:rPr>
        <w:t>Equal Opportunity Act 2010</w:t>
      </w:r>
      <w:r w:rsidRPr="00410DAB">
        <w:rPr>
          <w:rFonts w:ascii="Public Sans" w:hAnsi="Public Sans" w:cs="Arial"/>
          <w:szCs w:val="18"/>
        </w:rPr>
        <w:t xml:space="preserve"> (Vic) s 15, examples. </w:t>
      </w:r>
    </w:p>
  </w:footnote>
  <w:footnote w:id="1157">
    <w:p w14:paraId="29BCA272"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Discrimination Act 1991</w:t>
      </w:r>
      <w:r w:rsidRPr="00410DAB">
        <w:rPr>
          <w:rFonts w:ascii="Public Sans" w:hAnsi="Public Sans" w:cs="Arial"/>
          <w:szCs w:val="18"/>
        </w:rPr>
        <w:t xml:space="preserve"> (ACT) s 75.</w:t>
      </w:r>
    </w:p>
  </w:footnote>
  <w:footnote w:id="1158">
    <w:p w14:paraId="44B0BD31" w14:textId="0846FD16"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Anti-Discrimination Act 1992</w:t>
      </w:r>
      <w:r w:rsidRPr="00410DAB">
        <w:rPr>
          <w:rFonts w:ascii="Public Sans" w:hAnsi="Public Sans" w:cs="Arial"/>
          <w:szCs w:val="18"/>
        </w:rPr>
        <w:t xml:space="preserve"> (NT) s 18B; </w:t>
      </w:r>
      <w:r w:rsidRPr="00410DAB">
        <w:rPr>
          <w:rFonts w:ascii="Public Sans" w:hAnsi="Public Sans" w:cs="Arial"/>
          <w:i/>
          <w:iCs/>
          <w:szCs w:val="18"/>
        </w:rPr>
        <w:t>Equal Opportunity Act 2010</w:t>
      </w:r>
      <w:r w:rsidRPr="00410DAB">
        <w:rPr>
          <w:rFonts w:ascii="Public Sans" w:hAnsi="Public Sans" w:cs="Arial"/>
          <w:szCs w:val="18"/>
        </w:rPr>
        <w:t xml:space="preserve"> (Vic) s 15; </w:t>
      </w:r>
      <w:r w:rsidRPr="00410DAB">
        <w:rPr>
          <w:rFonts w:ascii="Public Sans" w:hAnsi="Public Sans" w:cs="Arial"/>
          <w:i/>
          <w:iCs/>
          <w:szCs w:val="18"/>
        </w:rPr>
        <w:t>Respect at Work and Other Matters Amendment Act 2024</w:t>
      </w:r>
      <w:r w:rsidRPr="00410DAB">
        <w:rPr>
          <w:rFonts w:ascii="Public Sans" w:hAnsi="Public Sans" w:cs="Arial"/>
          <w:szCs w:val="18"/>
        </w:rPr>
        <w:t xml:space="preserve"> (Qld) s 25</w:t>
      </w:r>
      <w:r w:rsidR="003E6A20">
        <w:rPr>
          <w:rFonts w:ascii="Public Sans" w:hAnsi="Public Sans" w:cs="Arial"/>
          <w:szCs w:val="18"/>
        </w:rPr>
        <w:t>,</w:t>
      </w:r>
      <w:r w:rsidRPr="00410DAB">
        <w:rPr>
          <w:rFonts w:ascii="Public Sans" w:hAnsi="Public Sans" w:cs="Arial"/>
          <w:szCs w:val="18"/>
        </w:rPr>
        <w:t xml:space="preserve"> inserting </w:t>
      </w:r>
      <w:r w:rsidRPr="00410DAB">
        <w:rPr>
          <w:rFonts w:ascii="Public Sans" w:hAnsi="Public Sans" w:cs="Arial"/>
          <w:i/>
          <w:iCs/>
          <w:szCs w:val="18"/>
        </w:rPr>
        <w:t xml:space="preserve">Anti-Discrimination Act 1991 </w:t>
      </w:r>
      <w:r w:rsidRPr="00410DAB">
        <w:rPr>
          <w:rFonts w:ascii="Public Sans" w:hAnsi="Public Sans" w:cs="Arial"/>
          <w:szCs w:val="18"/>
        </w:rPr>
        <w:t>(Qld) s 131I(I) (</w:t>
      </w:r>
      <w:r w:rsidR="001C23B2">
        <w:rPr>
          <w:rFonts w:ascii="Public Sans" w:hAnsi="Public Sans" w:cs="Arial"/>
          <w:szCs w:val="18"/>
        </w:rPr>
        <w:t>un</w:t>
      </w:r>
      <w:r w:rsidRPr="00410DAB">
        <w:rPr>
          <w:rFonts w:ascii="Public Sans" w:hAnsi="Public Sans" w:cs="Arial"/>
          <w:szCs w:val="18"/>
        </w:rPr>
        <w:t>commence</w:t>
      </w:r>
      <w:r w:rsidR="001C23B2">
        <w:rPr>
          <w:rFonts w:ascii="Public Sans" w:hAnsi="Public Sans" w:cs="Arial"/>
          <w:szCs w:val="18"/>
        </w:rPr>
        <w:t>d</w:t>
      </w:r>
      <w:r w:rsidRPr="00410DAB">
        <w:rPr>
          <w:rFonts w:ascii="Public Sans" w:hAnsi="Public Sans" w:cs="Arial"/>
          <w:szCs w:val="18"/>
        </w:rPr>
        <w:t xml:space="preserve">). </w:t>
      </w:r>
    </w:p>
  </w:footnote>
  <w:footnote w:id="1159">
    <w:p w14:paraId="4B56C91B"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Report (2022) 230; Law Reform Commission of Western Australia, </w:t>
      </w:r>
      <w:r w:rsidRPr="00410DAB">
        <w:rPr>
          <w:rFonts w:ascii="Public Sans" w:hAnsi="Public Sans" w:cs="Arial"/>
          <w:i/>
          <w:iCs/>
          <w:szCs w:val="18"/>
        </w:rPr>
        <w:t>Review of the Equal Opportunity Act 1984 (WA)</w:t>
      </w:r>
      <w:r w:rsidRPr="00410DAB">
        <w:rPr>
          <w:rFonts w:ascii="Public Sans" w:hAnsi="Public Sans" w:cs="Arial"/>
          <w:szCs w:val="18"/>
        </w:rPr>
        <w:t>, Project 111, Final Report (2022) 241.</w:t>
      </w:r>
    </w:p>
  </w:footnote>
  <w:footnote w:id="1160">
    <w:p w14:paraId="5B6DF583"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47C.</w:t>
      </w:r>
    </w:p>
  </w:footnote>
  <w:footnote w:id="1161">
    <w:p w14:paraId="2470813A"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28AA, s 28M.</w:t>
      </w:r>
    </w:p>
  </w:footnote>
  <w:footnote w:id="1162">
    <w:p w14:paraId="0B1A515C" w14:textId="0110D553"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Equal Opportunity Act 2010</w:t>
      </w:r>
      <w:r w:rsidRPr="00410DAB">
        <w:rPr>
          <w:rFonts w:ascii="Public Sans" w:hAnsi="Public Sans" w:cs="Arial"/>
          <w:szCs w:val="18"/>
        </w:rPr>
        <w:t xml:space="preserve"> (Vic) s 15(2); </w:t>
      </w:r>
      <w:r w:rsidRPr="00410DAB">
        <w:rPr>
          <w:rFonts w:ascii="Public Sans" w:hAnsi="Public Sans" w:cs="Arial"/>
          <w:i/>
          <w:iCs/>
          <w:szCs w:val="18"/>
        </w:rPr>
        <w:t>Anti-Discrimination Act 1992</w:t>
      </w:r>
      <w:r w:rsidRPr="00410DAB">
        <w:rPr>
          <w:rFonts w:ascii="Public Sans" w:hAnsi="Public Sans" w:cs="Arial"/>
          <w:szCs w:val="18"/>
        </w:rPr>
        <w:t xml:space="preserve"> (NT) s 18B(2); </w:t>
      </w:r>
      <w:r w:rsidRPr="00410DAB">
        <w:rPr>
          <w:rFonts w:ascii="Public Sans" w:hAnsi="Public Sans" w:cs="Arial"/>
          <w:i/>
          <w:iCs/>
          <w:szCs w:val="18"/>
        </w:rPr>
        <w:t>Discrimination Act 1991</w:t>
      </w:r>
      <w:r w:rsidRPr="00410DAB">
        <w:rPr>
          <w:rFonts w:ascii="Public Sans" w:hAnsi="Public Sans" w:cs="Arial"/>
          <w:szCs w:val="18"/>
        </w:rPr>
        <w:t xml:space="preserve"> (ACT) s 75(2); </w:t>
      </w:r>
      <w:r w:rsidRPr="00410DAB">
        <w:rPr>
          <w:rFonts w:ascii="Public Sans" w:hAnsi="Public Sans" w:cs="Arial"/>
          <w:i/>
          <w:iCs/>
          <w:szCs w:val="18"/>
        </w:rPr>
        <w:t>Respect at Work and Other Matters Amendment Act 2024</w:t>
      </w:r>
      <w:r w:rsidRPr="00410DAB">
        <w:rPr>
          <w:rFonts w:ascii="Public Sans" w:hAnsi="Public Sans" w:cs="Arial"/>
          <w:szCs w:val="18"/>
        </w:rPr>
        <w:t xml:space="preserve"> (Qld) s 25, inserting </w:t>
      </w:r>
      <w:r w:rsidRPr="00410DAB">
        <w:rPr>
          <w:rFonts w:ascii="Public Sans" w:hAnsi="Public Sans" w:cs="Arial"/>
          <w:i/>
          <w:iCs/>
          <w:szCs w:val="18"/>
        </w:rPr>
        <w:t xml:space="preserve">Anti-Discrimination Act 1991 </w:t>
      </w:r>
      <w:r w:rsidRPr="00410DAB">
        <w:rPr>
          <w:rFonts w:ascii="Public Sans" w:hAnsi="Public Sans" w:cs="Arial"/>
          <w:szCs w:val="18"/>
        </w:rPr>
        <w:t>(Qld) s 131I (</w:t>
      </w:r>
      <w:r w:rsidR="001C23B2">
        <w:rPr>
          <w:rFonts w:ascii="Public Sans" w:hAnsi="Public Sans" w:cs="Arial"/>
          <w:szCs w:val="18"/>
        </w:rPr>
        <w:t>un</w:t>
      </w:r>
      <w:r w:rsidRPr="00410DAB">
        <w:rPr>
          <w:rFonts w:ascii="Public Sans" w:hAnsi="Public Sans" w:cs="Arial"/>
          <w:szCs w:val="18"/>
        </w:rPr>
        <w:t>commence</w:t>
      </w:r>
      <w:r w:rsidR="001C23B2">
        <w:rPr>
          <w:rFonts w:ascii="Public Sans" w:hAnsi="Public Sans" w:cs="Arial"/>
          <w:szCs w:val="18"/>
        </w:rPr>
        <w:t>d</w:t>
      </w:r>
      <w:r w:rsidRPr="00410DAB">
        <w:rPr>
          <w:rFonts w:ascii="Public Sans" w:hAnsi="Public Sans" w:cs="Arial"/>
          <w:szCs w:val="18"/>
        </w:rPr>
        <w:t xml:space="preserve">).  </w:t>
      </w:r>
    </w:p>
  </w:footnote>
  <w:footnote w:id="1163">
    <w:p w14:paraId="0BAFEE3F"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Australian Human Rights Commission, </w:t>
      </w:r>
      <w:r w:rsidRPr="00410DAB">
        <w:rPr>
          <w:rFonts w:ascii="Public Sans" w:hAnsi="Public Sans" w:cs="Arial"/>
          <w:i/>
          <w:iCs/>
          <w:szCs w:val="18"/>
        </w:rPr>
        <w:t>Free and Equal: Revitalising Australia’s Commitment to Human Rights</w:t>
      </w:r>
      <w:r w:rsidRPr="00410DAB">
        <w:rPr>
          <w:rFonts w:ascii="Public Sans" w:hAnsi="Public Sans" w:cs="Arial"/>
          <w:szCs w:val="18"/>
        </w:rPr>
        <w:t>,</w:t>
      </w:r>
      <w:r w:rsidRPr="00410DAB">
        <w:rPr>
          <w:rFonts w:ascii="Public Sans" w:hAnsi="Public Sans" w:cs="Arial"/>
          <w:i/>
          <w:iCs/>
          <w:szCs w:val="18"/>
        </w:rPr>
        <w:t xml:space="preserve"> </w:t>
      </w:r>
      <w:r w:rsidRPr="00410DAB">
        <w:rPr>
          <w:rFonts w:ascii="Public Sans" w:hAnsi="Public Sans" w:cs="Arial"/>
          <w:szCs w:val="18"/>
        </w:rPr>
        <w:t>Final Report (2023) 82, 92, 95.</w:t>
      </w:r>
    </w:p>
  </w:footnote>
  <w:footnote w:id="1164">
    <w:p w14:paraId="7753A6B9"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228.</w:t>
      </w:r>
    </w:p>
  </w:footnote>
  <w:footnote w:id="1165">
    <w:p w14:paraId="5F2FFE1E" w14:textId="3ACF3831"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Equal Opportunity Act 2010</w:t>
      </w:r>
      <w:r w:rsidRPr="00410DAB">
        <w:rPr>
          <w:rFonts w:ascii="Public Sans" w:hAnsi="Public Sans" w:cs="Arial"/>
          <w:szCs w:val="18"/>
        </w:rPr>
        <w:t xml:space="preserve"> (Vic) s 15(1)–(2); </w:t>
      </w:r>
      <w:r w:rsidRPr="00410DAB">
        <w:rPr>
          <w:rFonts w:ascii="Public Sans" w:hAnsi="Public Sans" w:cs="Arial"/>
          <w:i/>
          <w:iCs/>
          <w:szCs w:val="18"/>
        </w:rPr>
        <w:t>Anti-Discrimination Act 1992</w:t>
      </w:r>
      <w:r w:rsidRPr="00410DAB">
        <w:rPr>
          <w:rFonts w:ascii="Public Sans" w:hAnsi="Public Sans" w:cs="Arial"/>
          <w:szCs w:val="18"/>
        </w:rPr>
        <w:t xml:space="preserve"> (NT) s 18B(1)–(2); </w:t>
      </w:r>
      <w:r w:rsidRPr="00410DAB">
        <w:rPr>
          <w:rFonts w:ascii="Public Sans" w:hAnsi="Public Sans" w:cs="Arial"/>
          <w:i/>
          <w:iCs/>
          <w:szCs w:val="18"/>
        </w:rPr>
        <w:t>Discrimination Act 1991</w:t>
      </w:r>
      <w:r w:rsidRPr="00410DAB">
        <w:rPr>
          <w:rFonts w:ascii="Public Sans" w:hAnsi="Public Sans" w:cs="Arial"/>
          <w:szCs w:val="18"/>
        </w:rPr>
        <w:t xml:space="preserve"> (ACT) s 75(1)–(2). See also </w:t>
      </w:r>
      <w:r w:rsidRPr="00410DAB">
        <w:rPr>
          <w:rFonts w:ascii="Public Sans" w:hAnsi="Public Sans" w:cs="Arial"/>
          <w:i/>
          <w:iCs/>
          <w:szCs w:val="18"/>
        </w:rPr>
        <w:t>Respect at Work and Other Matters Amendment Act 2024</w:t>
      </w:r>
      <w:r w:rsidRPr="00410DAB">
        <w:rPr>
          <w:rFonts w:ascii="Public Sans" w:hAnsi="Public Sans" w:cs="Arial"/>
          <w:szCs w:val="18"/>
        </w:rPr>
        <w:t xml:space="preserve"> (Qld) s 25, inserting </w:t>
      </w:r>
      <w:r w:rsidRPr="00410DAB">
        <w:rPr>
          <w:rFonts w:ascii="Public Sans" w:hAnsi="Public Sans" w:cs="Arial"/>
          <w:i/>
          <w:iCs/>
          <w:szCs w:val="18"/>
        </w:rPr>
        <w:t xml:space="preserve">Anti-Discrimination Act 1991 </w:t>
      </w:r>
      <w:r w:rsidRPr="00410DAB">
        <w:rPr>
          <w:rFonts w:ascii="Public Sans" w:hAnsi="Public Sans" w:cs="Arial"/>
          <w:szCs w:val="18"/>
        </w:rPr>
        <w:t>(Qld) s 131I (</w:t>
      </w:r>
      <w:r w:rsidR="001C23B2">
        <w:rPr>
          <w:rFonts w:ascii="Public Sans" w:hAnsi="Public Sans" w:cs="Arial"/>
          <w:szCs w:val="18"/>
        </w:rPr>
        <w:t>un</w:t>
      </w:r>
      <w:r w:rsidRPr="00410DAB">
        <w:rPr>
          <w:rFonts w:ascii="Public Sans" w:hAnsi="Public Sans" w:cs="Arial"/>
          <w:szCs w:val="18"/>
        </w:rPr>
        <w:t>commence</w:t>
      </w:r>
      <w:r w:rsidR="001C23B2">
        <w:rPr>
          <w:rFonts w:ascii="Public Sans" w:hAnsi="Public Sans" w:cs="Arial"/>
          <w:szCs w:val="18"/>
        </w:rPr>
        <w:t>d</w:t>
      </w:r>
      <w:r w:rsidRPr="00410DAB">
        <w:rPr>
          <w:rFonts w:ascii="Public Sans" w:hAnsi="Public Sans" w:cs="Arial"/>
          <w:szCs w:val="18"/>
        </w:rPr>
        <w:t>).</w:t>
      </w:r>
    </w:p>
  </w:footnote>
  <w:footnote w:id="1166">
    <w:p w14:paraId="4F34A8ED"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Australian Human Rights Commission, </w:t>
      </w:r>
      <w:r w:rsidRPr="00410DAB">
        <w:rPr>
          <w:rFonts w:ascii="Public Sans" w:hAnsi="Public Sans" w:cs="Arial"/>
          <w:i/>
          <w:iCs/>
          <w:szCs w:val="18"/>
        </w:rPr>
        <w:t>Free and Equal: Revitalising Australia’s Commitment to Human Rights</w:t>
      </w:r>
      <w:r w:rsidRPr="00410DAB">
        <w:rPr>
          <w:rFonts w:ascii="Public Sans" w:hAnsi="Public Sans" w:cs="Arial"/>
          <w:szCs w:val="18"/>
        </w:rPr>
        <w:t>,</w:t>
      </w:r>
      <w:r w:rsidRPr="00410DAB">
        <w:rPr>
          <w:rFonts w:ascii="Public Sans" w:hAnsi="Public Sans" w:cs="Arial"/>
          <w:i/>
          <w:iCs/>
          <w:szCs w:val="18"/>
        </w:rPr>
        <w:t xml:space="preserve"> </w:t>
      </w:r>
      <w:r w:rsidRPr="00410DAB">
        <w:rPr>
          <w:rFonts w:ascii="Public Sans" w:hAnsi="Public Sans" w:cs="Arial"/>
          <w:szCs w:val="18"/>
        </w:rPr>
        <w:t xml:space="preserve">Final Report (2023) 82–83, 95; Queensland Human Rights Commission, </w:t>
      </w:r>
      <w:r w:rsidRPr="00410DAB">
        <w:rPr>
          <w:rFonts w:ascii="Public Sans" w:hAnsi="Public Sans" w:cs="Arial"/>
          <w:i/>
          <w:iCs/>
          <w:szCs w:val="18"/>
        </w:rPr>
        <w:t>Building Belonging: Review of Queensland's Anti-Discrimination Act 1991</w:t>
      </w:r>
      <w:r w:rsidRPr="00410DAB">
        <w:rPr>
          <w:rFonts w:ascii="Public Sans" w:hAnsi="Public Sans" w:cs="Arial"/>
          <w:szCs w:val="18"/>
        </w:rPr>
        <w:t xml:space="preserve"> (2022) rec 15.2; Law Reform Commission of Western Australia, </w:t>
      </w:r>
      <w:r w:rsidRPr="00410DAB">
        <w:rPr>
          <w:rFonts w:ascii="Public Sans" w:hAnsi="Public Sans" w:cs="Arial"/>
          <w:i/>
          <w:iCs/>
          <w:szCs w:val="18"/>
        </w:rPr>
        <w:t>Review of the Equal Opportunity Act 1984 (WA)</w:t>
      </w:r>
      <w:r w:rsidRPr="00410DAB">
        <w:rPr>
          <w:rFonts w:ascii="Public Sans" w:hAnsi="Public Sans" w:cs="Arial"/>
          <w:szCs w:val="18"/>
        </w:rPr>
        <w:t>, Project 111, Final Report (2022) rec 125.</w:t>
      </w:r>
    </w:p>
  </w:footnote>
  <w:footnote w:id="1167">
    <w:p w14:paraId="324178BF"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Equal Opportunity Act 2010</w:t>
      </w:r>
      <w:r w:rsidRPr="00410DAB">
        <w:rPr>
          <w:rFonts w:ascii="Public Sans" w:hAnsi="Public Sans" w:cs="Arial"/>
          <w:szCs w:val="18"/>
        </w:rPr>
        <w:t xml:space="preserve"> (Vic) s 15(1); </w:t>
      </w:r>
      <w:r w:rsidRPr="00410DAB">
        <w:rPr>
          <w:rFonts w:ascii="Public Sans" w:hAnsi="Public Sans" w:cs="Arial"/>
          <w:i/>
          <w:iCs/>
          <w:szCs w:val="18"/>
        </w:rPr>
        <w:t>Anti-Discrimination Act 1992</w:t>
      </w:r>
      <w:r w:rsidRPr="00410DAB">
        <w:rPr>
          <w:rFonts w:ascii="Public Sans" w:hAnsi="Public Sans" w:cs="Arial"/>
          <w:szCs w:val="18"/>
        </w:rPr>
        <w:t xml:space="preserve"> (NT) s 18B(1).</w:t>
      </w:r>
    </w:p>
  </w:footnote>
  <w:footnote w:id="1168">
    <w:p w14:paraId="14C1F967"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t xml:space="preserve">Australian Human Rights Commission, </w:t>
      </w:r>
      <w:r w:rsidRPr="00410DAB">
        <w:rPr>
          <w:rFonts w:ascii="Public Sans" w:hAnsi="Public Sans" w:cs="Arial"/>
          <w:i/>
          <w:iCs/>
          <w:szCs w:val="18"/>
        </w:rPr>
        <w:t>Free and Equal: Revitalising Australia’s Commitment to Human Rights</w:t>
      </w:r>
      <w:r w:rsidRPr="00410DAB">
        <w:rPr>
          <w:rFonts w:ascii="Public Sans" w:hAnsi="Public Sans" w:cs="Arial"/>
          <w:szCs w:val="18"/>
        </w:rPr>
        <w:t>,</w:t>
      </w:r>
      <w:r w:rsidRPr="00410DAB">
        <w:rPr>
          <w:rFonts w:ascii="Public Sans" w:hAnsi="Public Sans" w:cs="Arial"/>
          <w:i/>
          <w:iCs/>
          <w:szCs w:val="18"/>
        </w:rPr>
        <w:t xml:space="preserve"> </w:t>
      </w:r>
      <w:r w:rsidRPr="00410DAB">
        <w:rPr>
          <w:rFonts w:ascii="Public Sans" w:hAnsi="Public Sans" w:cs="Arial"/>
          <w:szCs w:val="18"/>
        </w:rPr>
        <w:t>Final Report (2023) 81–83.</w:t>
      </w:r>
    </w:p>
  </w:footnote>
  <w:footnote w:id="1169">
    <w:p w14:paraId="708998DD"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Sex Discrimination Act 1984</w:t>
      </w:r>
      <w:r w:rsidRPr="00410DAB">
        <w:rPr>
          <w:rFonts w:ascii="Public Sans" w:hAnsi="Public Sans" w:cs="Arial"/>
          <w:szCs w:val="18"/>
        </w:rPr>
        <w:t xml:space="preserve"> (Cth) s 47C(1), s 4 definition of “person conducting a business or undertaking”; </w:t>
      </w:r>
      <w:r w:rsidRPr="00410DAB">
        <w:rPr>
          <w:rFonts w:ascii="Public Sans" w:hAnsi="Public Sans" w:cs="Arial"/>
          <w:i/>
          <w:iCs/>
          <w:szCs w:val="18"/>
        </w:rPr>
        <w:t>Work Health and Safety Act 2011</w:t>
      </w:r>
      <w:r w:rsidRPr="00410DAB">
        <w:rPr>
          <w:rFonts w:ascii="Public Sans" w:hAnsi="Public Sans" w:cs="Arial"/>
          <w:szCs w:val="18"/>
        </w:rPr>
        <w:t xml:space="preserve"> (Cth) s 5; Australian Human Rights Commission, </w:t>
      </w:r>
      <w:r w:rsidRPr="00410DAB">
        <w:rPr>
          <w:rFonts w:ascii="Public Sans" w:hAnsi="Public Sans" w:cs="Arial"/>
          <w:i/>
          <w:iCs/>
          <w:szCs w:val="18"/>
        </w:rPr>
        <w:t xml:space="preserve">Guidelines for Complying with the Positive Duty under the Sex Discrimination Act 1984 (Cth) </w:t>
      </w:r>
      <w:r w:rsidRPr="00410DAB">
        <w:rPr>
          <w:rFonts w:ascii="Public Sans" w:hAnsi="Public Sans" w:cs="Arial"/>
          <w:szCs w:val="18"/>
        </w:rPr>
        <w:t xml:space="preserve">(2023) 15. </w:t>
      </w:r>
    </w:p>
  </w:footnote>
  <w:footnote w:id="1170">
    <w:p w14:paraId="69BA5C2E" w14:textId="5682BAE3"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Discrimination Act 1991</w:t>
      </w:r>
      <w:r w:rsidRPr="00410DAB">
        <w:rPr>
          <w:rFonts w:ascii="Public Sans" w:hAnsi="Public Sans" w:cs="Arial"/>
          <w:szCs w:val="18"/>
        </w:rPr>
        <w:t xml:space="preserve"> (ACT) s 75(1), s 75(6) definition of “organisational management responsibility”; Explanatory Statement and Human Rights Compatibility Statement, Discrimination Amendment Bill 2022 (ACT) cl 30. See also </w:t>
      </w:r>
      <w:r w:rsidRPr="00410DAB">
        <w:rPr>
          <w:rFonts w:ascii="Public Sans" w:hAnsi="Public Sans" w:cs="Arial"/>
          <w:i/>
          <w:iCs/>
          <w:szCs w:val="18"/>
        </w:rPr>
        <w:t>Respect at Work and Other Matters Amendment Act 2024</w:t>
      </w:r>
      <w:r w:rsidRPr="00410DAB">
        <w:rPr>
          <w:rFonts w:ascii="Public Sans" w:hAnsi="Public Sans" w:cs="Arial"/>
          <w:szCs w:val="18"/>
        </w:rPr>
        <w:t xml:space="preserve"> (Qld) s 25, inserting </w:t>
      </w:r>
      <w:r w:rsidRPr="00410DAB">
        <w:rPr>
          <w:rFonts w:ascii="Public Sans" w:hAnsi="Public Sans" w:cs="Arial"/>
          <w:i/>
          <w:iCs/>
          <w:szCs w:val="18"/>
        </w:rPr>
        <w:t xml:space="preserve">Anti-Discrimination Act 1991 </w:t>
      </w:r>
      <w:r w:rsidRPr="00410DAB">
        <w:rPr>
          <w:rFonts w:ascii="Public Sans" w:hAnsi="Public Sans" w:cs="Arial"/>
          <w:szCs w:val="18"/>
        </w:rPr>
        <w:t>(Qld) s 131I (</w:t>
      </w:r>
      <w:r w:rsidR="001C23B2">
        <w:rPr>
          <w:rFonts w:ascii="Public Sans" w:hAnsi="Public Sans" w:cs="Arial"/>
          <w:szCs w:val="18"/>
        </w:rPr>
        <w:t>un</w:t>
      </w:r>
      <w:r w:rsidRPr="00410DAB">
        <w:rPr>
          <w:rFonts w:ascii="Public Sans" w:hAnsi="Public Sans" w:cs="Arial"/>
          <w:szCs w:val="18"/>
        </w:rPr>
        <w:t>commence</w:t>
      </w:r>
      <w:r w:rsidR="001C23B2">
        <w:rPr>
          <w:rFonts w:ascii="Public Sans" w:hAnsi="Public Sans" w:cs="Arial"/>
          <w:szCs w:val="18"/>
        </w:rPr>
        <w:t>d</w:t>
      </w:r>
      <w:r w:rsidRPr="00410DAB">
        <w:rPr>
          <w:rFonts w:ascii="Public Sans" w:hAnsi="Public Sans" w:cs="Arial"/>
          <w:szCs w:val="18"/>
        </w:rPr>
        <w:t xml:space="preserve">).  </w:t>
      </w:r>
    </w:p>
  </w:footnote>
  <w:footnote w:id="1171">
    <w:p w14:paraId="2D6F4154"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Equality Act 2010</w:t>
      </w:r>
      <w:r w:rsidRPr="00410DAB">
        <w:rPr>
          <w:rFonts w:ascii="Public Sans" w:hAnsi="Public Sans" w:cs="Arial"/>
          <w:szCs w:val="18"/>
        </w:rPr>
        <w:t xml:space="preserve"> (UK) s 149(1). See also </w:t>
      </w:r>
      <w:r w:rsidRPr="00410DAB">
        <w:rPr>
          <w:rFonts w:ascii="Public Sans" w:hAnsi="Public Sans" w:cs="Arial"/>
          <w:i/>
          <w:iCs/>
          <w:szCs w:val="18"/>
        </w:rPr>
        <w:t>Northern Ireland Act 1998</w:t>
      </w:r>
      <w:r w:rsidRPr="00410DAB">
        <w:rPr>
          <w:rFonts w:ascii="Public Sans" w:hAnsi="Public Sans" w:cs="Arial"/>
          <w:szCs w:val="18"/>
        </w:rPr>
        <w:t xml:space="preserve"> (UK) s 75(2). </w:t>
      </w:r>
    </w:p>
  </w:footnote>
  <w:footnote w:id="1172">
    <w:p w14:paraId="202A0D95"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 xml:space="preserve">Equality Act 2010 (Specific Duties and Public Authorities) Regulations 2017 </w:t>
      </w:r>
      <w:r w:rsidRPr="00410DAB">
        <w:rPr>
          <w:rFonts w:ascii="Public Sans" w:hAnsi="Public Sans" w:cs="Arial"/>
          <w:szCs w:val="18"/>
        </w:rPr>
        <w:t>(UK) reg 4, reg 5.</w:t>
      </w:r>
    </w:p>
  </w:footnote>
  <w:footnote w:id="1173">
    <w:p w14:paraId="0857CD59"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Fonts w:ascii="Public Sans" w:hAnsi="Public Sans" w:cs="Arial"/>
          <w:i/>
          <w:iCs/>
          <w:szCs w:val="18"/>
        </w:rPr>
        <w:t>Gender Equality Act 2020</w:t>
      </w:r>
      <w:r w:rsidRPr="00410DAB">
        <w:rPr>
          <w:rFonts w:ascii="Public Sans" w:hAnsi="Public Sans" w:cs="Arial"/>
          <w:szCs w:val="18"/>
        </w:rPr>
        <w:t xml:space="preserve"> (Vic) s 7.</w:t>
      </w:r>
    </w:p>
  </w:footnote>
  <w:footnote w:id="1174">
    <w:p w14:paraId="2B6D75FF" w14:textId="77777777" w:rsidR="004A000C" w:rsidRPr="00410DAB" w:rsidRDefault="004A000C" w:rsidP="004A000C">
      <w:pPr>
        <w:pStyle w:val="FootnoteText"/>
        <w:rPr>
          <w:rFonts w:ascii="Public Sans" w:hAnsi="Public Sans" w:cs="Arial"/>
          <w:szCs w:val="18"/>
        </w:rPr>
      </w:pPr>
      <w:r w:rsidRPr="00410DAB">
        <w:rPr>
          <w:rStyle w:val="FootnoteReference"/>
          <w:rFonts w:cs="Arial"/>
          <w:szCs w:val="18"/>
          <w:vertAlign w:val="baseline"/>
        </w:rPr>
        <w:footnoteRef/>
      </w:r>
      <w:r w:rsidRPr="00410DAB">
        <w:rPr>
          <w:rFonts w:ascii="Public Sans" w:hAnsi="Public Sans" w:cs="Arial"/>
          <w:szCs w:val="18"/>
        </w:rPr>
        <w:t>.</w:t>
      </w:r>
      <w:r w:rsidRPr="00410DAB">
        <w:rPr>
          <w:rFonts w:ascii="Public Sans" w:hAnsi="Public Sans" w:cs="Arial"/>
          <w:szCs w:val="18"/>
        </w:rPr>
        <w:tab/>
      </w:r>
      <w:r w:rsidRPr="00410DAB">
        <w:rPr>
          <w:rStyle w:val="normaltextrun"/>
          <w:rFonts w:ascii="Public Sans" w:hAnsi="Public Sans" w:cs="Arial"/>
          <w:i/>
          <w:iCs/>
          <w:color w:val="000000"/>
          <w:szCs w:val="18"/>
          <w:shd w:val="clear" w:color="auto" w:fill="FFFFFF"/>
        </w:rPr>
        <w:t xml:space="preserve">Royal Commission into Violence, Abuse, Neglect and Exploitation of People with </w:t>
      </w:r>
      <w:r w:rsidRPr="00410DAB">
        <w:rPr>
          <w:rStyle w:val="findhit"/>
          <w:rFonts w:ascii="Public Sans" w:hAnsi="Public Sans" w:cs="Arial"/>
          <w:i/>
          <w:iCs/>
          <w:color w:val="000000"/>
          <w:szCs w:val="18"/>
          <w:shd w:val="clear" w:color="auto" w:fill="FFFFFF"/>
        </w:rPr>
        <w:t>Disability</w:t>
      </w:r>
      <w:r w:rsidRPr="00410DAB">
        <w:rPr>
          <w:rStyle w:val="normaltextrun"/>
          <w:rFonts w:ascii="Public Sans" w:hAnsi="Public Sans" w:cs="Arial"/>
          <w:color w:val="000000"/>
          <w:szCs w:val="18"/>
          <w:shd w:val="clear" w:color="auto" w:fill="FFFFFF"/>
        </w:rPr>
        <w:t>, Final Report (2023) vol 4</w:t>
      </w:r>
      <w:r w:rsidRPr="00410DAB">
        <w:rPr>
          <w:rFonts w:ascii="Public Sans" w:hAnsi="Public Sans" w:cs="Arial"/>
          <w:szCs w:val="18"/>
        </w:rPr>
        <w:t>, “</w:t>
      </w:r>
      <w:r w:rsidRPr="00410DAB">
        <w:rPr>
          <w:rStyle w:val="normaltextrun"/>
          <w:rFonts w:ascii="Public Sans" w:hAnsi="Public Sans" w:cs="Arial"/>
          <w:color w:val="000000"/>
          <w:szCs w:val="18"/>
          <w:shd w:val="clear" w:color="auto" w:fill="FFFFFF"/>
        </w:rPr>
        <w:t xml:space="preserve">Realising the Human Rights of People with </w:t>
      </w:r>
      <w:r w:rsidRPr="00410DAB">
        <w:rPr>
          <w:rStyle w:val="findhit"/>
          <w:rFonts w:ascii="Public Sans" w:hAnsi="Public Sans" w:cs="Arial"/>
          <w:color w:val="000000"/>
          <w:szCs w:val="18"/>
          <w:shd w:val="clear" w:color="auto" w:fill="FFFFFF"/>
        </w:rPr>
        <w:t>Disability”,</w:t>
      </w:r>
      <w:r w:rsidRPr="00410DAB">
        <w:rPr>
          <w:rFonts w:ascii="Public Sans" w:hAnsi="Public Sans" w:cs="Arial"/>
          <w:szCs w:val="18"/>
        </w:rPr>
        <w:t xml:space="preserve"> rec 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C87D" w14:textId="77777777" w:rsidR="006A1DB8" w:rsidRDefault="001E3558">
    <w:pPr>
      <w:pStyle w:val="Header"/>
    </w:pPr>
    <w:r>
      <w:rPr>
        <w:noProof/>
      </w:rPr>
      <mc:AlternateContent>
        <mc:Choice Requires="wps">
          <w:drawing>
            <wp:anchor distT="0" distB="0" distL="114299" distR="114299" simplePos="0" relativeHeight="251725824" behindDoc="0" locked="0" layoutInCell="1" allowOverlap="1" wp14:anchorId="519DC999" wp14:editId="2D4BC6E1">
              <wp:simplePos x="0" y="0"/>
              <wp:positionH relativeFrom="page">
                <wp:posOffset>7181850</wp:posOffset>
              </wp:positionH>
              <wp:positionV relativeFrom="page">
                <wp:posOffset>10972800</wp:posOffset>
              </wp:positionV>
              <wp:extent cx="0" cy="1375410"/>
              <wp:effectExtent l="0" t="0" r="19050" b="1524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3470BC" id="Straight Connector 28" o:spid="_x0000_s1026" style="position:absolute;flip:x;z-index:2517258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65.5pt,12in" to="565.5pt,9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" strokecolor="#16517d" strokeweight=".5pt">
              <v:stroke joinstyle="miter"/>
              <o:lock v:ext="edit" shapetype="f"/>
              <w10:wrap anchorx="page" anchory="page"/>
            </v:line>
          </w:pict>
        </mc:Fallback>
      </mc:AlternateContent>
    </w:r>
    <w:r>
      <w:rPr>
        <w:noProof/>
      </w:rPr>
      <mc:AlternateContent>
        <mc:Choice Requires="wps">
          <w:drawing>
            <wp:anchor distT="0" distB="0" distL="114299" distR="114299" simplePos="0" relativeHeight="251724800" behindDoc="0" locked="0" layoutInCell="1" allowOverlap="1" wp14:anchorId="4F19667A" wp14:editId="1C7D2DC4">
              <wp:simplePos x="0" y="0"/>
              <wp:positionH relativeFrom="page">
                <wp:posOffset>7029450</wp:posOffset>
              </wp:positionH>
              <wp:positionV relativeFrom="page">
                <wp:posOffset>10820400</wp:posOffset>
              </wp:positionV>
              <wp:extent cx="0" cy="1375410"/>
              <wp:effectExtent l="0" t="0" r="38100" b="3429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C41FBA" id="Straight Connector 33" o:spid="_x0000_s1026" style="position:absolute;flip:x;z-index:25172480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53.5pt,852pt" to="553.5pt,9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" strokecolor="#16517d" strokeweight=".5pt">
              <v:stroke joinstyle="miter"/>
              <o:lock v:ext="edit" shapetype="f"/>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CCA3" w14:textId="77777777" w:rsidR="006A1DB8" w:rsidRDefault="001E3558">
    <w:pPr>
      <w:pStyle w:val="Header"/>
    </w:pPr>
    <w:r>
      <w:rPr>
        <w:noProof/>
      </w:rPr>
      <mc:AlternateContent>
        <mc:Choice Requires="wps">
          <w:drawing>
            <wp:anchor distT="0" distB="0" distL="114299" distR="114299" simplePos="0" relativeHeight="251735040" behindDoc="0" locked="0" layoutInCell="1" allowOverlap="1" wp14:anchorId="10B44E85" wp14:editId="7035068D">
              <wp:simplePos x="0" y="0"/>
              <wp:positionH relativeFrom="page">
                <wp:posOffset>7181850</wp:posOffset>
              </wp:positionH>
              <wp:positionV relativeFrom="page">
                <wp:posOffset>10972800</wp:posOffset>
              </wp:positionV>
              <wp:extent cx="0" cy="1375410"/>
              <wp:effectExtent l="0" t="0" r="19050" b="15240"/>
              <wp:wrapNone/>
              <wp:docPr id="2103149291" name="Straight Connector 2103149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F55173" id="Straight Connector 2103149291" o:spid="_x0000_s1026" style="position:absolute;flip:x;z-index:2517350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65.5pt,12in" to="565.5pt,9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" strokecolor="#16517d" strokeweight=".5pt">
              <v:stroke joinstyle="miter"/>
              <o:lock v:ext="edit" shapetype="f"/>
              <w10:wrap anchorx="page" anchory="page"/>
            </v:line>
          </w:pict>
        </mc:Fallback>
      </mc:AlternateContent>
    </w:r>
    <w:r>
      <w:rPr>
        <w:noProof/>
      </w:rPr>
      <mc:AlternateContent>
        <mc:Choice Requires="wps">
          <w:drawing>
            <wp:anchor distT="0" distB="0" distL="114299" distR="114299" simplePos="0" relativeHeight="251734016" behindDoc="0" locked="0" layoutInCell="1" allowOverlap="1" wp14:anchorId="3D493EF1" wp14:editId="3E0076CC">
              <wp:simplePos x="0" y="0"/>
              <wp:positionH relativeFrom="page">
                <wp:posOffset>7029450</wp:posOffset>
              </wp:positionH>
              <wp:positionV relativeFrom="page">
                <wp:posOffset>10820400</wp:posOffset>
              </wp:positionV>
              <wp:extent cx="0" cy="1375410"/>
              <wp:effectExtent l="0" t="0" r="38100" b="34290"/>
              <wp:wrapNone/>
              <wp:docPr id="728322395" name="Straight Connector 7283223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8E5770" id="Straight Connector 728322395" o:spid="_x0000_s1026" style="position:absolute;flip:x;z-index:2517340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53.5pt,852pt" to="553.5pt,9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" strokecolor="#16517d" strokeweight=".5pt">
              <v:stroke joinstyle="miter"/>
              <o:lock v:ext="edit" shapetype="f"/>
              <w10:wrap anchorx="page" anchory="page"/>
            </v:line>
          </w:pict>
        </mc:Fallback>
      </mc:AlternateContent>
    </w:r>
  </w:p>
  <w:p w14:paraId="2A937DBB" w14:textId="77777777" w:rsidR="00A21C83" w:rsidRDefault="00A21C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E5FF" w14:textId="727A5FA1" w:rsidR="006A1DB8" w:rsidRDefault="00181C16">
    <w:pPr>
      <w:pStyle w:val="Header"/>
    </w:pPr>
    <w:r>
      <w:rPr>
        <w:noProof/>
      </w:rPr>
      <mc:AlternateContent>
        <mc:Choice Requires="wps">
          <w:drawing>
            <wp:anchor distT="0" distB="0" distL="114298" distR="114298" simplePos="0" relativeHeight="251738112" behindDoc="0" locked="0" layoutInCell="1" allowOverlap="1" wp14:anchorId="2DCCB07D" wp14:editId="1F49EF9F">
              <wp:simplePos x="0" y="0"/>
              <wp:positionH relativeFrom="page">
                <wp:posOffset>7181849</wp:posOffset>
              </wp:positionH>
              <wp:positionV relativeFrom="page">
                <wp:posOffset>10972800</wp:posOffset>
              </wp:positionV>
              <wp:extent cx="0" cy="1375410"/>
              <wp:effectExtent l="0" t="0" r="38100" b="34290"/>
              <wp:wrapNone/>
              <wp:docPr id="20837373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8F836D" id="Straight Connector 2" o:spid="_x0000_s1026" style="position:absolute;flip:x;z-index:25173811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margin;mso-height-relative:margin" from="565.5pt,12in" to="565.5pt,9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" strokecolor="#16517d" strokeweight=".5pt">
              <v:stroke joinstyle="miter"/>
              <o:lock v:ext="edit" shapetype="f"/>
              <w10:wrap anchorx="page" anchory="page"/>
            </v:line>
          </w:pict>
        </mc:Fallback>
      </mc:AlternateContent>
    </w:r>
    <w:r>
      <w:rPr>
        <w:noProof/>
      </w:rPr>
      <mc:AlternateContent>
        <mc:Choice Requires="wps">
          <w:drawing>
            <wp:anchor distT="0" distB="0" distL="114298" distR="114298" simplePos="0" relativeHeight="251737088" behindDoc="0" locked="0" layoutInCell="1" allowOverlap="1" wp14:anchorId="209B7391" wp14:editId="5A346684">
              <wp:simplePos x="0" y="0"/>
              <wp:positionH relativeFrom="page">
                <wp:posOffset>7029449</wp:posOffset>
              </wp:positionH>
              <wp:positionV relativeFrom="page">
                <wp:posOffset>10820400</wp:posOffset>
              </wp:positionV>
              <wp:extent cx="0" cy="1375410"/>
              <wp:effectExtent l="0" t="0" r="38100" b="34290"/>
              <wp:wrapNone/>
              <wp:docPr id="24472803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BD2068" id="Straight Connector 1" o:spid="_x0000_s1026" style="position:absolute;flip:x;z-index:25173708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margin;mso-height-relative:margin" from="553.5pt,852pt" to="553.5pt,9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" strokecolor="#16517d" strokeweight=".5pt">
              <v:stroke joinstyle="miter"/>
              <o:lock v:ext="edit" shapetype="f"/>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C8282" w14:textId="77777777" w:rsidR="006A1DB8" w:rsidRDefault="00281BB1">
    <w:pPr>
      <w:pStyle w:val="Header"/>
    </w:pPr>
    <w:r>
      <w:rPr>
        <w:noProof/>
      </w:rPr>
      <mc:AlternateContent>
        <mc:Choice Requires="wps">
          <w:drawing>
            <wp:anchor distT="0" distB="0" distL="114298" distR="114298" simplePos="0" relativeHeight="251741184" behindDoc="0" locked="0" layoutInCell="1" allowOverlap="1" wp14:anchorId="2853451A" wp14:editId="1D8EC4BF">
              <wp:simplePos x="0" y="0"/>
              <wp:positionH relativeFrom="page">
                <wp:posOffset>7181849</wp:posOffset>
              </wp:positionH>
              <wp:positionV relativeFrom="page">
                <wp:posOffset>10972800</wp:posOffset>
              </wp:positionV>
              <wp:extent cx="0" cy="1375410"/>
              <wp:effectExtent l="0" t="0" r="19050" b="15240"/>
              <wp:wrapNone/>
              <wp:docPr id="128545215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B78741" id="Straight Connector 4" o:spid="_x0000_s1026" style="position:absolute;flip:x;z-index:25174118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margin;mso-height-relative:margin" from="565.5pt,12in" to="565.5pt,9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" strokecolor="#16517d" strokeweight=".5pt">
              <v:stroke joinstyle="miter"/>
              <o:lock v:ext="edit" shapetype="f"/>
              <w10:wrap anchorx="page" anchory="page"/>
            </v:line>
          </w:pict>
        </mc:Fallback>
      </mc:AlternateContent>
    </w:r>
    <w:r>
      <w:rPr>
        <w:noProof/>
      </w:rPr>
      <mc:AlternateContent>
        <mc:Choice Requires="wps">
          <w:drawing>
            <wp:anchor distT="0" distB="0" distL="114298" distR="114298" simplePos="0" relativeHeight="251740160" behindDoc="0" locked="0" layoutInCell="1" allowOverlap="1" wp14:anchorId="091EA61C" wp14:editId="77D74806">
              <wp:simplePos x="0" y="0"/>
              <wp:positionH relativeFrom="page">
                <wp:posOffset>7029449</wp:posOffset>
              </wp:positionH>
              <wp:positionV relativeFrom="page">
                <wp:posOffset>10820400</wp:posOffset>
              </wp:positionV>
              <wp:extent cx="0" cy="1375410"/>
              <wp:effectExtent l="0" t="0" r="19050" b="15240"/>
              <wp:wrapNone/>
              <wp:docPr id="50799761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485260" id="Straight Connector 3" o:spid="_x0000_s1026" style="position:absolute;flip:x;z-index:25174016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margin;mso-height-relative:margin" from="553.5pt,852pt" to="553.5pt,9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" strokecolor="#16517d" strokeweight=".5pt">
              <v:stroke joinstyle="miter"/>
              <o:lock v:ext="edit" shapetype="f"/>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98962" w14:textId="77777777" w:rsidR="006A1DB8" w:rsidRDefault="001E3558">
    <w:pPr>
      <w:pStyle w:val="Header"/>
    </w:pPr>
    <w:r>
      <w:rPr>
        <w:noProof/>
      </w:rPr>
      <mc:AlternateContent>
        <mc:Choice Requires="wps">
          <w:drawing>
            <wp:anchor distT="0" distB="0" distL="114299" distR="114299" simplePos="0" relativeHeight="251744256" behindDoc="0" locked="0" layoutInCell="1" allowOverlap="1" wp14:anchorId="45408F32" wp14:editId="58C257E4">
              <wp:simplePos x="0" y="0"/>
              <wp:positionH relativeFrom="page">
                <wp:posOffset>7181850</wp:posOffset>
              </wp:positionH>
              <wp:positionV relativeFrom="page">
                <wp:posOffset>10972800</wp:posOffset>
              </wp:positionV>
              <wp:extent cx="0" cy="1375410"/>
              <wp:effectExtent l="0" t="0" r="19050" b="15240"/>
              <wp:wrapNone/>
              <wp:docPr id="879398298" name="Straight Connector 879398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70888C" id="Straight Connector 879398298" o:spid="_x0000_s1026" style="position:absolute;flip:x;z-index:2517442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65.5pt,12in" to="565.5pt,9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" strokecolor="#16517d" strokeweight=".5pt">
              <v:stroke joinstyle="miter"/>
              <o:lock v:ext="edit" shapetype="f"/>
              <w10:wrap anchorx="page" anchory="page"/>
            </v:line>
          </w:pict>
        </mc:Fallback>
      </mc:AlternateContent>
    </w:r>
    <w:r>
      <w:rPr>
        <w:noProof/>
      </w:rPr>
      <mc:AlternateContent>
        <mc:Choice Requires="wps">
          <w:drawing>
            <wp:anchor distT="0" distB="0" distL="114299" distR="114299" simplePos="0" relativeHeight="251743232" behindDoc="0" locked="0" layoutInCell="1" allowOverlap="1" wp14:anchorId="32B2A0CB" wp14:editId="09CF52DB">
              <wp:simplePos x="0" y="0"/>
              <wp:positionH relativeFrom="page">
                <wp:posOffset>7029450</wp:posOffset>
              </wp:positionH>
              <wp:positionV relativeFrom="page">
                <wp:posOffset>10820400</wp:posOffset>
              </wp:positionV>
              <wp:extent cx="0" cy="1375410"/>
              <wp:effectExtent l="0" t="0" r="38100" b="34290"/>
              <wp:wrapNone/>
              <wp:docPr id="407263956" name="Straight Connector 407263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CE2CF1" id="Straight Connector 407263956" o:spid="_x0000_s1026" style="position:absolute;flip:x;z-index:2517432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53.5pt,852pt" to="553.5pt,9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" strokecolor="#16517d" strokeweight=".5pt">
              <v:stroke joinstyle="miter"/>
              <o:lock v:ext="edit" shapetype="f"/>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4C9B3" w14:textId="77777777" w:rsidR="006A1DB8" w:rsidRDefault="001E3558">
    <w:pPr>
      <w:pStyle w:val="Header"/>
    </w:pPr>
    <w:r>
      <w:rPr>
        <w:noProof/>
      </w:rPr>
      <mc:AlternateContent>
        <mc:Choice Requires="wps">
          <w:drawing>
            <wp:anchor distT="0" distB="0" distL="114299" distR="114299" simplePos="0" relativeHeight="251747328" behindDoc="0" locked="0" layoutInCell="1" allowOverlap="1" wp14:anchorId="682292CC" wp14:editId="1166846A">
              <wp:simplePos x="0" y="0"/>
              <wp:positionH relativeFrom="page">
                <wp:posOffset>7181850</wp:posOffset>
              </wp:positionH>
              <wp:positionV relativeFrom="page">
                <wp:posOffset>10972800</wp:posOffset>
              </wp:positionV>
              <wp:extent cx="0" cy="1375410"/>
              <wp:effectExtent l="0" t="0" r="19050" b="15240"/>
              <wp:wrapNone/>
              <wp:docPr id="1605801299" name="Straight Connector 1605801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98151E" id="Straight Connector 1605801299" o:spid="_x0000_s1026" style="position:absolute;flip:x;z-index:2517473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65.5pt,12in" to="565.5pt,9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" strokecolor="#16517d" strokeweight=".5pt">
              <v:stroke joinstyle="miter"/>
              <o:lock v:ext="edit" shapetype="f"/>
              <w10:wrap anchorx="page" anchory="page"/>
            </v:line>
          </w:pict>
        </mc:Fallback>
      </mc:AlternateContent>
    </w:r>
    <w:r>
      <w:rPr>
        <w:noProof/>
      </w:rPr>
      <mc:AlternateContent>
        <mc:Choice Requires="wps">
          <w:drawing>
            <wp:anchor distT="0" distB="0" distL="114299" distR="114299" simplePos="0" relativeHeight="251746304" behindDoc="0" locked="0" layoutInCell="1" allowOverlap="1" wp14:anchorId="24F29261" wp14:editId="08E64BBD">
              <wp:simplePos x="0" y="0"/>
              <wp:positionH relativeFrom="page">
                <wp:posOffset>7029450</wp:posOffset>
              </wp:positionH>
              <wp:positionV relativeFrom="page">
                <wp:posOffset>10820400</wp:posOffset>
              </wp:positionV>
              <wp:extent cx="0" cy="1375410"/>
              <wp:effectExtent l="0" t="0" r="38100" b="34290"/>
              <wp:wrapNone/>
              <wp:docPr id="1934245534" name="Straight Connector 19342455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60FE98" id="Straight Connector 1934245534" o:spid="_x0000_s1026" style="position:absolute;flip:x;z-index:2517463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53.5pt,852pt" to="553.5pt,9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" strokecolor="#16517d" strokeweight=".5pt">
              <v:stroke joinstyle="miter"/>
              <o:lock v:ext="edit" shapetype="f"/>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42944" w14:textId="77777777" w:rsidR="006A1DB8" w:rsidRDefault="001E3558">
    <w:pPr>
      <w:pStyle w:val="Header"/>
    </w:pPr>
    <w:r>
      <w:rPr>
        <w:noProof/>
      </w:rPr>
      <mc:AlternateContent>
        <mc:Choice Requires="wps">
          <w:drawing>
            <wp:anchor distT="0" distB="0" distL="114299" distR="114299" simplePos="0" relativeHeight="251752448" behindDoc="0" locked="0" layoutInCell="1" allowOverlap="1" wp14:anchorId="25309585" wp14:editId="53E4C929">
              <wp:simplePos x="0" y="0"/>
              <wp:positionH relativeFrom="page">
                <wp:posOffset>7181850</wp:posOffset>
              </wp:positionH>
              <wp:positionV relativeFrom="page">
                <wp:posOffset>10972800</wp:posOffset>
              </wp:positionV>
              <wp:extent cx="0" cy="1375410"/>
              <wp:effectExtent l="0" t="0" r="19050" b="15240"/>
              <wp:wrapNone/>
              <wp:docPr id="232100461" name="Straight Connector 232100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C31483" id="Straight Connector 232100461" o:spid="_x0000_s1026" style="position:absolute;flip:x;z-index:2517524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65.5pt,12in" to="565.5pt,9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" strokecolor="#16517d" strokeweight=".5pt">
              <v:stroke joinstyle="miter"/>
              <o:lock v:ext="edit" shapetype="f"/>
              <w10:wrap anchorx="page" anchory="page"/>
            </v:line>
          </w:pict>
        </mc:Fallback>
      </mc:AlternateContent>
    </w:r>
    <w:r>
      <w:rPr>
        <w:noProof/>
      </w:rPr>
      <mc:AlternateContent>
        <mc:Choice Requires="wps">
          <w:drawing>
            <wp:anchor distT="0" distB="0" distL="114299" distR="114299" simplePos="0" relativeHeight="251751424" behindDoc="0" locked="0" layoutInCell="1" allowOverlap="1" wp14:anchorId="0B060C6E" wp14:editId="021785F9">
              <wp:simplePos x="0" y="0"/>
              <wp:positionH relativeFrom="page">
                <wp:posOffset>7029450</wp:posOffset>
              </wp:positionH>
              <wp:positionV relativeFrom="page">
                <wp:posOffset>10820400</wp:posOffset>
              </wp:positionV>
              <wp:extent cx="0" cy="1375410"/>
              <wp:effectExtent l="0" t="0" r="38100" b="34290"/>
              <wp:wrapNone/>
              <wp:docPr id="1354445273" name="Straight Connector 1354445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30A4CF" id="Straight Connector 1354445273" o:spid="_x0000_s1026" style="position:absolute;flip:x;z-index:2517514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53.5pt,852pt" to="553.5pt,9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" strokecolor="#16517d" strokeweight=".5pt">
              <v:stroke joinstyle="miter"/>
              <o:lock v:ext="edit" shapetype="f"/>
              <w10:wrap anchorx="page" anchory="page"/>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01DD" w14:textId="77777777" w:rsidR="006A1DB8" w:rsidRDefault="001E3558">
    <w:pPr>
      <w:pStyle w:val="Header"/>
    </w:pPr>
    <w:r>
      <w:rPr>
        <w:noProof/>
      </w:rPr>
      <mc:AlternateContent>
        <mc:Choice Requires="wps">
          <w:drawing>
            <wp:anchor distT="0" distB="0" distL="114299" distR="114299" simplePos="0" relativeHeight="251755520" behindDoc="0" locked="0" layoutInCell="1" allowOverlap="1" wp14:anchorId="7E14EC4B" wp14:editId="03BA03F1">
              <wp:simplePos x="0" y="0"/>
              <wp:positionH relativeFrom="page">
                <wp:posOffset>7181850</wp:posOffset>
              </wp:positionH>
              <wp:positionV relativeFrom="page">
                <wp:posOffset>10972800</wp:posOffset>
              </wp:positionV>
              <wp:extent cx="0" cy="1375410"/>
              <wp:effectExtent l="0" t="0" r="19050" b="15240"/>
              <wp:wrapNone/>
              <wp:docPr id="487638293" name="Straight Connector 487638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78358B" id="Straight Connector 487638293" o:spid="_x0000_s1026" style="position:absolute;flip:x;z-index:2517555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65.5pt,12in" to="565.5pt,9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" strokecolor="#16517d" strokeweight=".5pt">
              <v:stroke joinstyle="miter"/>
              <o:lock v:ext="edit" shapetype="f"/>
              <w10:wrap anchorx="page" anchory="page"/>
            </v:line>
          </w:pict>
        </mc:Fallback>
      </mc:AlternateContent>
    </w:r>
    <w:r>
      <w:rPr>
        <w:noProof/>
      </w:rPr>
      <mc:AlternateContent>
        <mc:Choice Requires="wps">
          <w:drawing>
            <wp:anchor distT="0" distB="0" distL="114299" distR="114299" simplePos="0" relativeHeight="251754496" behindDoc="0" locked="0" layoutInCell="1" allowOverlap="1" wp14:anchorId="1235F06C" wp14:editId="3A5517BB">
              <wp:simplePos x="0" y="0"/>
              <wp:positionH relativeFrom="page">
                <wp:posOffset>7029450</wp:posOffset>
              </wp:positionH>
              <wp:positionV relativeFrom="page">
                <wp:posOffset>10820400</wp:posOffset>
              </wp:positionV>
              <wp:extent cx="0" cy="1375410"/>
              <wp:effectExtent l="0" t="0" r="38100" b="34290"/>
              <wp:wrapNone/>
              <wp:docPr id="285460965" name="Straight Connector 2854609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716EC1" id="Straight Connector 285460965" o:spid="_x0000_s1026" style="position:absolute;flip:x;z-index:2517544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53.5pt,852pt" to="553.5pt,9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" strokecolor="#16517d" strokeweight=".5pt">
              <v:stroke joinstyle="miter"/>
              <o:lock v:ext="edit" shapetype="f"/>
              <w10:wrap anchorx="page" anchory="page"/>
            </v:lin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7784" w14:textId="77777777" w:rsidR="006A1DB8" w:rsidRDefault="001E3558">
    <w:pPr>
      <w:pStyle w:val="Header"/>
    </w:pPr>
    <w:r>
      <w:rPr>
        <w:noProof/>
      </w:rPr>
      <mc:AlternateContent>
        <mc:Choice Requires="wps">
          <w:drawing>
            <wp:anchor distT="0" distB="0" distL="114299" distR="114299" simplePos="0" relativeHeight="251760640" behindDoc="0" locked="0" layoutInCell="1" allowOverlap="1" wp14:anchorId="1CA708EA" wp14:editId="4F0DC49C">
              <wp:simplePos x="0" y="0"/>
              <wp:positionH relativeFrom="page">
                <wp:posOffset>7181850</wp:posOffset>
              </wp:positionH>
              <wp:positionV relativeFrom="page">
                <wp:posOffset>10972800</wp:posOffset>
              </wp:positionV>
              <wp:extent cx="0" cy="1375410"/>
              <wp:effectExtent l="0" t="0" r="19050" b="15240"/>
              <wp:wrapNone/>
              <wp:docPr id="1574755801" name="Straight Connector 15747558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4C2D8C" id="Straight Connector 1574755801" o:spid="_x0000_s1026" style="position:absolute;flip:x;z-index:2517606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65.5pt,12in" to="565.5pt,9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" strokecolor="#16517d" strokeweight=".5pt">
              <v:stroke joinstyle="miter"/>
              <o:lock v:ext="edit" shapetype="f"/>
              <w10:wrap anchorx="page" anchory="page"/>
            </v:line>
          </w:pict>
        </mc:Fallback>
      </mc:AlternateContent>
    </w:r>
    <w:r>
      <w:rPr>
        <w:noProof/>
      </w:rPr>
      <mc:AlternateContent>
        <mc:Choice Requires="wps">
          <w:drawing>
            <wp:anchor distT="0" distB="0" distL="114299" distR="114299" simplePos="0" relativeHeight="251759616" behindDoc="0" locked="0" layoutInCell="1" allowOverlap="1" wp14:anchorId="5E3C7913" wp14:editId="50FDB707">
              <wp:simplePos x="0" y="0"/>
              <wp:positionH relativeFrom="page">
                <wp:posOffset>7029450</wp:posOffset>
              </wp:positionH>
              <wp:positionV relativeFrom="page">
                <wp:posOffset>10820400</wp:posOffset>
              </wp:positionV>
              <wp:extent cx="0" cy="1375410"/>
              <wp:effectExtent l="0" t="0" r="38100" b="34290"/>
              <wp:wrapNone/>
              <wp:docPr id="859644058" name="Straight Connector 859644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75410"/>
                      </a:xfrm>
                      <a:prstGeom prst="line">
                        <a:avLst/>
                      </a:prstGeom>
                      <a:noFill/>
                      <a:ln w="6350" cap="flat" cmpd="sng" algn="ctr">
                        <a:solidFill>
                          <a:srgbClr val="16517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8CBD28" id="Straight Connector 859644058" o:spid="_x0000_s1026" style="position:absolute;flip:x;z-index:2517596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53.5pt,852pt" to="553.5pt,9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" strokecolor="#16517d" strokeweight=".5pt">
              <v:stroke joinstyle="miter"/>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C44D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97863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184D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E011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FC9C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34E5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A3C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287F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AE8A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705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C1507"/>
    <w:multiLevelType w:val="multilevel"/>
    <w:tmpl w:val="B9A68B00"/>
    <w:styleLink w:val="LCRNumberingList"/>
    <w:lvl w:ilvl="0">
      <w:start w:val="1"/>
      <w:numFmt w:val="decimal"/>
      <w:lvlText w:val="%1."/>
      <w:lvlJc w:val="left"/>
      <w:pPr>
        <w:tabs>
          <w:tab w:val="num" w:pos="720"/>
        </w:tabs>
        <w:ind w:left="720" w:hanging="720"/>
      </w:pPr>
      <w:rPr>
        <w:rFonts w:ascii="Arial Bold" w:hAnsi="Arial Bold" w:hint="default"/>
        <w:b w:val="0"/>
        <w:i w:val="0"/>
        <w:color w:val="365F91"/>
        <w:sz w:val="48"/>
      </w:rPr>
    </w:lvl>
    <w:lvl w:ilvl="1">
      <w:start w:val="1"/>
      <w:numFmt w:val="decimal"/>
      <w:pStyle w:val="Style1"/>
      <w:lvlText w:val="%1.%2"/>
      <w:lvlJc w:val="left"/>
      <w:pPr>
        <w:tabs>
          <w:tab w:val="num" w:pos="720"/>
        </w:tabs>
        <w:ind w:left="720" w:hanging="720"/>
      </w:pPr>
      <w:rPr>
        <w:rFonts w:ascii="Arial" w:hAnsi="Arial" w:hint="default"/>
        <w:b w:val="0"/>
        <w:i w:val="0"/>
        <w:sz w:val="18"/>
      </w:rPr>
    </w:lvl>
    <w:lvl w:ilvl="2">
      <w:start w:val="1"/>
      <w:numFmt w:val="upperLetter"/>
      <w:lvlRestart w:val="0"/>
      <w:pStyle w:val="AppendixHeading"/>
      <w:suff w:val="nothing"/>
      <w:lvlText w:val="%3"/>
      <w:lvlJc w:val="right"/>
      <w:pPr>
        <w:ind w:left="720" w:hanging="720"/>
      </w:pPr>
      <w:rPr>
        <w:rFonts w:hint="default"/>
        <w:b w:val="0"/>
        <w:i w:val="0"/>
        <w:vanish/>
        <w:color w:val="FFFFFF"/>
        <w:sz w:val="22"/>
      </w:rPr>
    </w:lvl>
    <w:lvl w:ilvl="3">
      <w:start w:val="1"/>
      <w:numFmt w:val="decimal"/>
      <w:pStyle w:val="NormalAutoAppendix"/>
      <w:lvlText w:val="%3.%4"/>
      <w:lvlJc w:val="left"/>
      <w:pPr>
        <w:tabs>
          <w:tab w:val="num" w:pos="720"/>
        </w:tabs>
        <w:ind w:left="720" w:hanging="720"/>
      </w:pPr>
      <w:rPr>
        <w:rFonts w:ascii="Arial" w:hAnsi="Arial" w:hint="default"/>
        <w:b w:val="0"/>
        <w:i w:val="0"/>
        <w:sz w:val="18"/>
      </w:rPr>
    </w:lvl>
    <w:lvl w:ilvl="4">
      <w:start w:val="1"/>
      <w:numFmt w:val="decimal"/>
      <w:lvlRestart w:val="3"/>
      <w:lvlText w:val="%5"/>
      <w:lvlJc w:val="left"/>
      <w:pPr>
        <w:tabs>
          <w:tab w:val="num" w:pos="720"/>
        </w:tabs>
        <w:ind w:left="720" w:hanging="720"/>
      </w:pPr>
      <w:rPr>
        <w:rFonts w:ascii="Arial" w:hAnsi="Arial" w:hint="default"/>
        <w:b w:val="0"/>
        <w:i w:val="0"/>
        <w:sz w:val="18"/>
      </w:rPr>
    </w:lvl>
    <w:lvl w:ilvl="5">
      <w:numFmt w:val="none"/>
      <w:lvlText w:val=""/>
      <w:lvlJc w:val="left"/>
      <w:pPr>
        <w:tabs>
          <w:tab w:val="num" w:pos="720"/>
        </w:tabs>
        <w:ind w:left="720" w:hanging="720"/>
      </w:pPr>
      <w:rPr>
        <w:rFonts w:hint="default"/>
      </w:rPr>
    </w:lvl>
    <w:lvl w:ilvl="6">
      <w:start w:val="32767"/>
      <w:numFmt w:val="none"/>
      <w:lvlText w:val=""/>
      <w:lvlJc w:val="left"/>
      <w:pPr>
        <w:tabs>
          <w:tab w:val="num" w:pos="720"/>
        </w:tabs>
        <w:ind w:left="720" w:hanging="720"/>
      </w:pPr>
      <w:rPr>
        <w:rFonts w:hint="default"/>
      </w:rPr>
    </w:lvl>
    <w:lvl w:ilvl="7">
      <w:start w:val="32767"/>
      <w:numFmt w:val="none"/>
      <w:lvlText w:val=""/>
      <w:lvlJc w:val="left"/>
      <w:pPr>
        <w:tabs>
          <w:tab w:val="num" w:pos="720"/>
        </w:tabs>
        <w:ind w:left="720" w:hanging="720"/>
      </w:pPr>
      <w:rPr>
        <w:rFonts w:hint="default"/>
      </w:rPr>
    </w:lvl>
    <w:lvl w:ilvl="8">
      <w:start w:val="32767"/>
      <w:numFmt w:val="none"/>
      <w:lvlText w:val=""/>
      <w:lvlJc w:val="left"/>
      <w:pPr>
        <w:tabs>
          <w:tab w:val="num" w:pos="720"/>
        </w:tabs>
        <w:ind w:left="720" w:hanging="720"/>
      </w:pPr>
      <w:rPr>
        <w:rFonts w:hint="default"/>
      </w:rPr>
    </w:lvl>
  </w:abstractNum>
  <w:abstractNum w:abstractNumId="11" w15:restartNumberingAfterBreak="0">
    <w:nsid w:val="035C1043"/>
    <w:multiLevelType w:val="hybridMultilevel"/>
    <w:tmpl w:val="046AB5F6"/>
    <w:lvl w:ilvl="0" w:tplc="4CACF5D6">
      <w:start w:val="1"/>
      <w:numFmt w:val="lowerLetter"/>
      <w:lvlText w:val="%1)"/>
      <w:lvlJc w:val="left"/>
      <w:pPr>
        <w:ind w:left="1020" w:hanging="360"/>
      </w:pPr>
    </w:lvl>
    <w:lvl w:ilvl="1" w:tplc="9AA05578">
      <w:start w:val="1"/>
      <w:numFmt w:val="lowerLetter"/>
      <w:lvlText w:val="%2)"/>
      <w:lvlJc w:val="left"/>
      <w:pPr>
        <w:ind w:left="1020" w:hanging="360"/>
      </w:pPr>
    </w:lvl>
    <w:lvl w:ilvl="2" w:tplc="71EE20C0">
      <w:start w:val="1"/>
      <w:numFmt w:val="lowerLetter"/>
      <w:lvlText w:val="%3)"/>
      <w:lvlJc w:val="left"/>
      <w:pPr>
        <w:ind w:left="1020" w:hanging="360"/>
      </w:pPr>
    </w:lvl>
    <w:lvl w:ilvl="3" w:tplc="AB741A3E">
      <w:start w:val="1"/>
      <w:numFmt w:val="lowerLetter"/>
      <w:lvlText w:val="%4)"/>
      <w:lvlJc w:val="left"/>
      <w:pPr>
        <w:ind w:left="1020" w:hanging="360"/>
      </w:pPr>
    </w:lvl>
    <w:lvl w:ilvl="4" w:tplc="3B5CA174">
      <w:start w:val="1"/>
      <w:numFmt w:val="lowerLetter"/>
      <w:lvlText w:val="%5)"/>
      <w:lvlJc w:val="left"/>
      <w:pPr>
        <w:ind w:left="1020" w:hanging="360"/>
      </w:pPr>
    </w:lvl>
    <w:lvl w:ilvl="5" w:tplc="8E1EB4E0">
      <w:start w:val="1"/>
      <w:numFmt w:val="lowerLetter"/>
      <w:lvlText w:val="%6)"/>
      <w:lvlJc w:val="left"/>
      <w:pPr>
        <w:ind w:left="1020" w:hanging="360"/>
      </w:pPr>
    </w:lvl>
    <w:lvl w:ilvl="6" w:tplc="9F0C2B12">
      <w:start w:val="1"/>
      <w:numFmt w:val="lowerLetter"/>
      <w:lvlText w:val="%7)"/>
      <w:lvlJc w:val="left"/>
      <w:pPr>
        <w:ind w:left="1020" w:hanging="360"/>
      </w:pPr>
    </w:lvl>
    <w:lvl w:ilvl="7" w:tplc="9EE8D6DA">
      <w:start w:val="1"/>
      <w:numFmt w:val="lowerLetter"/>
      <w:lvlText w:val="%8)"/>
      <w:lvlJc w:val="left"/>
      <w:pPr>
        <w:ind w:left="1020" w:hanging="360"/>
      </w:pPr>
    </w:lvl>
    <w:lvl w:ilvl="8" w:tplc="03B23BD8">
      <w:start w:val="1"/>
      <w:numFmt w:val="lowerLetter"/>
      <w:lvlText w:val="%9)"/>
      <w:lvlJc w:val="left"/>
      <w:pPr>
        <w:ind w:left="1020" w:hanging="360"/>
      </w:pPr>
    </w:lvl>
  </w:abstractNum>
  <w:abstractNum w:abstractNumId="12" w15:restartNumberingAfterBreak="0">
    <w:nsid w:val="07BE250B"/>
    <w:multiLevelType w:val="hybridMultilevel"/>
    <w:tmpl w:val="9948C482"/>
    <w:lvl w:ilvl="0" w:tplc="1DD039D2">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11133998"/>
    <w:multiLevelType w:val="multilevel"/>
    <w:tmpl w:val="175EC6EA"/>
    <w:lvl w:ilvl="0">
      <w:start w:val="1"/>
      <w:numFmt w:val="decimal"/>
      <w:pStyle w:val="NumberedParagraph"/>
      <w:lvlText w:val="%1"/>
      <w:lvlJc w:val="left"/>
      <w:pPr>
        <w:ind w:left="360" w:hanging="360"/>
      </w:pPr>
      <w:rPr>
        <w:rFonts w:hint="default"/>
        <w:b w:val="0"/>
      </w:rPr>
    </w:lvl>
    <w:lvl w:ilvl="1">
      <w:start w:val="1"/>
      <w:numFmt w:val="decimal"/>
      <w:pStyle w:val="Sub-numberedparagraph"/>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8F3DD4"/>
    <w:multiLevelType w:val="multilevel"/>
    <w:tmpl w:val="F96430A0"/>
    <w:lvl w:ilvl="0">
      <w:start w:val="1"/>
      <w:numFmt w:val="decimal"/>
      <w:pStyle w:val="ChapterHeading"/>
      <w:lvlText w:val="%1."/>
      <w:lvlJc w:val="left"/>
      <w:pPr>
        <w:ind w:left="644" w:hanging="360"/>
      </w:pPr>
      <w:rPr>
        <w:rFonts w:ascii="Public Sans" w:hAnsi="Public Sans" w:hint="default"/>
        <w:b/>
        <w:i w:val="0"/>
        <w:color w:val="002664"/>
        <w:sz w:val="48"/>
      </w:rPr>
    </w:lvl>
    <w:lvl w:ilvl="1">
      <w:start w:val="1"/>
      <w:numFmt w:val="decimal"/>
      <w:pStyle w:val="NormalAutoChapter"/>
      <w:lvlText w:val="%1.%2"/>
      <w:lvlJc w:val="left"/>
      <w:pPr>
        <w:tabs>
          <w:tab w:val="num" w:pos="720"/>
        </w:tabs>
        <w:ind w:left="720" w:hanging="720"/>
      </w:pPr>
      <w:rPr>
        <w:rFonts w:ascii="Public Sans" w:hAnsi="Public Sans" w:hint="default"/>
        <w:b w:val="0"/>
        <w:i w:val="0"/>
        <w:strike w:val="0"/>
        <w:color w:val="auto"/>
        <w:sz w:val="18"/>
      </w:rPr>
    </w:lvl>
    <w:lvl w:ilvl="2">
      <w:start w:val="1"/>
      <w:numFmt w:val="upperLetter"/>
      <w:lvlRestart w:val="0"/>
      <w:suff w:val="nothing"/>
      <w:lvlText w:val="%3"/>
      <w:lvlJc w:val="right"/>
      <w:pPr>
        <w:ind w:left="720" w:hanging="720"/>
      </w:pPr>
      <w:rPr>
        <w:rFonts w:hint="default"/>
        <w:b w:val="0"/>
        <w:i w:val="0"/>
        <w:vanish/>
        <w:color w:val="FFFFFF"/>
        <w:sz w:val="22"/>
      </w:rPr>
    </w:lvl>
    <w:lvl w:ilvl="3">
      <w:start w:val="1"/>
      <w:numFmt w:val="decimal"/>
      <w:lvlText w:val="%3.%4"/>
      <w:lvlJc w:val="left"/>
      <w:pPr>
        <w:tabs>
          <w:tab w:val="num" w:pos="720"/>
        </w:tabs>
        <w:ind w:left="720" w:hanging="720"/>
      </w:pPr>
      <w:rPr>
        <w:rFonts w:ascii="Arial" w:hAnsi="Arial" w:hint="default"/>
        <w:b w:val="0"/>
        <w:i w:val="0"/>
        <w:sz w:val="18"/>
      </w:rPr>
    </w:lvl>
    <w:lvl w:ilvl="4">
      <w:start w:val="1"/>
      <w:numFmt w:val="decimal"/>
      <w:lvlRestart w:val="3"/>
      <w:lvlText w:val="%5"/>
      <w:lvlJc w:val="left"/>
      <w:pPr>
        <w:tabs>
          <w:tab w:val="num" w:pos="720"/>
        </w:tabs>
        <w:ind w:left="720" w:hanging="720"/>
      </w:pPr>
      <w:rPr>
        <w:rFonts w:ascii="Arial" w:hAnsi="Arial" w:hint="default"/>
        <w:b w:val="0"/>
        <w:i w:val="0"/>
        <w:sz w:val="18"/>
      </w:rPr>
    </w:lvl>
    <w:lvl w:ilvl="5">
      <w:numFmt w:val="none"/>
      <w:lvlText w:val=""/>
      <w:lvlJc w:val="left"/>
      <w:pPr>
        <w:tabs>
          <w:tab w:val="num" w:pos="720"/>
        </w:tabs>
        <w:ind w:left="720" w:hanging="720"/>
      </w:pPr>
      <w:rPr>
        <w:rFonts w:hint="default"/>
      </w:rPr>
    </w:lvl>
    <w:lvl w:ilvl="6">
      <w:start w:val="32767"/>
      <w:numFmt w:val="none"/>
      <w:lvlText w:val=""/>
      <w:lvlJc w:val="left"/>
      <w:pPr>
        <w:tabs>
          <w:tab w:val="num" w:pos="720"/>
        </w:tabs>
        <w:ind w:left="720" w:hanging="720"/>
      </w:pPr>
      <w:rPr>
        <w:rFonts w:hint="default"/>
      </w:rPr>
    </w:lvl>
    <w:lvl w:ilvl="7">
      <w:start w:val="32767"/>
      <w:numFmt w:val="none"/>
      <w:lvlText w:val=""/>
      <w:lvlJc w:val="left"/>
      <w:pPr>
        <w:tabs>
          <w:tab w:val="num" w:pos="720"/>
        </w:tabs>
        <w:ind w:left="720" w:hanging="720"/>
      </w:pPr>
      <w:rPr>
        <w:rFonts w:hint="default"/>
      </w:rPr>
    </w:lvl>
    <w:lvl w:ilvl="8">
      <w:start w:val="32767"/>
      <w:numFmt w:val="none"/>
      <w:lvlText w:val=""/>
      <w:lvlJc w:val="left"/>
      <w:pPr>
        <w:tabs>
          <w:tab w:val="num" w:pos="720"/>
        </w:tabs>
        <w:ind w:left="720" w:hanging="720"/>
      </w:pPr>
      <w:rPr>
        <w:rFonts w:hint="default"/>
      </w:rPr>
    </w:lvl>
  </w:abstractNum>
  <w:abstractNum w:abstractNumId="15" w15:restartNumberingAfterBreak="0">
    <w:nsid w:val="15B047C7"/>
    <w:multiLevelType w:val="hybridMultilevel"/>
    <w:tmpl w:val="0D76B8E4"/>
    <w:lvl w:ilvl="0" w:tplc="860E4C54">
      <w:start w:val="1"/>
      <w:numFmt w:val="bullet"/>
      <w:pStyle w:val="Quotationbullet"/>
      <w:lvlText w:val=""/>
      <w:lvlJc w:val="left"/>
      <w:pPr>
        <w:tabs>
          <w:tab w:val="num" w:pos="1321"/>
        </w:tabs>
        <w:ind w:left="1321" w:hanging="244"/>
      </w:pPr>
      <w:rPr>
        <w:rFonts w:ascii="Symbol" w:hAnsi="Symbol" w:cs="Symbol" w:hint="default"/>
        <w:color w:val="16517D"/>
        <w:sz w:val="16"/>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7815646"/>
    <w:multiLevelType w:val="hybridMultilevel"/>
    <w:tmpl w:val="EEC0D974"/>
    <w:lvl w:ilvl="0" w:tplc="85C09C20">
      <w:start w:val="9"/>
      <w:numFmt w:val="bullet"/>
      <w:lvlText w:val="-"/>
      <w:lvlJc w:val="left"/>
      <w:pPr>
        <w:ind w:left="1080" w:hanging="360"/>
      </w:pPr>
      <w:rPr>
        <w:rFonts w:ascii="Public Sans Light" w:eastAsia="Times New Roman" w:hAnsi="Public Sans Light"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91143F6"/>
    <w:multiLevelType w:val="hybridMultilevel"/>
    <w:tmpl w:val="9B4A09E0"/>
    <w:lvl w:ilvl="0" w:tplc="2632C586">
      <w:start w:val="1"/>
      <w:numFmt w:val="bullet"/>
      <w:pStyle w:val="Tabletextbullet"/>
      <w:lvlText w:val=""/>
      <w:lvlJc w:val="left"/>
      <w:pPr>
        <w:tabs>
          <w:tab w:val="num" w:pos="360"/>
        </w:tabs>
        <w:ind w:left="160" w:hanging="1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56267"/>
    <w:multiLevelType w:val="hybridMultilevel"/>
    <w:tmpl w:val="4E404576"/>
    <w:lvl w:ilvl="0" w:tplc="A34C343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15:restartNumberingAfterBreak="0">
    <w:nsid w:val="1ED74848"/>
    <w:multiLevelType w:val="hybridMultilevel"/>
    <w:tmpl w:val="2B2245A2"/>
    <w:lvl w:ilvl="0" w:tplc="ADA089AC">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21241E83"/>
    <w:multiLevelType w:val="hybridMultilevel"/>
    <w:tmpl w:val="6D6E8C8C"/>
    <w:lvl w:ilvl="0" w:tplc="766C9F36">
      <w:start w:val="1"/>
      <w:numFmt w:val="lowerLetter"/>
      <w:lvlText w:val="%1)"/>
      <w:lvlJc w:val="left"/>
      <w:pPr>
        <w:ind w:left="1020" w:hanging="360"/>
      </w:pPr>
    </w:lvl>
    <w:lvl w:ilvl="1" w:tplc="6D90A244">
      <w:start w:val="1"/>
      <w:numFmt w:val="lowerLetter"/>
      <w:lvlText w:val="%2)"/>
      <w:lvlJc w:val="left"/>
      <w:pPr>
        <w:ind w:left="1020" w:hanging="360"/>
      </w:pPr>
    </w:lvl>
    <w:lvl w:ilvl="2" w:tplc="94DAE5B8">
      <w:start w:val="1"/>
      <w:numFmt w:val="lowerLetter"/>
      <w:lvlText w:val="%3)"/>
      <w:lvlJc w:val="left"/>
      <w:pPr>
        <w:ind w:left="1020" w:hanging="360"/>
      </w:pPr>
    </w:lvl>
    <w:lvl w:ilvl="3" w:tplc="5C3620E4">
      <w:start w:val="1"/>
      <w:numFmt w:val="lowerLetter"/>
      <w:lvlText w:val="%4)"/>
      <w:lvlJc w:val="left"/>
      <w:pPr>
        <w:ind w:left="1020" w:hanging="360"/>
      </w:pPr>
    </w:lvl>
    <w:lvl w:ilvl="4" w:tplc="4204FBC2">
      <w:start w:val="1"/>
      <w:numFmt w:val="lowerLetter"/>
      <w:lvlText w:val="%5)"/>
      <w:lvlJc w:val="left"/>
      <w:pPr>
        <w:ind w:left="1020" w:hanging="360"/>
      </w:pPr>
    </w:lvl>
    <w:lvl w:ilvl="5" w:tplc="04D8509C">
      <w:start w:val="1"/>
      <w:numFmt w:val="lowerLetter"/>
      <w:lvlText w:val="%6)"/>
      <w:lvlJc w:val="left"/>
      <w:pPr>
        <w:ind w:left="1020" w:hanging="360"/>
      </w:pPr>
    </w:lvl>
    <w:lvl w:ilvl="6" w:tplc="ED58D52E">
      <w:start w:val="1"/>
      <w:numFmt w:val="lowerLetter"/>
      <w:lvlText w:val="%7)"/>
      <w:lvlJc w:val="left"/>
      <w:pPr>
        <w:ind w:left="1020" w:hanging="360"/>
      </w:pPr>
    </w:lvl>
    <w:lvl w:ilvl="7" w:tplc="C69A7BF0">
      <w:start w:val="1"/>
      <w:numFmt w:val="lowerLetter"/>
      <w:lvlText w:val="%8)"/>
      <w:lvlJc w:val="left"/>
      <w:pPr>
        <w:ind w:left="1020" w:hanging="360"/>
      </w:pPr>
    </w:lvl>
    <w:lvl w:ilvl="8" w:tplc="332A25D6">
      <w:start w:val="1"/>
      <w:numFmt w:val="lowerLetter"/>
      <w:lvlText w:val="%9)"/>
      <w:lvlJc w:val="left"/>
      <w:pPr>
        <w:ind w:left="1020" w:hanging="360"/>
      </w:pPr>
    </w:lvl>
  </w:abstractNum>
  <w:abstractNum w:abstractNumId="21" w15:restartNumberingAfterBreak="0">
    <w:nsid w:val="258235A6"/>
    <w:multiLevelType w:val="hybridMultilevel"/>
    <w:tmpl w:val="38BE5EB8"/>
    <w:lvl w:ilvl="0" w:tplc="BFA6F298">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288F22A5"/>
    <w:multiLevelType w:val="hybridMultilevel"/>
    <w:tmpl w:val="172C3E96"/>
    <w:lvl w:ilvl="0" w:tplc="177E9A34">
      <w:start w:val="1"/>
      <w:numFmt w:val="bullet"/>
      <w:pStyle w:val="Copyright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F62E96"/>
    <w:multiLevelType w:val="hybridMultilevel"/>
    <w:tmpl w:val="EE12DD92"/>
    <w:lvl w:ilvl="0" w:tplc="E904D076">
      <w:start w:val="1"/>
      <w:numFmt w:val="decimal"/>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2E7C124A"/>
    <w:multiLevelType w:val="hybridMultilevel"/>
    <w:tmpl w:val="1DFEE7A4"/>
    <w:lvl w:ilvl="0" w:tplc="9BC8F332">
      <w:start w:val="1"/>
      <w:numFmt w:val="decimal"/>
      <w:pStyle w:val="Executivesummarypara"/>
      <w:lvlText w:val="0.%1"/>
      <w:lvlJc w:val="left"/>
      <w:pPr>
        <w:ind w:left="360" w:hanging="360"/>
      </w:pPr>
      <w:rPr>
        <w:rFonts w:ascii="Arial" w:hAnsi="Arial" w:hint="default"/>
        <w:i w:val="0"/>
        <w:iCs w:val="0"/>
        <w:sz w:val="1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BB3A1C"/>
    <w:multiLevelType w:val="hybridMultilevel"/>
    <w:tmpl w:val="EEB42CF6"/>
    <w:lvl w:ilvl="0" w:tplc="17D2472C">
      <w:start w:val="1"/>
      <w:numFmt w:val="lowerLetter"/>
      <w:lvlText w:val="(%1)"/>
      <w:lvlJc w:val="left"/>
      <w:pPr>
        <w:ind w:left="1840" w:hanging="360"/>
      </w:pPr>
      <w:rPr>
        <w:rFonts w:hint="default"/>
      </w:rPr>
    </w:lvl>
    <w:lvl w:ilvl="1" w:tplc="0C090019" w:tentative="1">
      <w:start w:val="1"/>
      <w:numFmt w:val="lowerLetter"/>
      <w:lvlText w:val="%2."/>
      <w:lvlJc w:val="left"/>
      <w:pPr>
        <w:ind w:left="2560" w:hanging="360"/>
      </w:pPr>
    </w:lvl>
    <w:lvl w:ilvl="2" w:tplc="0C09001B" w:tentative="1">
      <w:start w:val="1"/>
      <w:numFmt w:val="lowerRoman"/>
      <w:lvlText w:val="%3."/>
      <w:lvlJc w:val="right"/>
      <w:pPr>
        <w:ind w:left="3280" w:hanging="180"/>
      </w:pPr>
    </w:lvl>
    <w:lvl w:ilvl="3" w:tplc="0C09000F" w:tentative="1">
      <w:start w:val="1"/>
      <w:numFmt w:val="decimal"/>
      <w:lvlText w:val="%4."/>
      <w:lvlJc w:val="left"/>
      <w:pPr>
        <w:ind w:left="4000" w:hanging="360"/>
      </w:pPr>
    </w:lvl>
    <w:lvl w:ilvl="4" w:tplc="0C090019" w:tentative="1">
      <w:start w:val="1"/>
      <w:numFmt w:val="lowerLetter"/>
      <w:lvlText w:val="%5."/>
      <w:lvlJc w:val="left"/>
      <w:pPr>
        <w:ind w:left="4720" w:hanging="360"/>
      </w:pPr>
    </w:lvl>
    <w:lvl w:ilvl="5" w:tplc="0C09001B" w:tentative="1">
      <w:start w:val="1"/>
      <w:numFmt w:val="lowerRoman"/>
      <w:lvlText w:val="%6."/>
      <w:lvlJc w:val="right"/>
      <w:pPr>
        <w:ind w:left="5440" w:hanging="180"/>
      </w:pPr>
    </w:lvl>
    <w:lvl w:ilvl="6" w:tplc="0C09000F" w:tentative="1">
      <w:start w:val="1"/>
      <w:numFmt w:val="decimal"/>
      <w:lvlText w:val="%7."/>
      <w:lvlJc w:val="left"/>
      <w:pPr>
        <w:ind w:left="6160" w:hanging="360"/>
      </w:pPr>
    </w:lvl>
    <w:lvl w:ilvl="7" w:tplc="0C090019" w:tentative="1">
      <w:start w:val="1"/>
      <w:numFmt w:val="lowerLetter"/>
      <w:lvlText w:val="%8."/>
      <w:lvlJc w:val="left"/>
      <w:pPr>
        <w:ind w:left="6880" w:hanging="360"/>
      </w:pPr>
    </w:lvl>
    <w:lvl w:ilvl="8" w:tplc="0C09001B" w:tentative="1">
      <w:start w:val="1"/>
      <w:numFmt w:val="lowerRoman"/>
      <w:lvlText w:val="%9."/>
      <w:lvlJc w:val="right"/>
      <w:pPr>
        <w:ind w:left="7600" w:hanging="180"/>
      </w:pPr>
    </w:lvl>
  </w:abstractNum>
  <w:abstractNum w:abstractNumId="26" w15:restartNumberingAfterBreak="0">
    <w:nsid w:val="3B224B69"/>
    <w:multiLevelType w:val="hybridMultilevel"/>
    <w:tmpl w:val="1A1AE01E"/>
    <w:lvl w:ilvl="0" w:tplc="CC84616E">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15:restartNumberingAfterBreak="0">
    <w:nsid w:val="47164992"/>
    <w:multiLevelType w:val="multilevel"/>
    <w:tmpl w:val="20A603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pStyle w:val="Heading9"/>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0230D9D"/>
    <w:multiLevelType w:val="hybridMultilevel"/>
    <w:tmpl w:val="62804452"/>
    <w:lvl w:ilvl="0" w:tplc="05E22FC0">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 w15:restartNumberingAfterBreak="0">
    <w:nsid w:val="577A3A72"/>
    <w:multiLevelType w:val="multilevel"/>
    <w:tmpl w:val="B9A68B00"/>
    <w:numStyleLink w:val="LCRNumberingList"/>
  </w:abstractNum>
  <w:abstractNum w:abstractNumId="30" w15:restartNumberingAfterBreak="0">
    <w:nsid w:val="5E3C68CE"/>
    <w:multiLevelType w:val="hybridMultilevel"/>
    <w:tmpl w:val="DAA68F5E"/>
    <w:lvl w:ilvl="0" w:tplc="53C2CD68">
      <w:start w:val="1"/>
      <w:numFmt w:val="bullet"/>
      <w:pStyle w:val="Normalbullet"/>
      <w:lvlText w:val=""/>
      <w:lvlJc w:val="left"/>
      <w:pPr>
        <w:tabs>
          <w:tab w:val="num" w:pos="964"/>
        </w:tabs>
        <w:ind w:left="964" w:hanging="244"/>
      </w:pPr>
      <w:rPr>
        <w:rFonts w:ascii="Symbol" w:hAnsi="Symbol" w:cs="Symbol" w:hint="default"/>
        <w:color w:val="4F4F4F"/>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220EC"/>
    <w:multiLevelType w:val="hybridMultilevel"/>
    <w:tmpl w:val="53845E02"/>
    <w:lvl w:ilvl="0" w:tplc="FFFFFFF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B28C45AE">
      <w:start w:val="9"/>
      <w:numFmt w:val="bullet"/>
      <w:lvlText w:val="-"/>
      <w:lvlJc w:val="left"/>
      <w:pPr>
        <w:ind w:left="2340" w:hanging="360"/>
      </w:pPr>
      <w:rPr>
        <w:rFonts w:ascii="Calibri" w:eastAsiaTheme="minorHAnsi" w:hAnsi="Calibri" w:cs="Calibr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7F0019"/>
    <w:multiLevelType w:val="hybridMultilevel"/>
    <w:tmpl w:val="F2A0A5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5463FD"/>
    <w:multiLevelType w:val="hybridMultilevel"/>
    <w:tmpl w:val="5F9E9E22"/>
    <w:lvl w:ilvl="0" w:tplc="2DF6BF66">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4" w15:restartNumberingAfterBreak="0">
    <w:nsid w:val="777C2F9A"/>
    <w:multiLevelType w:val="hybridMultilevel"/>
    <w:tmpl w:val="BE566DA6"/>
    <w:lvl w:ilvl="0" w:tplc="0532B7A8">
      <w:start w:val="1"/>
      <w:numFmt w:val="lowerLetter"/>
      <w:lvlText w:val="%1)"/>
      <w:lvlJc w:val="left"/>
      <w:pPr>
        <w:ind w:left="1020" w:hanging="360"/>
      </w:pPr>
    </w:lvl>
    <w:lvl w:ilvl="1" w:tplc="3094F76A">
      <w:start w:val="1"/>
      <w:numFmt w:val="lowerLetter"/>
      <w:lvlText w:val="%2)"/>
      <w:lvlJc w:val="left"/>
      <w:pPr>
        <w:ind w:left="1020" w:hanging="360"/>
      </w:pPr>
    </w:lvl>
    <w:lvl w:ilvl="2" w:tplc="1E5E511E">
      <w:start w:val="1"/>
      <w:numFmt w:val="lowerLetter"/>
      <w:lvlText w:val="%3)"/>
      <w:lvlJc w:val="left"/>
      <w:pPr>
        <w:ind w:left="1020" w:hanging="360"/>
      </w:pPr>
    </w:lvl>
    <w:lvl w:ilvl="3" w:tplc="8174A00C">
      <w:start w:val="1"/>
      <w:numFmt w:val="lowerLetter"/>
      <w:lvlText w:val="%4)"/>
      <w:lvlJc w:val="left"/>
      <w:pPr>
        <w:ind w:left="1020" w:hanging="360"/>
      </w:pPr>
    </w:lvl>
    <w:lvl w:ilvl="4" w:tplc="9A72ABA0">
      <w:start w:val="1"/>
      <w:numFmt w:val="lowerLetter"/>
      <w:lvlText w:val="%5)"/>
      <w:lvlJc w:val="left"/>
      <w:pPr>
        <w:ind w:left="1020" w:hanging="360"/>
      </w:pPr>
    </w:lvl>
    <w:lvl w:ilvl="5" w:tplc="A958370E">
      <w:start w:val="1"/>
      <w:numFmt w:val="lowerLetter"/>
      <w:lvlText w:val="%6)"/>
      <w:lvlJc w:val="left"/>
      <w:pPr>
        <w:ind w:left="1020" w:hanging="360"/>
      </w:pPr>
    </w:lvl>
    <w:lvl w:ilvl="6" w:tplc="6CEAC62E">
      <w:start w:val="1"/>
      <w:numFmt w:val="lowerLetter"/>
      <w:lvlText w:val="%7)"/>
      <w:lvlJc w:val="left"/>
      <w:pPr>
        <w:ind w:left="1020" w:hanging="360"/>
      </w:pPr>
    </w:lvl>
    <w:lvl w:ilvl="7" w:tplc="76808D70">
      <w:start w:val="1"/>
      <w:numFmt w:val="lowerLetter"/>
      <w:lvlText w:val="%8)"/>
      <w:lvlJc w:val="left"/>
      <w:pPr>
        <w:ind w:left="1020" w:hanging="360"/>
      </w:pPr>
    </w:lvl>
    <w:lvl w:ilvl="8" w:tplc="8AA66D50">
      <w:start w:val="1"/>
      <w:numFmt w:val="lowerLetter"/>
      <w:lvlText w:val="%9)"/>
      <w:lvlJc w:val="left"/>
      <w:pPr>
        <w:ind w:left="1020" w:hanging="360"/>
      </w:pPr>
    </w:lvl>
  </w:abstractNum>
  <w:abstractNum w:abstractNumId="35" w15:restartNumberingAfterBreak="0">
    <w:nsid w:val="783260A4"/>
    <w:multiLevelType w:val="hybridMultilevel"/>
    <w:tmpl w:val="04349366"/>
    <w:lvl w:ilvl="0" w:tplc="F394FD96">
      <w:start w:val="1"/>
      <w:numFmt w:val="lowerLetter"/>
      <w:pStyle w:val="Normalbulletahanging"/>
      <w:lvlText w:val="%1."/>
      <w:lvlJc w:val="left"/>
      <w:pPr>
        <w:tabs>
          <w:tab w:val="num" w:pos="964"/>
        </w:tabs>
        <w:ind w:left="964" w:hanging="244"/>
      </w:pPr>
      <w:rPr>
        <w:rFonts w:ascii="Arial" w:hAnsi="Arial" w:cs="Arial" w:hint="default"/>
        <w:b w:val="0"/>
        <w:i w:val="0"/>
        <w:color w:val="000000"/>
        <w:sz w:val="22"/>
        <w:u w:val="no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AAA2127"/>
    <w:multiLevelType w:val="hybridMultilevel"/>
    <w:tmpl w:val="CD50083C"/>
    <w:lvl w:ilvl="0" w:tplc="C0F61FA8">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7CF04F2A"/>
    <w:multiLevelType w:val="hybridMultilevel"/>
    <w:tmpl w:val="C97E5A86"/>
    <w:lvl w:ilvl="0" w:tplc="5CD6DBE6">
      <w:start w:val="1"/>
      <w:numFmt w:val="bullet"/>
      <w:pStyle w:val="InBrief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9221642">
    <w:abstractNumId w:val="27"/>
  </w:num>
  <w:num w:numId="2" w16cid:durableId="1962951187">
    <w:abstractNumId w:val="9"/>
  </w:num>
  <w:num w:numId="3" w16cid:durableId="1597055403">
    <w:abstractNumId w:val="8"/>
  </w:num>
  <w:num w:numId="4" w16cid:durableId="1293826335">
    <w:abstractNumId w:val="7"/>
  </w:num>
  <w:num w:numId="5" w16cid:durableId="1574125788">
    <w:abstractNumId w:val="6"/>
  </w:num>
  <w:num w:numId="6" w16cid:durableId="777070302">
    <w:abstractNumId w:val="5"/>
  </w:num>
  <w:num w:numId="7" w16cid:durableId="1609583722">
    <w:abstractNumId w:val="4"/>
  </w:num>
  <w:num w:numId="8" w16cid:durableId="299190319">
    <w:abstractNumId w:val="3"/>
  </w:num>
  <w:num w:numId="9" w16cid:durableId="1037848726">
    <w:abstractNumId w:val="2"/>
  </w:num>
  <w:num w:numId="10" w16cid:durableId="139002199">
    <w:abstractNumId w:val="1"/>
  </w:num>
  <w:num w:numId="11" w16cid:durableId="562907846">
    <w:abstractNumId w:val="0"/>
  </w:num>
  <w:num w:numId="12" w16cid:durableId="215045228">
    <w:abstractNumId w:val="30"/>
  </w:num>
  <w:num w:numId="13" w16cid:durableId="1339962214">
    <w:abstractNumId w:val="35"/>
  </w:num>
  <w:num w:numId="14" w16cid:durableId="1337345098">
    <w:abstractNumId w:val="15"/>
  </w:num>
  <w:num w:numId="15" w16cid:durableId="1061909445">
    <w:abstractNumId w:val="22"/>
  </w:num>
  <w:num w:numId="16" w16cid:durableId="1607151787">
    <w:abstractNumId w:val="17"/>
  </w:num>
  <w:num w:numId="17" w16cid:durableId="495347542">
    <w:abstractNumId w:val="24"/>
  </w:num>
  <w:num w:numId="18" w16cid:durableId="420417559">
    <w:abstractNumId w:val="37"/>
  </w:num>
  <w:num w:numId="19" w16cid:durableId="1121798508">
    <w:abstractNumId w:val="10"/>
  </w:num>
  <w:num w:numId="20" w16cid:durableId="1415397076">
    <w:abstractNumId w:val="29"/>
  </w:num>
  <w:num w:numId="21" w16cid:durableId="2083747310">
    <w:abstractNumId w:val="14"/>
  </w:num>
  <w:num w:numId="22" w16cid:durableId="2134790448">
    <w:abstractNumId w:val="13"/>
  </w:num>
  <w:num w:numId="23" w16cid:durableId="2094860925">
    <w:abstractNumId w:val="28"/>
  </w:num>
  <w:num w:numId="24" w16cid:durableId="843478933">
    <w:abstractNumId w:val="19"/>
  </w:num>
  <w:num w:numId="25" w16cid:durableId="318969803">
    <w:abstractNumId w:val="36"/>
  </w:num>
  <w:num w:numId="26" w16cid:durableId="1067535414">
    <w:abstractNumId w:val="23"/>
  </w:num>
  <w:num w:numId="27" w16cid:durableId="397367008">
    <w:abstractNumId w:val="25"/>
  </w:num>
  <w:num w:numId="28" w16cid:durableId="2063361289">
    <w:abstractNumId w:val="26"/>
  </w:num>
  <w:num w:numId="29" w16cid:durableId="1442450998">
    <w:abstractNumId w:val="21"/>
  </w:num>
  <w:num w:numId="30" w16cid:durableId="249237616">
    <w:abstractNumId w:val="16"/>
  </w:num>
  <w:num w:numId="31" w16cid:durableId="1889564776">
    <w:abstractNumId w:val="12"/>
  </w:num>
  <w:num w:numId="32" w16cid:durableId="1422873959">
    <w:abstractNumId w:val="33"/>
  </w:num>
  <w:num w:numId="33" w16cid:durableId="383988934">
    <w:abstractNumId w:val="18"/>
  </w:num>
  <w:num w:numId="34" w16cid:durableId="1654260841">
    <w:abstractNumId w:val="32"/>
  </w:num>
  <w:num w:numId="35" w16cid:durableId="460538731">
    <w:abstractNumId w:val="34"/>
  </w:num>
  <w:num w:numId="36" w16cid:durableId="342822167">
    <w:abstractNumId w:val="11"/>
  </w:num>
  <w:num w:numId="37" w16cid:durableId="1957103511">
    <w:abstractNumId w:val="20"/>
  </w:num>
  <w:num w:numId="38" w16cid:durableId="312565016">
    <w:abstractNumId w:val="14"/>
  </w:num>
  <w:num w:numId="39" w16cid:durableId="1085372324">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activeWritingStyle w:appName="MSWord" w:lang="en-AU" w:vendorID="64" w:dllVersion="5" w:nlCheck="1" w:checkStyle="1"/>
  <w:activeWritingStyle w:appName="MSWord" w:lang="en-US" w:vendorID="64" w:dllVersion="5" w:nlCheck="1" w:checkStyle="1"/>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nb-NO" w:vendorID="64" w:dllVersion="0" w:nlCheck="1" w:checkStyle="0"/>
  <w:activeWritingStyle w:appName="MSWord" w:lang="en-US" w:vendorID="64" w:dllVersion="0" w:nlCheck="1" w:checkStyle="0"/>
  <w:proofState w:spelling="clean" w:grammar="clean"/>
  <w:defaultTabStop w:val="357"/>
  <w:evenAndOddHeaders/>
  <w:drawingGridHorizontalSpacing w:val="110"/>
  <w:displayHorizontalDrawingGridEvery w:val="2"/>
  <w:displayVerticalDrawingGridEvery w:val="2"/>
  <w:noPunctuationKerning/>
  <w:characterSpacingControl w:val="doNotCompress"/>
  <w:hdrShapeDefaults>
    <o:shapedefaults v:ext="edit" spidmax="2052"/>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F5"/>
    <w:rsid w:val="000003B2"/>
    <w:rsid w:val="00000665"/>
    <w:rsid w:val="000013CB"/>
    <w:rsid w:val="00001A12"/>
    <w:rsid w:val="00003402"/>
    <w:rsid w:val="00003FD9"/>
    <w:rsid w:val="00004159"/>
    <w:rsid w:val="000051F6"/>
    <w:rsid w:val="000067EB"/>
    <w:rsid w:val="00006ADF"/>
    <w:rsid w:val="00007417"/>
    <w:rsid w:val="00011E54"/>
    <w:rsid w:val="000124AE"/>
    <w:rsid w:val="00012918"/>
    <w:rsid w:val="0001299D"/>
    <w:rsid w:val="00013020"/>
    <w:rsid w:val="0001572B"/>
    <w:rsid w:val="000157A7"/>
    <w:rsid w:val="00017597"/>
    <w:rsid w:val="00017ED4"/>
    <w:rsid w:val="00020076"/>
    <w:rsid w:val="0002182E"/>
    <w:rsid w:val="00022CC1"/>
    <w:rsid w:val="00022E84"/>
    <w:rsid w:val="0002652D"/>
    <w:rsid w:val="00026EC1"/>
    <w:rsid w:val="00026F1C"/>
    <w:rsid w:val="0002762D"/>
    <w:rsid w:val="000305E6"/>
    <w:rsid w:val="0003074A"/>
    <w:rsid w:val="00031F30"/>
    <w:rsid w:val="00032A42"/>
    <w:rsid w:val="00033435"/>
    <w:rsid w:val="000353BD"/>
    <w:rsid w:val="000358D6"/>
    <w:rsid w:val="000358FC"/>
    <w:rsid w:val="00036EAB"/>
    <w:rsid w:val="000407BE"/>
    <w:rsid w:val="00040F62"/>
    <w:rsid w:val="0004337D"/>
    <w:rsid w:val="000433B6"/>
    <w:rsid w:val="00043526"/>
    <w:rsid w:val="000441B1"/>
    <w:rsid w:val="00044F89"/>
    <w:rsid w:val="00045EC3"/>
    <w:rsid w:val="00051DE7"/>
    <w:rsid w:val="000520D3"/>
    <w:rsid w:val="00053754"/>
    <w:rsid w:val="00054589"/>
    <w:rsid w:val="00054875"/>
    <w:rsid w:val="0005624E"/>
    <w:rsid w:val="0005772C"/>
    <w:rsid w:val="0006000C"/>
    <w:rsid w:val="0006295F"/>
    <w:rsid w:val="0006305E"/>
    <w:rsid w:val="000634A1"/>
    <w:rsid w:val="00063AE3"/>
    <w:rsid w:val="00065613"/>
    <w:rsid w:val="00066E5D"/>
    <w:rsid w:val="00067D73"/>
    <w:rsid w:val="0007184B"/>
    <w:rsid w:val="00073844"/>
    <w:rsid w:val="00074704"/>
    <w:rsid w:val="000751C2"/>
    <w:rsid w:val="00076172"/>
    <w:rsid w:val="000777A0"/>
    <w:rsid w:val="00080181"/>
    <w:rsid w:val="000809CA"/>
    <w:rsid w:val="00080AA5"/>
    <w:rsid w:val="000815E0"/>
    <w:rsid w:val="000835D9"/>
    <w:rsid w:val="00084287"/>
    <w:rsid w:val="000844D3"/>
    <w:rsid w:val="00086D39"/>
    <w:rsid w:val="000878A6"/>
    <w:rsid w:val="00087F70"/>
    <w:rsid w:val="000906F8"/>
    <w:rsid w:val="00091D91"/>
    <w:rsid w:val="0009291F"/>
    <w:rsid w:val="0009445D"/>
    <w:rsid w:val="00094CAB"/>
    <w:rsid w:val="000A0790"/>
    <w:rsid w:val="000A0ED7"/>
    <w:rsid w:val="000A1108"/>
    <w:rsid w:val="000A16E4"/>
    <w:rsid w:val="000A1D90"/>
    <w:rsid w:val="000A21A1"/>
    <w:rsid w:val="000A2683"/>
    <w:rsid w:val="000A43EB"/>
    <w:rsid w:val="000A533F"/>
    <w:rsid w:val="000A5906"/>
    <w:rsid w:val="000A6762"/>
    <w:rsid w:val="000B2038"/>
    <w:rsid w:val="000B2205"/>
    <w:rsid w:val="000B3E50"/>
    <w:rsid w:val="000B646F"/>
    <w:rsid w:val="000B7C5A"/>
    <w:rsid w:val="000C1C23"/>
    <w:rsid w:val="000C1E19"/>
    <w:rsid w:val="000C20E5"/>
    <w:rsid w:val="000C288F"/>
    <w:rsid w:val="000C2D13"/>
    <w:rsid w:val="000C352B"/>
    <w:rsid w:val="000C4336"/>
    <w:rsid w:val="000C46E8"/>
    <w:rsid w:val="000C507B"/>
    <w:rsid w:val="000C71F8"/>
    <w:rsid w:val="000D08A8"/>
    <w:rsid w:val="000D0F6E"/>
    <w:rsid w:val="000D240F"/>
    <w:rsid w:val="000D2AE2"/>
    <w:rsid w:val="000D575E"/>
    <w:rsid w:val="000D5B5B"/>
    <w:rsid w:val="000D62A0"/>
    <w:rsid w:val="000D67FB"/>
    <w:rsid w:val="000E0538"/>
    <w:rsid w:val="000E13BB"/>
    <w:rsid w:val="000E20C4"/>
    <w:rsid w:val="000E2635"/>
    <w:rsid w:val="000E2A12"/>
    <w:rsid w:val="000E2E5B"/>
    <w:rsid w:val="000E2FC7"/>
    <w:rsid w:val="000E31B2"/>
    <w:rsid w:val="000E7161"/>
    <w:rsid w:val="000E74A2"/>
    <w:rsid w:val="000F2317"/>
    <w:rsid w:val="000F269F"/>
    <w:rsid w:val="000F27E7"/>
    <w:rsid w:val="000F3386"/>
    <w:rsid w:val="000F37E5"/>
    <w:rsid w:val="000F38CB"/>
    <w:rsid w:val="000F4189"/>
    <w:rsid w:val="000F52ED"/>
    <w:rsid w:val="000F59E7"/>
    <w:rsid w:val="000F625D"/>
    <w:rsid w:val="000F6929"/>
    <w:rsid w:val="000F6E94"/>
    <w:rsid w:val="000F781C"/>
    <w:rsid w:val="000F7BDB"/>
    <w:rsid w:val="00100A0B"/>
    <w:rsid w:val="00100B83"/>
    <w:rsid w:val="001017A3"/>
    <w:rsid w:val="00101C1C"/>
    <w:rsid w:val="00102934"/>
    <w:rsid w:val="0010384E"/>
    <w:rsid w:val="00104F20"/>
    <w:rsid w:val="00106772"/>
    <w:rsid w:val="0010698B"/>
    <w:rsid w:val="0010740D"/>
    <w:rsid w:val="001105CB"/>
    <w:rsid w:val="00110703"/>
    <w:rsid w:val="00110CCD"/>
    <w:rsid w:val="0011111F"/>
    <w:rsid w:val="001112CA"/>
    <w:rsid w:val="00111D66"/>
    <w:rsid w:val="00112237"/>
    <w:rsid w:val="00112255"/>
    <w:rsid w:val="00113E1A"/>
    <w:rsid w:val="0011476A"/>
    <w:rsid w:val="0011520A"/>
    <w:rsid w:val="00117990"/>
    <w:rsid w:val="001205E8"/>
    <w:rsid w:val="00120760"/>
    <w:rsid w:val="001221AF"/>
    <w:rsid w:val="00122568"/>
    <w:rsid w:val="00122887"/>
    <w:rsid w:val="00122AEE"/>
    <w:rsid w:val="0012541C"/>
    <w:rsid w:val="00125B77"/>
    <w:rsid w:val="00125FA2"/>
    <w:rsid w:val="00126D4F"/>
    <w:rsid w:val="0012712F"/>
    <w:rsid w:val="00127807"/>
    <w:rsid w:val="00130295"/>
    <w:rsid w:val="00130327"/>
    <w:rsid w:val="00130FFC"/>
    <w:rsid w:val="0013160F"/>
    <w:rsid w:val="00131C75"/>
    <w:rsid w:val="00132881"/>
    <w:rsid w:val="0013446E"/>
    <w:rsid w:val="00134873"/>
    <w:rsid w:val="00135409"/>
    <w:rsid w:val="00136BDF"/>
    <w:rsid w:val="00136E2B"/>
    <w:rsid w:val="00140DDE"/>
    <w:rsid w:val="00142829"/>
    <w:rsid w:val="00143248"/>
    <w:rsid w:val="00146F7E"/>
    <w:rsid w:val="00153ABB"/>
    <w:rsid w:val="00153C0F"/>
    <w:rsid w:val="00155D63"/>
    <w:rsid w:val="0015680B"/>
    <w:rsid w:val="00157ACC"/>
    <w:rsid w:val="00157BE9"/>
    <w:rsid w:val="0016118B"/>
    <w:rsid w:val="00161E00"/>
    <w:rsid w:val="00162442"/>
    <w:rsid w:val="00162459"/>
    <w:rsid w:val="001631AD"/>
    <w:rsid w:val="001631F4"/>
    <w:rsid w:val="001642B1"/>
    <w:rsid w:val="00165DA0"/>
    <w:rsid w:val="00166BE4"/>
    <w:rsid w:val="001675ED"/>
    <w:rsid w:val="00170021"/>
    <w:rsid w:val="00170390"/>
    <w:rsid w:val="001703DB"/>
    <w:rsid w:val="001723CF"/>
    <w:rsid w:val="00172498"/>
    <w:rsid w:val="00173A87"/>
    <w:rsid w:val="00174547"/>
    <w:rsid w:val="001756E5"/>
    <w:rsid w:val="00176649"/>
    <w:rsid w:val="00176F55"/>
    <w:rsid w:val="0017722B"/>
    <w:rsid w:val="0017727B"/>
    <w:rsid w:val="00181364"/>
    <w:rsid w:val="00181639"/>
    <w:rsid w:val="00181C16"/>
    <w:rsid w:val="001821AE"/>
    <w:rsid w:val="00182BB6"/>
    <w:rsid w:val="001846C6"/>
    <w:rsid w:val="00185AA0"/>
    <w:rsid w:val="001869E7"/>
    <w:rsid w:val="00186CD3"/>
    <w:rsid w:val="00187670"/>
    <w:rsid w:val="0019041A"/>
    <w:rsid w:val="00190608"/>
    <w:rsid w:val="00192185"/>
    <w:rsid w:val="001929A8"/>
    <w:rsid w:val="001934A2"/>
    <w:rsid w:val="001950F7"/>
    <w:rsid w:val="00197BE7"/>
    <w:rsid w:val="001A1D89"/>
    <w:rsid w:val="001A2DD6"/>
    <w:rsid w:val="001A2E19"/>
    <w:rsid w:val="001A3AF6"/>
    <w:rsid w:val="001A3BE5"/>
    <w:rsid w:val="001A4A66"/>
    <w:rsid w:val="001A5400"/>
    <w:rsid w:val="001A57F4"/>
    <w:rsid w:val="001A63D0"/>
    <w:rsid w:val="001A7574"/>
    <w:rsid w:val="001B05DA"/>
    <w:rsid w:val="001B16B0"/>
    <w:rsid w:val="001B1F3A"/>
    <w:rsid w:val="001B4F8A"/>
    <w:rsid w:val="001B57FE"/>
    <w:rsid w:val="001B66FD"/>
    <w:rsid w:val="001B7676"/>
    <w:rsid w:val="001C07CD"/>
    <w:rsid w:val="001C1293"/>
    <w:rsid w:val="001C23B2"/>
    <w:rsid w:val="001C2E50"/>
    <w:rsid w:val="001C3314"/>
    <w:rsid w:val="001C4747"/>
    <w:rsid w:val="001C4760"/>
    <w:rsid w:val="001C57E8"/>
    <w:rsid w:val="001C5DD8"/>
    <w:rsid w:val="001C69B5"/>
    <w:rsid w:val="001C6D5F"/>
    <w:rsid w:val="001C6DA4"/>
    <w:rsid w:val="001D03E2"/>
    <w:rsid w:val="001D1238"/>
    <w:rsid w:val="001D1988"/>
    <w:rsid w:val="001D2E4A"/>
    <w:rsid w:val="001D314C"/>
    <w:rsid w:val="001D3969"/>
    <w:rsid w:val="001D3FD7"/>
    <w:rsid w:val="001D4565"/>
    <w:rsid w:val="001D505D"/>
    <w:rsid w:val="001D52C2"/>
    <w:rsid w:val="001D5B66"/>
    <w:rsid w:val="001D6E1A"/>
    <w:rsid w:val="001D7118"/>
    <w:rsid w:val="001D7BD7"/>
    <w:rsid w:val="001E24E4"/>
    <w:rsid w:val="001E2D43"/>
    <w:rsid w:val="001E3558"/>
    <w:rsid w:val="001E3B3B"/>
    <w:rsid w:val="001E4850"/>
    <w:rsid w:val="001E54D8"/>
    <w:rsid w:val="001E62AF"/>
    <w:rsid w:val="001E78D7"/>
    <w:rsid w:val="001F2649"/>
    <w:rsid w:val="001F30E2"/>
    <w:rsid w:val="001F398F"/>
    <w:rsid w:val="001F46C8"/>
    <w:rsid w:val="001F5BDD"/>
    <w:rsid w:val="001F61DF"/>
    <w:rsid w:val="001F6819"/>
    <w:rsid w:val="001F6F07"/>
    <w:rsid w:val="001F7A92"/>
    <w:rsid w:val="00200325"/>
    <w:rsid w:val="002003AC"/>
    <w:rsid w:val="0020381F"/>
    <w:rsid w:val="00203BFF"/>
    <w:rsid w:val="00203ED4"/>
    <w:rsid w:val="00204B33"/>
    <w:rsid w:val="00204FF9"/>
    <w:rsid w:val="00205B1A"/>
    <w:rsid w:val="002072D1"/>
    <w:rsid w:val="002079F4"/>
    <w:rsid w:val="00211FB0"/>
    <w:rsid w:val="00212EAB"/>
    <w:rsid w:val="00213122"/>
    <w:rsid w:val="002131A0"/>
    <w:rsid w:val="002136D4"/>
    <w:rsid w:val="00213D95"/>
    <w:rsid w:val="0021598B"/>
    <w:rsid w:val="0021651E"/>
    <w:rsid w:val="00216A74"/>
    <w:rsid w:val="0022028E"/>
    <w:rsid w:val="002212C8"/>
    <w:rsid w:val="002216C1"/>
    <w:rsid w:val="002236AE"/>
    <w:rsid w:val="00224623"/>
    <w:rsid w:val="00224637"/>
    <w:rsid w:val="00226396"/>
    <w:rsid w:val="0022787E"/>
    <w:rsid w:val="00230240"/>
    <w:rsid w:val="00230E2A"/>
    <w:rsid w:val="00231688"/>
    <w:rsid w:val="0023271D"/>
    <w:rsid w:val="00233438"/>
    <w:rsid w:val="002371B9"/>
    <w:rsid w:val="00240625"/>
    <w:rsid w:val="002417F1"/>
    <w:rsid w:val="00241E02"/>
    <w:rsid w:val="00244250"/>
    <w:rsid w:val="002448C8"/>
    <w:rsid w:val="0024666F"/>
    <w:rsid w:val="00247DC0"/>
    <w:rsid w:val="002501E8"/>
    <w:rsid w:val="00250C42"/>
    <w:rsid w:val="00251617"/>
    <w:rsid w:val="00251DF0"/>
    <w:rsid w:val="0025249C"/>
    <w:rsid w:val="002532EA"/>
    <w:rsid w:val="00253CBD"/>
    <w:rsid w:val="0025541F"/>
    <w:rsid w:val="0025571C"/>
    <w:rsid w:val="002558DA"/>
    <w:rsid w:val="00256C75"/>
    <w:rsid w:val="00257A0A"/>
    <w:rsid w:val="002629B9"/>
    <w:rsid w:val="00262C4B"/>
    <w:rsid w:val="00263593"/>
    <w:rsid w:val="00263937"/>
    <w:rsid w:val="00264DD9"/>
    <w:rsid w:val="00266C7D"/>
    <w:rsid w:val="00266ED7"/>
    <w:rsid w:val="00267A1B"/>
    <w:rsid w:val="00272253"/>
    <w:rsid w:val="00273827"/>
    <w:rsid w:val="002739A9"/>
    <w:rsid w:val="00273FEE"/>
    <w:rsid w:val="002740D9"/>
    <w:rsid w:val="00274E93"/>
    <w:rsid w:val="00275E8F"/>
    <w:rsid w:val="00281160"/>
    <w:rsid w:val="00281549"/>
    <w:rsid w:val="00281BB1"/>
    <w:rsid w:val="00283A45"/>
    <w:rsid w:val="00285F8B"/>
    <w:rsid w:val="002936A2"/>
    <w:rsid w:val="00293D85"/>
    <w:rsid w:val="00294877"/>
    <w:rsid w:val="00295128"/>
    <w:rsid w:val="002962BD"/>
    <w:rsid w:val="00297442"/>
    <w:rsid w:val="002A0984"/>
    <w:rsid w:val="002A2BB9"/>
    <w:rsid w:val="002A336F"/>
    <w:rsid w:val="002A3715"/>
    <w:rsid w:val="002A4536"/>
    <w:rsid w:val="002A461F"/>
    <w:rsid w:val="002A512A"/>
    <w:rsid w:val="002A5C6B"/>
    <w:rsid w:val="002A5F98"/>
    <w:rsid w:val="002A5FD0"/>
    <w:rsid w:val="002A72B2"/>
    <w:rsid w:val="002A73E1"/>
    <w:rsid w:val="002B0BBB"/>
    <w:rsid w:val="002B103E"/>
    <w:rsid w:val="002B199E"/>
    <w:rsid w:val="002B4B74"/>
    <w:rsid w:val="002B50CF"/>
    <w:rsid w:val="002B513E"/>
    <w:rsid w:val="002B5D39"/>
    <w:rsid w:val="002C0781"/>
    <w:rsid w:val="002C1B66"/>
    <w:rsid w:val="002C201E"/>
    <w:rsid w:val="002C2D62"/>
    <w:rsid w:val="002C53D9"/>
    <w:rsid w:val="002C5579"/>
    <w:rsid w:val="002C6849"/>
    <w:rsid w:val="002C6931"/>
    <w:rsid w:val="002C6B18"/>
    <w:rsid w:val="002D255A"/>
    <w:rsid w:val="002D4168"/>
    <w:rsid w:val="002D438E"/>
    <w:rsid w:val="002D47DF"/>
    <w:rsid w:val="002D5781"/>
    <w:rsid w:val="002D5B8F"/>
    <w:rsid w:val="002D6B54"/>
    <w:rsid w:val="002D71DD"/>
    <w:rsid w:val="002E06F3"/>
    <w:rsid w:val="002E075A"/>
    <w:rsid w:val="002E0F35"/>
    <w:rsid w:val="002E2B91"/>
    <w:rsid w:val="002E3196"/>
    <w:rsid w:val="002E44F0"/>
    <w:rsid w:val="002E471A"/>
    <w:rsid w:val="002E48FA"/>
    <w:rsid w:val="002E726C"/>
    <w:rsid w:val="002F2FCE"/>
    <w:rsid w:val="002F33BC"/>
    <w:rsid w:val="002F3724"/>
    <w:rsid w:val="002F48B8"/>
    <w:rsid w:val="002F4B2E"/>
    <w:rsid w:val="002F5DFB"/>
    <w:rsid w:val="002F5F68"/>
    <w:rsid w:val="002F6B7A"/>
    <w:rsid w:val="002F6EE9"/>
    <w:rsid w:val="0030023B"/>
    <w:rsid w:val="00301362"/>
    <w:rsid w:val="00301572"/>
    <w:rsid w:val="00302889"/>
    <w:rsid w:val="00303FF0"/>
    <w:rsid w:val="003044C1"/>
    <w:rsid w:val="00306501"/>
    <w:rsid w:val="00307497"/>
    <w:rsid w:val="003101A5"/>
    <w:rsid w:val="003104A3"/>
    <w:rsid w:val="003114B9"/>
    <w:rsid w:val="00311E5D"/>
    <w:rsid w:val="0031215B"/>
    <w:rsid w:val="00312AAD"/>
    <w:rsid w:val="0031357F"/>
    <w:rsid w:val="00315736"/>
    <w:rsid w:val="00315D5F"/>
    <w:rsid w:val="003166F7"/>
    <w:rsid w:val="00320F7A"/>
    <w:rsid w:val="00322523"/>
    <w:rsid w:val="003227F0"/>
    <w:rsid w:val="00322F5E"/>
    <w:rsid w:val="00324109"/>
    <w:rsid w:val="003245B7"/>
    <w:rsid w:val="003247B1"/>
    <w:rsid w:val="00324B0B"/>
    <w:rsid w:val="0032678D"/>
    <w:rsid w:val="003301DD"/>
    <w:rsid w:val="00330A0A"/>
    <w:rsid w:val="00330A39"/>
    <w:rsid w:val="00331333"/>
    <w:rsid w:val="00332B94"/>
    <w:rsid w:val="0033428E"/>
    <w:rsid w:val="00335F27"/>
    <w:rsid w:val="00336F1C"/>
    <w:rsid w:val="00337899"/>
    <w:rsid w:val="00340124"/>
    <w:rsid w:val="00340755"/>
    <w:rsid w:val="00340F22"/>
    <w:rsid w:val="003425F3"/>
    <w:rsid w:val="00343FF8"/>
    <w:rsid w:val="00345713"/>
    <w:rsid w:val="00346418"/>
    <w:rsid w:val="0035023F"/>
    <w:rsid w:val="00350DFD"/>
    <w:rsid w:val="003524AE"/>
    <w:rsid w:val="003529F6"/>
    <w:rsid w:val="003532C0"/>
    <w:rsid w:val="00353B47"/>
    <w:rsid w:val="003560DF"/>
    <w:rsid w:val="003567F4"/>
    <w:rsid w:val="003571BD"/>
    <w:rsid w:val="00360556"/>
    <w:rsid w:val="00360A4C"/>
    <w:rsid w:val="00361497"/>
    <w:rsid w:val="00361682"/>
    <w:rsid w:val="003621E1"/>
    <w:rsid w:val="00364154"/>
    <w:rsid w:val="00365316"/>
    <w:rsid w:val="00366231"/>
    <w:rsid w:val="00367859"/>
    <w:rsid w:val="0037044D"/>
    <w:rsid w:val="0037130A"/>
    <w:rsid w:val="003722E4"/>
    <w:rsid w:val="00372DF7"/>
    <w:rsid w:val="0037332C"/>
    <w:rsid w:val="0037346B"/>
    <w:rsid w:val="00373A0F"/>
    <w:rsid w:val="00374986"/>
    <w:rsid w:val="00374B21"/>
    <w:rsid w:val="00375A82"/>
    <w:rsid w:val="003769A4"/>
    <w:rsid w:val="00377302"/>
    <w:rsid w:val="00377331"/>
    <w:rsid w:val="0038018E"/>
    <w:rsid w:val="00381647"/>
    <w:rsid w:val="00381991"/>
    <w:rsid w:val="00381A22"/>
    <w:rsid w:val="00381D14"/>
    <w:rsid w:val="00382DBC"/>
    <w:rsid w:val="00382DE4"/>
    <w:rsid w:val="003830BC"/>
    <w:rsid w:val="00383501"/>
    <w:rsid w:val="00383DA1"/>
    <w:rsid w:val="00384017"/>
    <w:rsid w:val="00385432"/>
    <w:rsid w:val="003906E5"/>
    <w:rsid w:val="00390867"/>
    <w:rsid w:val="00391473"/>
    <w:rsid w:val="00392842"/>
    <w:rsid w:val="00392D5D"/>
    <w:rsid w:val="003958AF"/>
    <w:rsid w:val="00396037"/>
    <w:rsid w:val="003961BF"/>
    <w:rsid w:val="00396584"/>
    <w:rsid w:val="003A0F28"/>
    <w:rsid w:val="003A2929"/>
    <w:rsid w:val="003A2A66"/>
    <w:rsid w:val="003A36C4"/>
    <w:rsid w:val="003A3D4C"/>
    <w:rsid w:val="003A4CE8"/>
    <w:rsid w:val="003A5193"/>
    <w:rsid w:val="003A54D0"/>
    <w:rsid w:val="003A787B"/>
    <w:rsid w:val="003A7A74"/>
    <w:rsid w:val="003B0769"/>
    <w:rsid w:val="003B077A"/>
    <w:rsid w:val="003B0D05"/>
    <w:rsid w:val="003B1948"/>
    <w:rsid w:val="003B35FB"/>
    <w:rsid w:val="003B4A4C"/>
    <w:rsid w:val="003B7115"/>
    <w:rsid w:val="003B74B7"/>
    <w:rsid w:val="003C00CA"/>
    <w:rsid w:val="003C022E"/>
    <w:rsid w:val="003C1312"/>
    <w:rsid w:val="003C3EC3"/>
    <w:rsid w:val="003C515D"/>
    <w:rsid w:val="003C635A"/>
    <w:rsid w:val="003C63CF"/>
    <w:rsid w:val="003C68D5"/>
    <w:rsid w:val="003C6A21"/>
    <w:rsid w:val="003C745B"/>
    <w:rsid w:val="003D04EA"/>
    <w:rsid w:val="003D0F8C"/>
    <w:rsid w:val="003D24DB"/>
    <w:rsid w:val="003D26DE"/>
    <w:rsid w:val="003D28A5"/>
    <w:rsid w:val="003D42BD"/>
    <w:rsid w:val="003D5508"/>
    <w:rsid w:val="003D5695"/>
    <w:rsid w:val="003D7376"/>
    <w:rsid w:val="003D7B4E"/>
    <w:rsid w:val="003E0D21"/>
    <w:rsid w:val="003E2527"/>
    <w:rsid w:val="003E2F85"/>
    <w:rsid w:val="003E4AD6"/>
    <w:rsid w:val="003E5C98"/>
    <w:rsid w:val="003E6A20"/>
    <w:rsid w:val="003E7BFD"/>
    <w:rsid w:val="003F0606"/>
    <w:rsid w:val="003F4923"/>
    <w:rsid w:val="003F54EA"/>
    <w:rsid w:val="003F6BC0"/>
    <w:rsid w:val="003F7818"/>
    <w:rsid w:val="00401182"/>
    <w:rsid w:val="0040265E"/>
    <w:rsid w:val="004049E1"/>
    <w:rsid w:val="00404A31"/>
    <w:rsid w:val="0040535B"/>
    <w:rsid w:val="00405812"/>
    <w:rsid w:val="00405C9B"/>
    <w:rsid w:val="00406951"/>
    <w:rsid w:val="00407AE4"/>
    <w:rsid w:val="00410915"/>
    <w:rsid w:val="00410AFF"/>
    <w:rsid w:val="00410DAB"/>
    <w:rsid w:val="00411196"/>
    <w:rsid w:val="00412599"/>
    <w:rsid w:val="00412F3A"/>
    <w:rsid w:val="0041479B"/>
    <w:rsid w:val="0041484E"/>
    <w:rsid w:val="004160A5"/>
    <w:rsid w:val="00416D47"/>
    <w:rsid w:val="00421718"/>
    <w:rsid w:val="00422313"/>
    <w:rsid w:val="00422701"/>
    <w:rsid w:val="00423650"/>
    <w:rsid w:val="00425F7C"/>
    <w:rsid w:val="00426A51"/>
    <w:rsid w:val="004277AF"/>
    <w:rsid w:val="0042780C"/>
    <w:rsid w:val="0043057A"/>
    <w:rsid w:val="00430BD7"/>
    <w:rsid w:val="00430F9D"/>
    <w:rsid w:val="00430FAE"/>
    <w:rsid w:val="004338A4"/>
    <w:rsid w:val="004348EB"/>
    <w:rsid w:val="00440CEE"/>
    <w:rsid w:val="00442663"/>
    <w:rsid w:val="00442AB8"/>
    <w:rsid w:val="004445DB"/>
    <w:rsid w:val="00444DCC"/>
    <w:rsid w:val="0044566C"/>
    <w:rsid w:val="004472C2"/>
    <w:rsid w:val="004478F9"/>
    <w:rsid w:val="0044796A"/>
    <w:rsid w:val="00450803"/>
    <w:rsid w:val="00451E4C"/>
    <w:rsid w:val="0045238D"/>
    <w:rsid w:val="00452C2C"/>
    <w:rsid w:val="00452D19"/>
    <w:rsid w:val="00454123"/>
    <w:rsid w:val="0045448B"/>
    <w:rsid w:val="004552A5"/>
    <w:rsid w:val="0045618E"/>
    <w:rsid w:val="004573B8"/>
    <w:rsid w:val="004578BC"/>
    <w:rsid w:val="00457931"/>
    <w:rsid w:val="00461B1D"/>
    <w:rsid w:val="0046212E"/>
    <w:rsid w:val="00462F43"/>
    <w:rsid w:val="00464C73"/>
    <w:rsid w:val="00465716"/>
    <w:rsid w:val="0046596D"/>
    <w:rsid w:val="00466497"/>
    <w:rsid w:val="00466AF5"/>
    <w:rsid w:val="00466D84"/>
    <w:rsid w:val="00472C5F"/>
    <w:rsid w:val="00473311"/>
    <w:rsid w:val="00473742"/>
    <w:rsid w:val="00474393"/>
    <w:rsid w:val="00476DCF"/>
    <w:rsid w:val="00476E37"/>
    <w:rsid w:val="004778F1"/>
    <w:rsid w:val="00477C3F"/>
    <w:rsid w:val="00481966"/>
    <w:rsid w:val="00482968"/>
    <w:rsid w:val="0048468B"/>
    <w:rsid w:val="0048469B"/>
    <w:rsid w:val="004856CE"/>
    <w:rsid w:val="0048597A"/>
    <w:rsid w:val="00486F07"/>
    <w:rsid w:val="00487C57"/>
    <w:rsid w:val="00491561"/>
    <w:rsid w:val="00493A60"/>
    <w:rsid w:val="00493CDA"/>
    <w:rsid w:val="00494656"/>
    <w:rsid w:val="0049472D"/>
    <w:rsid w:val="00494AC4"/>
    <w:rsid w:val="00495AC0"/>
    <w:rsid w:val="00495D72"/>
    <w:rsid w:val="004967D9"/>
    <w:rsid w:val="00497302"/>
    <w:rsid w:val="004A000C"/>
    <w:rsid w:val="004A0393"/>
    <w:rsid w:val="004A043F"/>
    <w:rsid w:val="004A1921"/>
    <w:rsid w:val="004A23E5"/>
    <w:rsid w:val="004A2640"/>
    <w:rsid w:val="004A2AA1"/>
    <w:rsid w:val="004A2EE5"/>
    <w:rsid w:val="004A2F25"/>
    <w:rsid w:val="004A538F"/>
    <w:rsid w:val="004A58BA"/>
    <w:rsid w:val="004A5FDC"/>
    <w:rsid w:val="004A7CD6"/>
    <w:rsid w:val="004B1443"/>
    <w:rsid w:val="004B191C"/>
    <w:rsid w:val="004B23F7"/>
    <w:rsid w:val="004B2730"/>
    <w:rsid w:val="004B30F9"/>
    <w:rsid w:val="004B3F3A"/>
    <w:rsid w:val="004B7B37"/>
    <w:rsid w:val="004C0C70"/>
    <w:rsid w:val="004C1B7E"/>
    <w:rsid w:val="004C4987"/>
    <w:rsid w:val="004C4A3F"/>
    <w:rsid w:val="004C4BD8"/>
    <w:rsid w:val="004C4F0B"/>
    <w:rsid w:val="004C568E"/>
    <w:rsid w:val="004C5B74"/>
    <w:rsid w:val="004C714D"/>
    <w:rsid w:val="004C7DAC"/>
    <w:rsid w:val="004D0120"/>
    <w:rsid w:val="004D0D80"/>
    <w:rsid w:val="004D0F78"/>
    <w:rsid w:val="004D19CD"/>
    <w:rsid w:val="004D1F02"/>
    <w:rsid w:val="004D36DE"/>
    <w:rsid w:val="004D3813"/>
    <w:rsid w:val="004D3B48"/>
    <w:rsid w:val="004D3BEE"/>
    <w:rsid w:val="004D3C3D"/>
    <w:rsid w:val="004D417E"/>
    <w:rsid w:val="004D6754"/>
    <w:rsid w:val="004D6B13"/>
    <w:rsid w:val="004D7B0C"/>
    <w:rsid w:val="004D7EC1"/>
    <w:rsid w:val="004E1A60"/>
    <w:rsid w:val="004E1DF0"/>
    <w:rsid w:val="004E1E27"/>
    <w:rsid w:val="004E265D"/>
    <w:rsid w:val="004E26B4"/>
    <w:rsid w:val="004E31CE"/>
    <w:rsid w:val="004E355D"/>
    <w:rsid w:val="004E5878"/>
    <w:rsid w:val="004E5E8C"/>
    <w:rsid w:val="004E69DA"/>
    <w:rsid w:val="004F0462"/>
    <w:rsid w:val="004F1A32"/>
    <w:rsid w:val="004F1F97"/>
    <w:rsid w:val="004F25BF"/>
    <w:rsid w:val="004F3DEB"/>
    <w:rsid w:val="004F735A"/>
    <w:rsid w:val="00500165"/>
    <w:rsid w:val="00500813"/>
    <w:rsid w:val="0050084E"/>
    <w:rsid w:val="00500BF4"/>
    <w:rsid w:val="00501D17"/>
    <w:rsid w:val="00502878"/>
    <w:rsid w:val="00504D81"/>
    <w:rsid w:val="00504DED"/>
    <w:rsid w:val="00505F11"/>
    <w:rsid w:val="00506677"/>
    <w:rsid w:val="005066B6"/>
    <w:rsid w:val="00506B02"/>
    <w:rsid w:val="00513E02"/>
    <w:rsid w:val="00514B9D"/>
    <w:rsid w:val="00515CDE"/>
    <w:rsid w:val="00516525"/>
    <w:rsid w:val="00517091"/>
    <w:rsid w:val="0051739F"/>
    <w:rsid w:val="00520523"/>
    <w:rsid w:val="00520F0B"/>
    <w:rsid w:val="00521C79"/>
    <w:rsid w:val="00523ADB"/>
    <w:rsid w:val="0052424B"/>
    <w:rsid w:val="00524600"/>
    <w:rsid w:val="00524D87"/>
    <w:rsid w:val="005252FC"/>
    <w:rsid w:val="005253BB"/>
    <w:rsid w:val="00525681"/>
    <w:rsid w:val="00525819"/>
    <w:rsid w:val="005258C4"/>
    <w:rsid w:val="005262F7"/>
    <w:rsid w:val="005301F6"/>
    <w:rsid w:val="0053061E"/>
    <w:rsid w:val="005322A2"/>
    <w:rsid w:val="00532B34"/>
    <w:rsid w:val="005340B9"/>
    <w:rsid w:val="00534207"/>
    <w:rsid w:val="00540448"/>
    <w:rsid w:val="00540EF9"/>
    <w:rsid w:val="0054139A"/>
    <w:rsid w:val="0054146A"/>
    <w:rsid w:val="00542893"/>
    <w:rsid w:val="00542926"/>
    <w:rsid w:val="00542A1C"/>
    <w:rsid w:val="00543FDD"/>
    <w:rsid w:val="00544215"/>
    <w:rsid w:val="00545A78"/>
    <w:rsid w:val="00545A7D"/>
    <w:rsid w:val="00546501"/>
    <w:rsid w:val="00546D01"/>
    <w:rsid w:val="005477EB"/>
    <w:rsid w:val="005500C2"/>
    <w:rsid w:val="005513A2"/>
    <w:rsid w:val="00551FC9"/>
    <w:rsid w:val="00553340"/>
    <w:rsid w:val="0055338B"/>
    <w:rsid w:val="00553C79"/>
    <w:rsid w:val="0055413F"/>
    <w:rsid w:val="00554198"/>
    <w:rsid w:val="00554535"/>
    <w:rsid w:val="00554959"/>
    <w:rsid w:val="005559F8"/>
    <w:rsid w:val="00556312"/>
    <w:rsid w:val="00556EE8"/>
    <w:rsid w:val="00560253"/>
    <w:rsid w:val="00560A36"/>
    <w:rsid w:val="00561C67"/>
    <w:rsid w:val="005622E1"/>
    <w:rsid w:val="00565484"/>
    <w:rsid w:val="00567BF8"/>
    <w:rsid w:val="005704B2"/>
    <w:rsid w:val="0057319F"/>
    <w:rsid w:val="005751B9"/>
    <w:rsid w:val="00575BE7"/>
    <w:rsid w:val="00576322"/>
    <w:rsid w:val="00576B10"/>
    <w:rsid w:val="00577D83"/>
    <w:rsid w:val="005805E7"/>
    <w:rsid w:val="005806B8"/>
    <w:rsid w:val="005808FF"/>
    <w:rsid w:val="00580E42"/>
    <w:rsid w:val="005812B0"/>
    <w:rsid w:val="00582AAF"/>
    <w:rsid w:val="00582F5B"/>
    <w:rsid w:val="00583D00"/>
    <w:rsid w:val="00587D4D"/>
    <w:rsid w:val="0059093B"/>
    <w:rsid w:val="00591549"/>
    <w:rsid w:val="005925BF"/>
    <w:rsid w:val="00594D5C"/>
    <w:rsid w:val="005A14FC"/>
    <w:rsid w:val="005A393A"/>
    <w:rsid w:val="005A4943"/>
    <w:rsid w:val="005A528C"/>
    <w:rsid w:val="005A57C7"/>
    <w:rsid w:val="005A6CF9"/>
    <w:rsid w:val="005B3CE8"/>
    <w:rsid w:val="005B41BD"/>
    <w:rsid w:val="005B445E"/>
    <w:rsid w:val="005B5E97"/>
    <w:rsid w:val="005B7DE8"/>
    <w:rsid w:val="005C0BC9"/>
    <w:rsid w:val="005C168D"/>
    <w:rsid w:val="005C22EE"/>
    <w:rsid w:val="005C3A0C"/>
    <w:rsid w:val="005C4001"/>
    <w:rsid w:val="005C49FD"/>
    <w:rsid w:val="005C4F33"/>
    <w:rsid w:val="005C564B"/>
    <w:rsid w:val="005C567F"/>
    <w:rsid w:val="005C617A"/>
    <w:rsid w:val="005C64A2"/>
    <w:rsid w:val="005C6870"/>
    <w:rsid w:val="005C6C0F"/>
    <w:rsid w:val="005C7D15"/>
    <w:rsid w:val="005D2063"/>
    <w:rsid w:val="005D6C72"/>
    <w:rsid w:val="005D6C8B"/>
    <w:rsid w:val="005D7EAE"/>
    <w:rsid w:val="005E0003"/>
    <w:rsid w:val="005E07CD"/>
    <w:rsid w:val="005E0B1D"/>
    <w:rsid w:val="005E4C70"/>
    <w:rsid w:val="005E5041"/>
    <w:rsid w:val="005E65CB"/>
    <w:rsid w:val="005E6EC4"/>
    <w:rsid w:val="005E7C70"/>
    <w:rsid w:val="005E7F76"/>
    <w:rsid w:val="005F1F1C"/>
    <w:rsid w:val="005F25E7"/>
    <w:rsid w:val="005F31C6"/>
    <w:rsid w:val="005F4E42"/>
    <w:rsid w:val="005F55EF"/>
    <w:rsid w:val="005F5DAB"/>
    <w:rsid w:val="005F5E2F"/>
    <w:rsid w:val="005F67CA"/>
    <w:rsid w:val="005F6F5D"/>
    <w:rsid w:val="005F6F9E"/>
    <w:rsid w:val="005F7177"/>
    <w:rsid w:val="0060054B"/>
    <w:rsid w:val="00600DF4"/>
    <w:rsid w:val="00601032"/>
    <w:rsid w:val="00601AA3"/>
    <w:rsid w:val="00602761"/>
    <w:rsid w:val="00603FF1"/>
    <w:rsid w:val="006044C2"/>
    <w:rsid w:val="00604804"/>
    <w:rsid w:val="00605EF4"/>
    <w:rsid w:val="006069BE"/>
    <w:rsid w:val="00607A43"/>
    <w:rsid w:val="00611303"/>
    <w:rsid w:val="006124E3"/>
    <w:rsid w:val="00613B17"/>
    <w:rsid w:val="00613CA6"/>
    <w:rsid w:val="00613DF5"/>
    <w:rsid w:val="00614F1B"/>
    <w:rsid w:val="00615582"/>
    <w:rsid w:val="00615B90"/>
    <w:rsid w:val="006208DA"/>
    <w:rsid w:val="00622048"/>
    <w:rsid w:val="006246A4"/>
    <w:rsid w:val="00624B70"/>
    <w:rsid w:val="006253DF"/>
    <w:rsid w:val="00625BC8"/>
    <w:rsid w:val="00626E19"/>
    <w:rsid w:val="00627499"/>
    <w:rsid w:val="006274BA"/>
    <w:rsid w:val="00630111"/>
    <w:rsid w:val="00634A68"/>
    <w:rsid w:val="0063624E"/>
    <w:rsid w:val="006409A4"/>
    <w:rsid w:val="00640C30"/>
    <w:rsid w:val="00640CA7"/>
    <w:rsid w:val="006413E8"/>
    <w:rsid w:val="00641BE7"/>
    <w:rsid w:val="00642B80"/>
    <w:rsid w:val="00644C5A"/>
    <w:rsid w:val="00644D56"/>
    <w:rsid w:val="00644DCA"/>
    <w:rsid w:val="006454FE"/>
    <w:rsid w:val="0064565B"/>
    <w:rsid w:val="0064738C"/>
    <w:rsid w:val="006503BA"/>
    <w:rsid w:val="00653926"/>
    <w:rsid w:val="0065493F"/>
    <w:rsid w:val="00654E70"/>
    <w:rsid w:val="00657B46"/>
    <w:rsid w:val="00662B5D"/>
    <w:rsid w:val="006635C5"/>
    <w:rsid w:val="00665F78"/>
    <w:rsid w:val="00666403"/>
    <w:rsid w:val="0066679A"/>
    <w:rsid w:val="00666C0B"/>
    <w:rsid w:val="00667AE6"/>
    <w:rsid w:val="006715B2"/>
    <w:rsid w:val="00671636"/>
    <w:rsid w:val="00672BDE"/>
    <w:rsid w:val="006742BA"/>
    <w:rsid w:val="006754A9"/>
    <w:rsid w:val="0067627E"/>
    <w:rsid w:val="0067709B"/>
    <w:rsid w:val="00677C0E"/>
    <w:rsid w:val="00680909"/>
    <w:rsid w:val="00680D52"/>
    <w:rsid w:val="00681C2F"/>
    <w:rsid w:val="006876CD"/>
    <w:rsid w:val="00687908"/>
    <w:rsid w:val="0069120C"/>
    <w:rsid w:val="00691365"/>
    <w:rsid w:val="006921D7"/>
    <w:rsid w:val="006923E2"/>
    <w:rsid w:val="00694105"/>
    <w:rsid w:val="006941BD"/>
    <w:rsid w:val="00695A3B"/>
    <w:rsid w:val="006966BB"/>
    <w:rsid w:val="00697647"/>
    <w:rsid w:val="006A070D"/>
    <w:rsid w:val="006A128B"/>
    <w:rsid w:val="006A1316"/>
    <w:rsid w:val="006A1715"/>
    <w:rsid w:val="006A195C"/>
    <w:rsid w:val="006A1DB8"/>
    <w:rsid w:val="006A206D"/>
    <w:rsid w:val="006A22B0"/>
    <w:rsid w:val="006A3627"/>
    <w:rsid w:val="006A41E7"/>
    <w:rsid w:val="006A44B2"/>
    <w:rsid w:val="006A4D3D"/>
    <w:rsid w:val="006A7054"/>
    <w:rsid w:val="006A70BA"/>
    <w:rsid w:val="006A7619"/>
    <w:rsid w:val="006A7747"/>
    <w:rsid w:val="006B01E6"/>
    <w:rsid w:val="006B086D"/>
    <w:rsid w:val="006B0EDB"/>
    <w:rsid w:val="006B11C8"/>
    <w:rsid w:val="006B1BBB"/>
    <w:rsid w:val="006B4096"/>
    <w:rsid w:val="006B53EE"/>
    <w:rsid w:val="006B6BA9"/>
    <w:rsid w:val="006C06C9"/>
    <w:rsid w:val="006C07C0"/>
    <w:rsid w:val="006C122F"/>
    <w:rsid w:val="006C211E"/>
    <w:rsid w:val="006C225B"/>
    <w:rsid w:val="006C569F"/>
    <w:rsid w:val="006C74B5"/>
    <w:rsid w:val="006C785A"/>
    <w:rsid w:val="006C79A0"/>
    <w:rsid w:val="006C7CE0"/>
    <w:rsid w:val="006D08DB"/>
    <w:rsid w:val="006D1054"/>
    <w:rsid w:val="006D1239"/>
    <w:rsid w:val="006D2E22"/>
    <w:rsid w:val="006D5301"/>
    <w:rsid w:val="006D5988"/>
    <w:rsid w:val="006D653F"/>
    <w:rsid w:val="006D681C"/>
    <w:rsid w:val="006D795F"/>
    <w:rsid w:val="006E113E"/>
    <w:rsid w:val="006E171E"/>
    <w:rsid w:val="006E1B53"/>
    <w:rsid w:val="006E2FC8"/>
    <w:rsid w:val="006E50B9"/>
    <w:rsid w:val="006E6219"/>
    <w:rsid w:val="006F0778"/>
    <w:rsid w:val="006F1073"/>
    <w:rsid w:val="006F17E7"/>
    <w:rsid w:val="006F2FEE"/>
    <w:rsid w:val="006F505D"/>
    <w:rsid w:val="006F57CC"/>
    <w:rsid w:val="006F762A"/>
    <w:rsid w:val="007005B3"/>
    <w:rsid w:val="00701039"/>
    <w:rsid w:val="00703DA6"/>
    <w:rsid w:val="007044CF"/>
    <w:rsid w:val="00704F2B"/>
    <w:rsid w:val="0070548C"/>
    <w:rsid w:val="00706A0C"/>
    <w:rsid w:val="0071037E"/>
    <w:rsid w:val="00711211"/>
    <w:rsid w:val="0071144B"/>
    <w:rsid w:val="007118CA"/>
    <w:rsid w:val="00712C49"/>
    <w:rsid w:val="007134ED"/>
    <w:rsid w:val="00713A1E"/>
    <w:rsid w:val="00714324"/>
    <w:rsid w:val="00715615"/>
    <w:rsid w:val="007159C3"/>
    <w:rsid w:val="00715FB5"/>
    <w:rsid w:val="00716D7C"/>
    <w:rsid w:val="0072077B"/>
    <w:rsid w:val="007209A4"/>
    <w:rsid w:val="00721202"/>
    <w:rsid w:val="007213AF"/>
    <w:rsid w:val="00721DC0"/>
    <w:rsid w:val="00722135"/>
    <w:rsid w:val="0072332D"/>
    <w:rsid w:val="0072413F"/>
    <w:rsid w:val="00724421"/>
    <w:rsid w:val="0072444A"/>
    <w:rsid w:val="00724632"/>
    <w:rsid w:val="00726DDB"/>
    <w:rsid w:val="00726E10"/>
    <w:rsid w:val="00727B40"/>
    <w:rsid w:val="007311D7"/>
    <w:rsid w:val="007317AC"/>
    <w:rsid w:val="00732936"/>
    <w:rsid w:val="007330C2"/>
    <w:rsid w:val="007334B4"/>
    <w:rsid w:val="007338C4"/>
    <w:rsid w:val="00733CD2"/>
    <w:rsid w:val="00735825"/>
    <w:rsid w:val="0073598B"/>
    <w:rsid w:val="00735CFB"/>
    <w:rsid w:val="00736682"/>
    <w:rsid w:val="0073732E"/>
    <w:rsid w:val="00737947"/>
    <w:rsid w:val="00741C6B"/>
    <w:rsid w:val="00744B5F"/>
    <w:rsid w:val="00744B8B"/>
    <w:rsid w:val="00744F61"/>
    <w:rsid w:val="00746219"/>
    <w:rsid w:val="0074702A"/>
    <w:rsid w:val="00747B8A"/>
    <w:rsid w:val="0075045B"/>
    <w:rsid w:val="00750661"/>
    <w:rsid w:val="00752C38"/>
    <w:rsid w:val="00752CB1"/>
    <w:rsid w:val="00752CFF"/>
    <w:rsid w:val="00756EAD"/>
    <w:rsid w:val="00756F14"/>
    <w:rsid w:val="00757339"/>
    <w:rsid w:val="00761AED"/>
    <w:rsid w:val="0076308A"/>
    <w:rsid w:val="00764298"/>
    <w:rsid w:val="00764A68"/>
    <w:rsid w:val="00764ADD"/>
    <w:rsid w:val="00766980"/>
    <w:rsid w:val="0076719A"/>
    <w:rsid w:val="00771454"/>
    <w:rsid w:val="00771AF1"/>
    <w:rsid w:val="00771B08"/>
    <w:rsid w:val="00771FBE"/>
    <w:rsid w:val="00772881"/>
    <w:rsid w:val="00772CF6"/>
    <w:rsid w:val="0077349C"/>
    <w:rsid w:val="00773BEB"/>
    <w:rsid w:val="007748B6"/>
    <w:rsid w:val="007766DF"/>
    <w:rsid w:val="00776839"/>
    <w:rsid w:val="00777976"/>
    <w:rsid w:val="0078134E"/>
    <w:rsid w:val="007831AB"/>
    <w:rsid w:val="00783A50"/>
    <w:rsid w:val="00784AC1"/>
    <w:rsid w:val="00786122"/>
    <w:rsid w:val="0078670D"/>
    <w:rsid w:val="0079001B"/>
    <w:rsid w:val="007924B0"/>
    <w:rsid w:val="007926E5"/>
    <w:rsid w:val="00793CC4"/>
    <w:rsid w:val="007964CD"/>
    <w:rsid w:val="00796B79"/>
    <w:rsid w:val="00797F2B"/>
    <w:rsid w:val="007A065B"/>
    <w:rsid w:val="007A0744"/>
    <w:rsid w:val="007A4E82"/>
    <w:rsid w:val="007A53F8"/>
    <w:rsid w:val="007A5959"/>
    <w:rsid w:val="007A747B"/>
    <w:rsid w:val="007B07D2"/>
    <w:rsid w:val="007B2135"/>
    <w:rsid w:val="007B3766"/>
    <w:rsid w:val="007B4350"/>
    <w:rsid w:val="007B54D1"/>
    <w:rsid w:val="007B63D2"/>
    <w:rsid w:val="007B7063"/>
    <w:rsid w:val="007B7F72"/>
    <w:rsid w:val="007B7FF9"/>
    <w:rsid w:val="007C0021"/>
    <w:rsid w:val="007C14DC"/>
    <w:rsid w:val="007C150E"/>
    <w:rsid w:val="007C1AC2"/>
    <w:rsid w:val="007C268D"/>
    <w:rsid w:val="007C412A"/>
    <w:rsid w:val="007C5031"/>
    <w:rsid w:val="007C5452"/>
    <w:rsid w:val="007C67A7"/>
    <w:rsid w:val="007C6901"/>
    <w:rsid w:val="007C709A"/>
    <w:rsid w:val="007C7F33"/>
    <w:rsid w:val="007D0818"/>
    <w:rsid w:val="007D0B8D"/>
    <w:rsid w:val="007D395D"/>
    <w:rsid w:val="007D4075"/>
    <w:rsid w:val="007D478F"/>
    <w:rsid w:val="007D6019"/>
    <w:rsid w:val="007D62C3"/>
    <w:rsid w:val="007D7DC8"/>
    <w:rsid w:val="007D7F61"/>
    <w:rsid w:val="007E0C3D"/>
    <w:rsid w:val="007E0C3E"/>
    <w:rsid w:val="007E0CB3"/>
    <w:rsid w:val="007E178E"/>
    <w:rsid w:val="007E1FCB"/>
    <w:rsid w:val="007E20FC"/>
    <w:rsid w:val="007E227F"/>
    <w:rsid w:val="007E2DD6"/>
    <w:rsid w:val="007E3153"/>
    <w:rsid w:val="007E3640"/>
    <w:rsid w:val="007E43DC"/>
    <w:rsid w:val="007E4797"/>
    <w:rsid w:val="007E4DE7"/>
    <w:rsid w:val="007E65E7"/>
    <w:rsid w:val="007E6AB2"/>
    <w:rsid w:val="007E76B0"/>
    <w:rsid w:val="007F1054"/>
    <w:rsid w:val="007F22F7"/>
    <w:rsid w:val="007F2CE8"/>
    <w:rsid w:val="007F31B7"/>
    <w:rsid w:val="007F3602"/>
    <w:rsid w:val="007F3858"/>
    <w:rsid w:val="007F3D7C"/>
    <w:rsid w:val="007F4672"/>
    <w:rsid w:val="007F5656"/>
    <w:rsid w:val="007F570E"/>
    <w:rsid w:val="007F674C"/>
    <w:rsid w:val="007F733F"/>
    <w:rsid w:val="00801925"/>
    <w:rsid w:val="008022EA"/>
    <w:rsid w:val="00804883"/>
    <w:rsid w:val="00806F86"/>
    <w:rsid w:val="00807431"/>
    <w:rsid w:val="008076BC"/>
    <w:rsid w:val="008078E8"/>
    <w:rsid w:val="00812DD4"/>
    <w:rsid w:val="00813C68"/>
    <w:rsid w:val="0081439A"/>
    <w:rsid w:val="00814CA4"/>
    <w:rsid w:val="0081670A"/>
    <w:rsid w:val="008167C3"/>
    <w:rsid w:val="00817179"/>
    <w:rsid w:val="00817955"/>
    <w:rsid w:val="00820DE6"/>
    <w:rsid w:val="00821062"/>
    <w:rsid w:val="00821A1E"/>
    <w:rsid w:val="008224E0"/>
    <w:rsid w:val="00823622"/>
    <w:rsid w:val="00823B06"/>
    <w:rsid w:val="00825597"/>
    <w:rsid w:val="008256BB"/>
    <w:rsid w:val="00825CBB"/>
    <w:rsid w:val="00825F86"/>
    <w:rsid w:val="008269C2"/>
    <w:rsid w:val="008274C8"/>
    <w:rsid w:val="008301F6"/>
    <w:rsid w:val="00830A5E"/>
    <w:rsid w:val="00830FF0"/>
    <w:rsid w:val="00831ECF"/>
    <w:rsid w:val="00832F91"/>
    <w:rsid w:val="00833D3D"/>
    <w:rsid w:val="0083523C"/>
    <w:rsid w:val="00835A9A"/>
    <w:rsid w:val="00835BAF"/>
    <w:rsid w:val="00836108"/>
    <w:rsid w:val="008368DF"/>
    <w:rsid w:val="00836940"/>
    <w:rsid w:val="008373BC"/>
    <w:rsid w:val="00841D99"/>
    <w:rsid w:val="00842BA1"/>
    <w:rsid w:val="00842DB4"/>
    <w:rsid w:val="0084336F"/>
    <w:rsid w:val="008436BD"/>
    <w:rsid w:val="00843B6A"/>
    <w:rsid w:val="00844323"/>
    <w:rsid w:val="00845083"/>
    <w:rsid w:val="00845322"/>
    <w:rsid w:val="00847DFF"/>
    <w:rsid w:val="0085082D"/>
    <w:rsid w:val="00852405"/>
    <w:rsid w:val="00853DC1"/>
    <w:rsid w:val="00854C20"/>
    <w:rsid w:val="00855BD1"/>
    <w:rsid w:val="008568F1"/>
    <w:rsid w:val="008569B9"/>
    <w:rsid w:val="008578E1"/>
    <w:rsid w:val="00861381"/>
    <w:rsid w:val="00861684"/>
    <w:rsid w:val="00864CAD"/>
    <w:rsid w:val="0086652C"/>
    <w:rsid w:val="00866F88"/>
    <w:rsid w:val="00870002"/>
    <w:rsid w:val="008733B3"/>
    <w:rsid w:val="00873765"/>
    <w:rsid w:val="00875B52"/>
    <w:rsid w:val="00876A46"/>
    <w:rsid w:val="00876E97"/>
    <w:rsid w:val="00880496"/>
    <w:rsid w:val="008811C6"/>
    <w:rsid w:val="00881301"/>
    <w:rsid w:val="0088287E"/>
    <w:rsid w:val="00883F89"/>
    <w:rsid w:val="0088418C"/>
    <w:rsid w:val="00884600"/>
    <w:rsid w:val="008854C2"/>
    <w:rsid w:val="00885B28"/>
    <w:rsid w:val="00885B7D"/>
    <w:rsid w:val="00885EBD"/>
    <w:rsid w:val="00887052"/>
    <w:rsid w:val="008934AC"/>
    <w:rsid w:val="00895532"/>
    <w:rsid w:val="00897685"/>
    <w:rsid w:val="00897FF3"/>
    <w:rsid w:val="008A06C1"/>
    <w:rsid w:val="008A244B"/>
    <w:rsid w:val="008A2FE5"/>
    <w:rsid w:val="008A38CB"/>
    <w:rsid w:val="008A3D6E"/>
    <w:rsid w:val="008A3EAF"/>
    <w:rsid w:val="008A3EF8"/>
    <w:rsid w:val="008A4EF4"/>
    <w:rsid w:val="008B2783"/>
    <w:rsid w:val="008B417A"/>
    <w:rsid w:val="008C057C"/>
    <w:rsid w:val="008C0F69"/>
    <w:rsid w:val="008C1168"/>
    <w:rsid w:val="008C1A60"/>
    <w:rsid w:val="008C1B6F"/>
    <w:rsid w:val="008C3E1C"/>
    <w:rsid w:val="008C4E3F"/>
    <w:rsid w:val="008C7231"/>
    <w:rsid w:val="008C78F2"/>
    <w:rsid w:val="008D095A"/>
    <w:rsid w:val="008D1490"/>
    <w:rsid w:val="008D1675"/>
    <w:rsid w:val="008D223B"/>
    <w:rsid w:val="008D2CF7"/>
    <w:rsid w:val="008D46AB"/>
    <w:rsid w:val="008D4914"/>
    <w:rsid w:val="008D57F6"/>
    <w:rsid w:val="008D5841"/>
    <w:rsid w:val="008D695B"/>
    <w:rsid w:val="008D7604"/>
    <w:rsid w:val="008D7A3A"/>
    <w:rsid w:val="008E0B72"/>
    <w:rsid w:val="008E0FA0"/>
    <w:rsid w:val="008E3493"/>
    <w:rsid w:val="008E374A"/>
    <w:rsid w:val="008E38CE"/>
    <w:rsid w:val="008E48B1"/>
    <w:rsid w:val="008E51DD"/>
    <w:rsid w:val="008E5B3F"/>
    <w:rsid w:val="008E6307"/>
    <w:rsid w:val="008F1E1A"/>
    <w:rsid w:val="008F33A5"/>
    <w:rsid w:val="008F34BE"/>
    <w:rsid w:val="008F34D4"/>
    <w:rsid w:val="008F37E0"/>
    <w:rsid w:val="008F4384"/>
    <w:rsid w:val="008F6609"/>
    <w:rsid w:val="009000BA"/>
    <w:rsid w:val="00900A3A"/>
    <w:rsid w:val="00900A80"/>
    <w:rsid w:val="0090127F"/>
    <w:rsid w:val="0090210A"/>
    <w:rsid w:val="00903673"/>
    <w:rsid w:val="00904F72"/>
    <w:rsid w:val="0090518D"/>
    <w:rsid w:val="009058B0"/>
    <w:rsid w:val="00906184"/>
    <w:rsid w:val="00906883"/>
    <w:rsid w:val="00906A55"/>
    <w:rsid w:val="00906B2E"/>
    <w:rsid w:val="00906BC2"/>
    <w:rsid w:val="00906CBE"/>
    <w:rsid w:val="00907FA3"/>
    <w:rsid w:val="00910FED"/>
    <w:rsid w:val="009126A1"/>
    <w:rsid w:val="00912D85"/>
    <w:rsid w:val="00913A07"/>
    <w:rsid w:val="00915977"/>
    <w:rsid w:val="00915BDE"/>
    <w:rsid w:val="0091607F"/>
    <w:rsid w:val="009165E9"/>
    <w:rsid w:val="00916F05"/>
    <w:rsid w:val="0091742A"/>
    <w:rsid w:val="009223D1"/>
    <w:rsid w:val="009224CB"/>
    <w:rsid w:val="00922623"/>
    <w:rsid w:val="009227DA"/>
    <w:rsid w:val="0092355D"/>
    <w:rsid w:val="0092407D"/>
    <w:rsid w:val="009256A3"/>
    <w:rsid w:val="00925D3C"/>
    <w:rsid w:val="00926841"/>
    <w:rsid w:val="00927182"/>
    <w:rsid w:val="009279A8"/>
    <w:rsid w:val="009300F0"/>
    <w:rsid w:val="00930BC2"/>
    <w:rsid w:val="00931BE1"/>
    <w:rsid w:val="00931BF7"/>
    <w:rsid w:val="00932D83"/>
    <w:rsid w:val="0093367E"/>
    <w:rsid w:val="00933F87"/>
    <w:rsid w:val="00934469"/>
    <w:rsid w:val="00935936"/>
    <w:rsid w:val="00935BB7"/>
    <w:rsid w:val="009368F7"/>
    <w:rsid w:val="009379E3"/>
    <w:rsid w:val="00937A80"/>
    <w:rsid w:val="0094567D"/>
    <w:rsid w:val="00946A8C"/>
    <w:rsid w:val="00946B2C"/>
    <w:rsid w:val="00947553"/>
    <w:rsid w:val="00947FB6"/>
    <w:rsid w:val="00950852"/>
    <w:rsid w:val="009518AE"/>
    <w:rsid w:val="009535A7"/>
    <w:rsid w:val="00953685"/>
    <w:rsid w:val="00956691"/>
    <w:rsid w:val="00957034"/>
    <w:rsid w:val="009604A7"/>
    <w:rsid w:val="0096150A"/>
    <w:rsid w:val="009615C2"/>
    <w:rsid w:val="00965869"/>
    <w:rsid w:val="00971303"/>
    <w:rsid w:val="00973BD9"/>
    <w:rsid w:val="009740BD"/>
    <w:rsid w:val="0097530B"/>
    <w:rsid w:val="009755EB"/>
    <w:rsid w:val="00975B90"/>
    <w:rsid w:val="00977ED7"/>
    <w:rsid w:val="009800F8"/>
    <w:rsid w:val="00980AEC"/>
    <w:rsid w:val="00981086"/>
    <w:rsid w:val="009824D0"/>
    <w:rsid w:val="00983D02"/>
    <w:rsid w:val="00985028"/>
    <w:rsid w:val="0098593B"/>
    <w:rsid w:val="00986330"/>
    <w:rsid w:val="009905FD"/>
    <w:rsid w:val="00991F53"/>
    <w:rsid w:val="0099330A"/>
    <w:rsid w:val="0099338F"/>
    <w:rsid w:val="00993CF0"/>
    <w:rsid w:val="009952E9"/>
    <w:rsid w:val="009A0170"/>
    <w:rsid w:val="009A1D15"/>
    <w:rsid w:val="009A316C"/>
    <w:rsid w:val="009A3DA0"/>
    <w:rsid w:val="009A44C9"/>
    <w:rsid w:val="009A6DB9"/>
    <w:rsid w:val="009B03AB"/>
    <w:rsid w:val="009B04A3"/>
    <w:rsid w:val="009B1917"/>
    <w:rsid w:val="009B2404"/>
    <w:rsid w:val="009B2503"/>
    <w:rsid w:val="009B26D6"/>
    <w:rsid w:val="009B321C"/>
    <w:rsid w:val="009B44D9"/>
    <w:rsid w:val="009B55CF"/>
    <w:rsid w:val="009B7689"/>
    <w:rsid w:val="009C1AA0"/>
    <w:rsid w:val="009C2A74"/>
    <w:rsid w:val="009C3F8A"/>
    <w:rsid w:val="009C5644"/>
    <w:rsid w:val="009D116A"/>
    <w:rsid w:val="009D29CC"/>
    <w:rsid w:val="009D523A"/>
    <w:rsid w:val="009D5EC1"/>
    <w:rsid w:val="009D6319"/>
    <w:rsid w:val="009D6FC5"/>
    <w:rsid w:val="009D7BA8"/>
    <w:rsid w:val="009E0595"/>
    <w:rsid w:val="009E09E0"/>
    <w:rsid w:val="009E2D38"/>
    <w:rsid w:val="009E341C"/>
    <w:rsid w:val="009E3F3B"/>
    <w:rsid w:val="009E3F78"/>
    <w:rsid w:val="009E42FE"/>
    <w:rsid w:val="009E5E42"/>
    <w:rsid w:val="009E741C"/>
    <w:rsid w:val="009F06EB"/>
    <w:rsid w:val="009F14C6"/>
    <w:rsid w:val="009F1A65"/>
    <w:rsid w:val="009F1AF2"/>
    <w:rsid w:val="009F1BC9"/>
    <w:rsid w:val="009F3831"/>
    <w:rsid w:val="009F4575"/>
    <w:rsid w:val="009F45AB"/>
    <w:rsid w:val="009F5435"/>
    <w:rsid w:val="009F65D9"/>
    <w:rsid w:val="00A00718"/>
    <w:rsid w:val="00A00A0A"/>
    <w:rsid w:val="00A01E0B"/>
    <w:rsid w:val="00A05E75"/>
    <w:rsid w:val="00A10B3A"/>
    <w:rsid w:val="00A12312"/>
    <w:rsid w:val="00A13F34"/>
    <w:rsid w:val="00A15451"/>
    <w:rsid w:val="00A162F4"/>
    <w:rsid w:val="00A20AAF"/>
    <w:rsid w:val="00A21C83"/>
    <w:rsid w:val="00A22A8A"/>
    <w:rsid w:val="00A23ED4"/>
    <w:rsid w:val="00A24686"/>
    <w:rsid w:val="00A24CD3"/>
    <w:rsid w:val="00A25619"/>
    <w:rsid w:val="00A256FD"/>
    <w:rsid w:val="00A260A2"/>
    <w:rsid w:val="00A264D3"/>
    <w:rsid w:val="00A32EBB"/>
    <w:rsid w:val="00A3416F"/>
    <w:rsid w:val="00A3453C"/>
    <w:rsid w:val="00A35D53"/>
    <w:rsid w:val="00A35DB5"/>
    <w:rsid w:val="00A36A32"/>
    <w:rsid w:val="00A37405"/>
    <w:rsid w:val="00A37B66"/>
    <w:rsid w:val="00A408E8"/>
    <w:rsid w:val="00A42397"/>
    <w:rsid w:val="00A43635"/>
    <w:rsid w:val="00A440EB"/>
    <w:rsid w:val="00A44CC9"/>
    <w:rsid w:val="00A44D8C"/>
    <w:rsid w:val="00A45523"/>
    <w:rsid w:val="00A45BB6"/>
    <w:rsid w:val="00A47D4B"/>
    <w:rsid w:val="00A50201"/>
    <w:rsid w:val="00A50E57"/>
    <w:rsid w:val="00A50EDD"/>
    <w:rsid w:val="00A511D0"/>
    <w:rsid w:val="00A51920"/>
    <w:rsid w:val="00A52AA1"/>
    <w:rsid w:val="00A5492F"/>
    <w:rsid w:val="00A54F9F"/>
    <w:rsid w:val="00A5573F"/>
    <w:rsid w:val="00A564F5"/>
    <w:rsid w:val="00A5752D"/>
    <w:rsid w:val="00A57B75"/>
    <w:rsid w:val="00A57F7E"/>
    <w:rsid w:val="00A635A7"/>
    <w:rsid w:val="00A6421A"/>
    <w:rsid w:val="00A642F4"/>
    <w:rsid w:val="00A64440"/>
    <w:rsid w:val="00A657EB"/>
    <w:rsid w:val="00A6621D"/>
    <w:rsid w:val="00A672E2"/>
    <w:rsid w:val="00A67886"/>
    <w:rsid w:val="00A7119D"/>
    <w:rsid w:val="00A71AC7"/>
    <w:rsid w:val="00A72B83"/>
    <w:rsid w:val="00A72D6C"/>
    <w:rsid w:val="00A74C32"/>
    <w:rsid w:val="00A74E4F"/>
    <w:rsid w:val="00A75EF5"/>
    <w:rsid w:val="00A76BF9"/>
    <w:rsid w:val="00A77009"/>
    <w:rsid w:val="00A77936"/>
    <w:rsid w:val="00A77F7B"/>
    <w:rsid w:val="00A80259"/>
    <w:rsid w:val="00A80D43"/>
    <w:rsid w:val="00A829D7"/>
    <w:rsid w:val="00A85CBC"/>
    <w:rsid w:val="00A867D0"/>
    <w:rsid w:val="00A9027D"/>
    <w:rsid w:val="00A91337"/>
    <w:rsid w:val="00A92636"/>
    <w:rsid w:val="00A9370F"/>
    <w:rsid w:val="00A94487"/>
    <w:rsid w:val="00A95262"/>
    <w:rsid w:val="00A953CF"/>
    <w:rsid w:val="00A963DF"/>
    <w:rsid w:val="00A970B7"/>
    <w:rsid w:val="00AA0E0E"/>
    <w:rsid w:val="00AA2962"/>
    <w:rsid w:val="00AA3327"/>
    <w:rsid w:val="00AA4658"/>
    <w:rsid w:val="00AA4AAC"/>
    <w:rsid w:val="00AA4DE2"/>
    <w:rsid w:val="00AA59E6"/>
    <w:rsid w:val="00AA60DD"/>
    <w:rsid w:val="00AA63B6"/>
    <w:rsid w:val="00AA702F"/>
    <w:rsid w:val="00AB0854"/>
    <w:rsid w:val="00AB1CFF"/>
    <w:rsid w:val="00AB609B"/>
    <w:rsid w:val="00AC0D7A"/>
    <w:rsid w:val="00AC10FD"/>
    <w:rsid w:val="00AC12A6"/>
    <w:rsid w:val="00AC4294"/>
    <w:rsid w:val="00AD1FAD"/>
    <w:rsid w:val="00AD21B2"/>
    <w:rsid w:val="00AD5231"/>
    <w:rsid w:val="00AD54FF"/>
    <w:rsid w:val="00AD605B"/>
    <w:rsid w:val="00AD6A4D"/>
    <w:rsid w:val="00AD715E"/>
    <w:rsid w:val="00AD7257"/>
    <w:rsid w:val="00AD73AD"/>
    <w:rsid w:val="00AD7E35"/>
    <w:rsid w:val="00AE069A"/>
    <w:rsid w:val="00AE0F01"/>
    <w:rsid w:val="00AE15AE"/>
    <w:rsid w:val="00AE25B5"/>
    <w:rsid w:val="00AE334B"/>
    <w:rsid w:val="00AE53A3"/>
    <w:rsid w:val="00AE5D7C"/>
    <w:rsid w:val="00AE69F5"/>
    <w:rsid w:val="00AE74E4"/>
    <w:rsid w:val="00AF0756"/>
    <w:rsid w:val="00AF09AB"/>
    <w:rsid w:val="00AF1429"/>
    <w:rsid w:val="00AF2593"/>
    <w:rsid w:val="00AF3932"/>
    <w:rsid w:val="00AF427B"/>
    <w:rsid w:val="00AF4E2C"/>
    <w:rsid w:val="00B027F5"/>
    <w:rsid w:val="00B02C63"/>
    <w:rsid w:val="00B02EF8"/>
    <w:rsid w:val="00B0395B"/>
    <w:rsid w:val="00B03B90"/>
    <w:rsid w:val="00B03BDB"/>
    <w:rsid w:val="00B03E3B"/>
    <w:rsid w:val="00B053BC"/>
    <w:rsid w:val="00B05B6A"/>
    <w:rsid w:val="00B064FD"/>
    <w:rsid w:val="00B06B8F"/>
    <w:rsid w:val="00B0745B"/>
    <w:rsid w:val="00B07B0E"/>
    <w:rsid w:val="00B110AC"/>
    <w:rsid w:val="00B12630"/>
    <w:rsid w:val="00B12C6E"/>
    <w:rsid w:val="00B12DB2"/>
    <w:rsid w:val="00B13293"/>
    <w:rsid w:val="00B13C1F"/>
    <w:rsid w:val="00B1477A"/>
    <w:rsid w:val="00B147F1"/>
    <w:rsid w:val="00B16A06"/>
    <w:rsid w:val="00B1717E"/>
    <w:rsid w:val="00B22042"/>
    <w:rsid w:val="00B221DB"/>
    <w:rsid w:val="00B23756"/>
    <w:rsid w:val="00B24C85"/>
    <w:rsid w:val="00B25480"/>
    <w:rsid w:val="00B256F5"/>
    <w:rsid w:val="00B259AF"/>
    <w:rsid w:val="00B26197"/>
    <w:rsid w:val="00B275B6"/>
    <w:rsid w:val="00B3119F"/>
    <w:rsid w:val="00B32141"/>
    <w:rsid w:val="00B331C9"/>
    <w:rsid w:val="00B34097"/>
    <w:rsid w:val="00B350C1"/>
    <w:rsid w:val="00B403E0"/>
    <w:rsid w:val="00B40CF5"/>
    <w:rsid w:val="00B42357"/>
    <w:rsid w:val="00B42CC5"/>
    <w:rsid w:val="00B42D11"/>
    <w:rsid w:val="00B43AC6"/>
    <w:rsid w:val="00B44965"/>
    <w:rsid w:val="00B44A3A"/>
    <w:rsid w:val="00B44D84"/>
    <w:rsid w:val="00B44FED"/>
    <w:rsid w:val="00B461F9"/>
    <w:rsid w:val="00B46FDC"/>
    <w:rsid w:val="00B50588"/>
    <w:rsid w:val="00B505F8"/>
    <w:rsid w:val="00B512CF"/>
    <w:rsid w:val="00B54DF2"/>
    <w:rsid w:val="00B55184"/>
    <w:rsid w:val="00B55200"/>
    <w:rsid w:val="00B5628D"/>
    <w:rsid w:val="00B569F7"/>
    <w:rsid w:val="00B576A9"/>
    <w:rsid w:val="00B57A74"/>
    <w:rsid w:val="00B60CB9"/>
    <w:rsid w:val="00B61D07"/>
    <w:rsid w:val="00B6246B"/>
    <w:rsid w:val="00B62B3A"/>
    <w:rsid w:val="00B63E4C"/>
    <w:rsid w:val="00B645D1"/>
    <w:rsid w:val="00B64DC4"/>
    <w:rsid w:val="00B65ED5"/>
    <w:rsid w:val="00B66D71"/>
    <w:rsid w:val="00B67532"/>
    <w:rsid w:val="00B67788"/>
    <w:rsid w:val="00B700B7"/>
    <w:rsid w:val="00B716AC"/>
    <w:rsid w:val="00B71B55"/>
    <w:rsid w:val="00B723FA"/>
    <w:rsid w:val="00B72A22"/>
    <w:rsid w:val="00B74BA6"/>
    <w:rsid w:val="00B74D24"/>
    <w:rsid w:val="00B74FFA"/>
    <w:rsid w:val="00B758D8"/>
    <w:rsid w:val="00B75C7D"/>
    <w:rsid w:val="00B772FD"/>
    <w:rsid w:val="00B778F7"/>
    <w:rsid w:val="00B77A41"/>
    <w:rsid w:val="00B82EBC"/>
    <w:rsid w:val="00B83B62"/>
    <w:rsid w:val="00B854CC"/>
    <w:rsid w:val="00B8622F"/>
    <w:rsid w:val="00B87115"/>
    <w:rsid w:val="00B87641"/>
    <w:rsid w:val="00B87A70"/>
    <w:rsid w:val="00B87B1B"/>
    <w:rsid w:val="00B87C05"/>
    <w:rsid w:val="00B87C91"/>
    <w:rsid w:val="00B906DC"/>
    <w:rsid w:val="00B907F5"/>
    <w:rsid w:val="00B92052"/>
    <w:rsid w:val="00B9355F"/>
    <w:rsid w:val="00B93B34"/>
    <w:rsid w:val="00BA009B"/>
    <w:rsid w:val="00BA0929"/>
    <w:rsid w:val="00BA09CA"/>
    <w:rsid w:val="00BA1FBD"/>
    <w:rsid w:val="00BA3782"/>
    <w:rsid w:val="00BA391E"/>
    <w:rsid w:val="00BB0C44"/>
    <w:rsid w:val="00BB1665"/>
    <w:rsid w:val="00BB1B58"/>
    <w:rsid w:val="00BB563D"/>
    <w:rsid w:val="00BB5C99"/>
    <w:rsid w:val="00BB62B2"/>
    <w:rsid w:val="00BB6906"/>
    <w:rsid w:val="00BB7C75"/>
    <w:rsid w:val="00BB7F81"/>
    <w:rsid w:val="00BC1224"/>
    <w:rsid w:val="00BC2971"/>
    <w:rsid w:val="00BC3BFC"/>
    <w:rsid w:val="00BC43F3"/>
    <w:rsid w:val="00BC51B9"/>
    <w:rsid w:val="00BC5E6E"/>
    <w:rsid w:val="00BC5F62"/>
    <w:rsid w:val="00BC688D"/>
    <w:rsid w:val="00BC6A10"/>
    <w:rsid w:val="00BC6DB7"/>
    <w:rsid w:val="00BC723E"/>
    <w:rsid w:val="00BC75C1"/>
    <w:rsid w:val="00BC76EA"/>
    <w:rsid w:val="00BC774A"/>
    <w:rsid w:val="00BC77E7"/>
    <w:rsid w:val="00BC7971"/>
    <w:rsid w:val="00BD006D"/>
    <w:rsid w:val="00BD08A1"/>
    <w:rsid w:val="00BD0B4F"/>
    <w:rsid w:val="00BD1AF2"/>
    <w:rsid w:val="00BD2001"/>
    <w:rsid w:val="00BD2232"/>
    <w:rsid w:val="00BD385E"/>
    <w:rsid w:val="00BD3B1B"/>
    <w:rsid w:val="00BD4B92"/>
    <w:rsid w:val="00BD672A"/>
    <w:rsid w:val="00BE0C7F"/>
    <w:rsid w:val="00BE1E14"/>
    <w:rsid w:val="00BE212C"/>
    <w:rsid w:val="00BE2454"/>
    <w:rsid w:val="00BE28DA"/>
    <w:rsid w:val="00BE449E"/>
    <w:rsid w:val="00BF2C61"/>
    <w:rsid w:val="00BF368C"/>
    <w:rsid w:val="00BF3A2F"/>
    <w:rsid w:val="00BF5576"/>
    <w:rsid w:val="00BF648F"/>
    <w:rsid w:val="00C00259"/>
    <w:rsid w:val="00C007D4"/>
    <w:rsid w:val="00C00975"/>
    <w:rsid w:val="00C00B97"/>
    <w:rsid w:val="00C00C2B"/>
    <w:rsid w:val="00C00F71"/>
    <w:rsid w:val="00C01446"/>
    <w:rsid w:val="00C02A92"/>
    <w:rsid w:val="00C03BD2"/>
    <w:rsid w:val="00C059C9"/>
    <w:rsid w:val="00C05D3A"/>
    <w:rsid w:val="00C06ABA"/>
    <w:rsid w:val="00C075B5"/>
    <w:rsid w:val="00C10AE8"/>
    <w:rsid w:val="00C11334"/>
    <w:rsid w:val="00C11E39"/>
    <w:rsid w:val="00C1280F"/>
    <w:rsid w:val="00C12E0B"/>
    <w:rsid w:val="00C131EB"/>
    <w:rsid w:val="00C14A2F"/>
    <w:rsid w:val="00C16305"/>
    <w:rsid w:val="00C1665E"/>
    <w:rsid w:val="00C16F92"/>
    <w:rsid w:val="00C1777B"/>
    <w:rsid w:val="00C179A1"/>
    <w:rsid w:val="00C21543"/>
    <w:rsid w:val="00C21608"/>
    <w:rsid w:val="00C21C43"/>
    <w:rsid w:val="00C220A2"/>
    <w:rsid w:val="00C22A7B"/>
    <w:rsid w:val="00C23453"/>
    <w:rsid w:val="00C237E4"/>
    <w:rsid w:val="00C23899"/>
    <w:rsid w:val="00C23CC6"/>
    <w:rsid w:val="00C23EFA"/>
    <w:rsid w:val="00C2503A"/>
    <w:rsid w:val="00C27B81"/>
    <w:rsid w:val="00C27D10"/>
    <w:rsid w:val="00C300DD"/>
    <w:rsid w:val="00C30BCE"/>
    <w:rsid w:val="00C31098"/>
    <w:rsid w:val="00C31788"/>
    <w:rsid w:val="00C321C6"/>
    <w:rsid w:val="00C32267"/>
    <w:rsid w:val="00C32E43"/>
    <w:rsid w:val="00C333E3"/>
    <w:rsid w:val="00C35387"/>
    <w:rsid w:val="00C3607E"/>
    <w:rsid w:val="00C36312"/>
    <w:rsid w:val="00C374A6"/>
    <w:rsid w:val="00C375AD"/>
    <w:rsid w:val="00C41A07"/>
    <w:rsid w:val="00C424CE"/>
    <w:rsid w:val="00C430E1"/>
    <w:rsid w:val="00C43BDA"/>
    <w:rsid w:val="00C4511F"/>
    <w:rsid w:val="00C46034"/>
    <w:rsid w:val="00C47C3C"/>
    <w:rsid w:val="00C517FF"/>
    <w:rsid w:val="00C51B9C"/>
    <w:rsid w:val="00C55FDC"/>
    <w:rsid w:val="00C5781E"/>
    <w:rsid w:val="00C57B5B"/>
    <w:rsid w:val="00C61E0F"/>
    <w:rsid w:val="00C653C6"/>
    <w:rsid w:val="00C65475"/>
    <w:rsid w:val="00C6558A"/>
    <w:rsid w:val="00C663B0"/>
    <w:rsid w:val="00C66C8D"/>
    <w:rsid w:val="00C66F56"/>
    <w:rsid w:val="00C70442"/>
    <w:rsid w:val="00C70635"/>
    <w:rsid w:val="00C70D3E"/>
    <w:rsid w:val="00C70F2A"/>
    <w:rsid w:val="00C71E88"/>
    <w:rsid w:val="00C72168"/>
    <w:rsid w:val="00C72C35"/>
    <w:rsid w:val="00C7372A"/>
    <w:rsid w:val="00C749E5"/>
    <w:rsid w:val="00C75899"/>
    <w:rsid w:val="00C75DD7"/>
    <w:rsid w:val="00C8024F"/>
    <w:rsid w:val="00C82213"/>
    <w:rsid w:val="00C83D8E"/>
    <w:rsid w:val="00C86998"/>
    <w:rsid w:val="00C86BC2"/>
    <w:rsid w:val="00C90436"/>
    <w:rsid w:val="00C90DC9"/>
    <w:rsid w:val="00C9143D"/>
    <w:rsid w:val="00C91D7A"/>
    <w:rsid w:val="00C91F8C"/>
    <w:rsid w:val="00C9383F"/>
    <w:rsid w:val="00C954D1"/>
    <w:rsid w:val="00C95780"/>
    <w:rsid w:val="00C968D7"/>
    <w:rsid w:val="00CA0958"/>
    <w:rsid w:val="00CA11A2"/>
    <w:rsid w:val="00CA1400"/>
    <w:rsid w:val="00CA2033"/>
    <w:rsid w:val="00CA5276"/>
    <w:rsid w:val="00CA530F"/>
    <w:rsid w:val="00CA663D"/>
    <w:rsid w:val="00CA7BD1"/>
    <w:rsid w:val="00CB01F0"/>
    <w:rsid w:val="00CB054E"/>
    <w:rsid w:val="00CB0B6F"/>
    <w:rsid w:val="00CB0DCC"/>
    <w:rsid w:val="00CB3447"/>
    <w:rsid w:val="00CB563A"/>
    <w:rsid w:val="00CB58E4"/>
    <w:rsid w:val="00CB6D45"/>
    <w:rsid w:val="00CB79F7"/>
    <w:rsid w:val="00CC003E"/>
    <w:rsid w:val="00CC0B51"/>
    <w:rsid w:val="00CC0C3B"/>
    <w:rsid w:val="00CC0CA9"/>
    <w:rsid w:val="00CC1440"/>
    <w:rsid w:val="00CC2554"/>
    <w:rsid w:val="00CC2DBF"/>
    <w:rsid w:val="00CC389F"/>
    <w:rsid w:val="00CC3975"/>
    <w:rsid w:val="00CD0392"/>
    <w:rsid w:val="00CD1FC1"/>
    <w:rsid w:val="00CD2703"/>
    <w:rsid w:val="00CD2D79"/>
    <w:rsid w:val="00CD3650"/>
    <w:rsid w:val="00CD37DF"/>
    <w:rsid w:val="00CD38BE"/>
    <w:rsid w:val="00CD3941"/>
    <w:rsid w:val="00CD4DE6"/>
    <w:rsid w:val="00CD5E43"/>
    <w:rsid w:val="00CD5F04"/>
    <w:rsid w:val="00CD6132"/>
    <w:rsid w:val="00CD6598"/>
    <w:rsid w:val="00CE0390"/>
    <w:rsid w:val="00CE2142"/>
    <w:rsid w:val="00CE27A8"/>
    <w:rsid w:val="00CE32AE"/>
    <w:rsid w:val="00CE3BF7"/>
    <w:rsid w:val="00CE484D"/>
    <w:rsid w:val="00CE550A"/>
    <w:rsid w:val="00CE550D"/>
    <w:rsid w:val="00CE67D4"/>
    <w:rsid w:val="00CE7CC3"/>
    <w:rsid w:val="00CF18D6"/>
    <w:rsid w:val="00CF19A3"/>
    <w:rsid w:val="00CF3139"/>
    <w:rsid w:val="00CF4630"/>
    <w:rsid w:val="00CF5FE2"/>
    <w:rsid w:val="00D00597"/>
    <w:rsid w:val="00D0069E"/>
    <w:rsid w:val="00D01D5C"/>
    <w:rsid w:val="00D0290A"/>
    <w:rsid w:val="00D0316C"/>
    <w:rsid w:val="00D05E72"/>
    <w:rsid w:val="00D06C80"/>
    <w:rsid w:val="00D06E36"/>
    <w:rsid w:val="00D079F4"/>
    <w:rsid w:val="00D103D0"/>
    <w:rsid w:val="00D10E11"/>
    <w:rsid w:val="00D10FDF"/>
    <w:rsid w:val="00D13C29"/>
    <w:rsid w:val="00D13EAB"/>
    <w:rsid w:val="00D13FA9"/>
    <w:rsid w:val="00D140C4"/>
    <w:rsid w:val="00D145CC"/>
    <w:rsid w:val="00D165D8"/>
    <w:rsid w:val="00D20061"/>
    <w:rsid w:val="00D20703"/>
    <w:rsid w:val="00D20AD9"/>
    <w:rsid w:val="00D214CE"/>
    <w:rsid w:val="00D22983"/>
    <w:rsid w:val="00D22F6D"/>
    <w:rsid w:val="00D233A8"/>
    <w:rsid w:val="00D253EF"/>
    <w:rsid w:val="00D258B7"/>
    <w:rsid w:val="00D260D9"/>
    <w:rsid w:val="00D31B56"/>
    <w:rsid w:val="00D33B67"/>
    <w:rsid w:val="00D33BE9"/>
    <w:rsid w:val="00D344FA"/>
    <w:rsid w:val="00D35333"/>
    <w:rsid w:val="00D368EC"/>
    <w:rsid w:val="00D36DF7"/>
    <w:rsid w:val="00D36EED"/>
    <w:rsid w:val="00D37BF1"/>
    <w:rsid w:val="00D41C7C"/>
    <w:rsid w:val="00D42B03"/>
    <w:rsid w:val="00D44411"/>
    <w:rsid w:val="00D44970"/>
    <w:rsid w:val="00D45BA9"/>
    <w:rsid w:val="00D45F4B"/>
    <w:rsid w:val="00D467C3"/>
    <w:rsid w:val="00D46895"/>
    <w:rsid w:val="00D50B98"/>
    <w:rsid w:val="00D51EB7"/>
    <w:rsid w:val="00D52CB8"/>
    <w:rsid w:val="00D53814"/>
    <w:rsid w:val="00D547BC"/>
    <w:rsid w:val="00D5593D"/>
    <w:rsid w:val="00D55C14"/>
    <w:rsid w:val="00D60D6B"/>
    <w:rsid w:val="00D64681"/>
    <w:rsid w:val="00D64989"/>
    <w:rsid w:val="00D65392"/>
    <w:rsid w:val="00D653D9"/>
    <w:rsid w:val="00D67438"/>
    <w:rsid w:val="00D70449"/>
    <w:rsid w:val="00D71DF6"/>
    <w:rsid w:val="00D71F6A"/>
    <w:rsid w:val="00D7277A"/>
    <w:rsid w:val="00D72D21"/>
    <w:rsid w:val="00D73628"/>
    <w:rsid w:val="00D7444A"/>
    <w:rsid w:val="00D768B1"/>
    <w:rsid w:val="00D7742D"/>
    <w:rsid w:val="00D81C8F"/>
    <w:rsid w:val="00D82015"/>
    <w:rsid w:val="00D82CF0"/>
    <w:rsid w:val="00D83023"/>
    <w:rsid w:val="00D869A0"/>
    <w:rsid w:val="00D86F7F"/>
    <w:rsid w:val="00D87C00"/>
    <w:rsid w:val="00D9009D"/>
    <w:rsid w:val="00D90150"/>
    <w:rsid w:val="00D90980"/>
    <w:rsid w:val="00D9392B"/>
    <w:rsid w:val="00D94441"/>
    <w:rsid w:val="00D96D29"/>
    <w:rsid w:val="00DA02C1"/>
    <w:rsid w:val="00DA2900"/>
    <w:rsid w:val="00DA35DD"/>
    <w:rsid w:val="00DA447F"/>
    <w:rsid w:val="00DA51F8"/>
    <w:rsid w:val="00DA5228"/>
    <w:rsid w:val="00DA66EE"/>
    <w:rsid w:val="00DA7DF3"/>
    <w:rsid w:val="00DB082E"/>
    <w:rsid w:val="00DB1603"/>
    <w:rsid w:val="00DB17B3"/>
    <w:rsid w:val="00DB3639"/>
    <w:rsid w:val="00DB7108"/>
    <w:rsid w:val="00DB7DB2"/>
    <w:rsid w:val="00DB7E0C"/>
    <w:rsid w:val="00DB7EC8"/>
    <w:rsid w:val="00DC0519"/>
    <w:rsid w:val="00DC0D40"/>
    <w:rsid w:val="00DC169B"/>
    <w:rsid w:val="00DC39F6"/>
    <w:rsid w:val="00DC671C"/>
    <w:rsid w:val="00DC6EE9"/>
    <w:rsid w:val="00DC77B1"/>
    <w:rsid w:val="00DD06D2"/>
    <w:rsid w:val="00DD0D82"/>
    <w:rsid w:val="00DD0FD6"/>
    <w:rsid w:val="00DD10E3"/>
    <w:rsid w:val="00DD1FDE"/>
    <w:rsid w:val="00DD20BF"/>
    <w:rsid w:val="00DD25B0"/>
    <w:rsid w:val="00DD38ED"/>
    <w:rsid w:val="00DD3B45"/>
    <w:rsid w:val="00DD3EF7"/>
    <w:rsid w:val="00DD459B"/>
    <w:rsid w:val="00DD4898"/>
    <w:rsid w:val="00DD630F"/>
    <w:rsid w:val="00DD64DA"/>
    <w:rsid w:val="00DD6C08"/>
    <w:rsid w:val="00DD7215"/>
    <w:rsid w:val="00DE0924"/>
    <w:rsid w:val="00DE2DC1"/>
    <w:rsid w:val="00DE390F"/>
    <w:rsid w:val="00DE3D67"/>
    <w:rsid w:val="00DE4032"/>
    <w:rsid w:val="00DE4ADA"/>
    <w:rsid w:val="00DE509F"/>
    <w:rsid w:val="00DE50CD"/>
    <w:rsid w:val="00DE7404"/>
    <w:rsid w:val="00DE7612"/>
    <w:rsid w:val="00DF11B5"/>
    <w:rsid w:val="00DF19BC"/>
    <w:rsid w:val="00DF1C44"/>
    <w:rsid w:val="00DF1DF7"/>
    <w:rsid w:val="00DF277F"/>
    <w:rsid w:val="00DF2B94"/>
    <w:rsid w:val="00DF3FCE"/>
    <w:rsid w:val="00DF46B7"/>
    <w:rsid w:val="00DF471A"/>
    <w:rsid w:val="00DF59BA"/>
    <w:rsid w:val="00DF711D"/>
    <w:rsid w:val="00DF7627"/>
    <w:rsid w:val="00DF7DC8"/>
    <w:rsid w:val="00E02C09"/>
    <w:rsid w:val="00E03BC5"/>
    <w:rsid w:val="00E04911"/>
    <w:rsid w:val="00E05D98"/>
    <w:rsid w:val="00E06542"/>
    <w:rsid w:val="00E073D8"/>
    <w:rsid w:val="00E07EA6"/>
    <w:rsid w:val="00E10A20"/>
    <w:rsid w:val="00E10DA9"/>
    <w:rsid w:val="00E12781"/>
    <w:rsid w:val="00E1391C"/>
    <w:rsid w:val="00E14A6B"/>
    <w:rsid w:val="00E14B8E"/>
    <w:rsid w:val="00E16CB1"/>
    <w:rsid w:val="00E17348"/>
    <w:rsid w:val="00E17CCD"/>
    <w:rsid w:val="00E21A31"/>
    <w:rsid w:val="00E21A81"/>
    <w:rsid w:val="00E23CC0"/>
    <w:rsid w:val="00E23DE6"/>
    <w:rsid w:val="00E25C31"/>
    <w:rsid w:val="00E27417"/>
    <w:rsid w:val="00E27787"/>
    <w:rsid w:val="00E30140"/>
    <w:rsid w:val="00E3086C"/>
    <w:rsid w:val="00E34A41"/>
    <w:rsid w:val="00E36F94"/>
    <w:rsid w:val="00E3722F"/>
    <w:rsid w:val="00E41CF4"/>
    <w:rsid w:val="00E42CB8"/>
    <w:rsid w:val="00E43820"/>
    <w:rsid w:val="00E44C16"/>
    <w:rsid w:val="00E44E4E"/>
    <w:rsid w:val="00E45863"/>
    <w:rsid w:val="00E45CFE"/>
    <w:rsid w:val="00E46945"/>
    <w:rsid w:val="00E47841"/>
    <w:rsid w:val="00E5007F"/>
    <w:rsid w:val="00E5009B"/>
    <w:rsid w:val="00E50D0C"/>
    <w:rsid w:val="00E5125B"/>
    <w:rsid w:val="00E5129B"/>
    <w:rsid w:val="00E5379A"/>
    <w:rsid w:val="00E57113"/>
    <w:rsid w:val="00E57406"/>
    <w:rsid w:val="00E574F5"/>
    <w:rsid w:val="00E576A1"/>
    <w:rsid w:val="00E577FA"/>
    <w:rsid w:val="00E60D68"/>
    <w:rsid w:val="00E612EF"/>
    <w:rsid w:val="00E62945"/>
    <w:rsid w:val="00E63BDC"/>
    <w:rsid w:val="00E7178A"/>
    <w:rsid w:val="00E71968"/>
    <w:rsid w:val="00E73554"/>
    <w:rsid w:val="00E73BFD"/>
    <w:rsid w:val="00E753D1"/>
    <w:rsid w:val="00E75771"/>
    <w:rsid w:val="00E757A0"/>
    <w:rsid w:val="00E75C37"/>
    <w:rsid w:val="00E762BC"/>
    <w:rsid w:val="00E763B5"/>
    <w:rsid w:val="00E76524"/>
    <w:rsid w:val="00E77C4B"/>
    <w:rsid w:val="00E807DC"/>
    <w:rsid w:val="00E81B57"/>
    <w:rsid w:val="00E82113"/>
    <w:rsid w:val="00E83141"/>
    <w:rsid w:val="00E831AC"/>
    <w:rsid w:val="00E837F9"/>
    <w:rsid w:val="00E8544D"/>
    <w:rsid w:val="00E86519"/>
    <w:rsid w:val="00E86696"/>
    <w:rsid w:val="00E872E5"/>
    <w:rsid w:val="00E9125E"/>
    <w:rsid w:val="00E91710"/>
    <w:rsid w:val="00E91EDA"/>
    <w:rsid w:val="00E91F57"/>
    <w:rsid w:val="00E92A49"/>
    <w:rsid w:val="00E9356E"/>
    <w:rsid w:val="00EA2F45"/>
    <w:rsid w:val="00EA4D77"/>
    <w:rsid w:val="00EA599F"/>
    <w:rsid w:val="00EA69DC"/>
    <w:rsid w:val="00EA6B87"/>
    <w:rsid w:val="00EA7632"/>
    <w:rsid w:val="00EB0142"/>
    <w:rsid w:val="00EB051F"/>
    <w:rsid w:val="00EB0901"/>
    <w:rsid w:val="00EB0A31"/>
    <w:rsid w:val="00EB18C7"/>
    <w:rsid w:val="00EB1C42"/>
    <w:rsid w:val="00EB38F1"/>
    <w:rsid w:val="00EB3EB2"/>
    <w:rsid w:val="00EB45B5"/>
    <w:rsid w:val="00EC0F74"/>
    <w:rsid w:val="00EC1F65"/>
    <w:rsid w:val="00EC30F3"/>
    <w:rsid w:val="00EC3185"/>
    <w:rsid w:val="00EC32BB"/>
    <w:rsid w:val="00EC38C2"/>
    <w:rsid w:val="00EC4D52"/>
    <w:rsid w:val="00EC505A"/>
    <w:rsid w:val="00EC5318"/>
    <w:rsid w:val="00EC68C7"/>
    <w:rsid w:val="00EC7255"/>
    <w:rsid w:val="00ED2BC0"/>
    <w:rsid w:val="00ED4152"/>
    <w:rsid w:val="00ED4CFE"/>
    <w:rsid w:val="00ED531C"/>
    <w:rsid w:val="00ED5516"/>
    <w:rsid w:val="00ED6B2C"/>
    <w:rsid w:val="00ED7305"/>
    <w:rsid w:val="00EE019C"/>
    <w:rsid w:val="00EE03D2"/>
    <w:rsid w:val="00EE10EF"/>
    <w:rsid w:val="00EE1531"/>
    <w:rsid w:val="00EE30E9"/>
    <w:rsid w:val="00EE5077"/>
    <w:rsid w:val="00EE5D52"/>
    <w:rsid w:val="00EE6A9F"/>
    <w:rsid w:val="00EE7E42"/>
    <w:rsid w:val="00EF084F"/>
    <w:rsid w:val="00EF26D6"/>
    <w:rsid w:val="00EF3256"/>
    <w:rsid w:val="00EF4F58"/>
    <w:rsid w:val="00EF5946"/>
    <w:rsid w:val="00EF6153"/>
    <w:rsid w:val="00EF62FA"/>
    <w:rsid w:val="00EF7D74"/>
    <w:rsid w:val="00F000C3"/>
    <w:rsid w:val="00F02A1A"/>
    <w:rsid w:val="00F03ECB"/>
    <w:rsid w:val="00F05FE3"/>
    <w:rsid w:val="00F06F0F"/>
    <w:rsid w:val="00F07592"/>
    <w:rsid w:val="00F1094B"/>
    <w:rsid w:val="00F11AAE"/>
    <w:rsid w:val="00F11B39"/>
    <w:rsid w:val="00F1390D"/>
    <w:rsid w:val="00F13A7E"/>
    <w:rsid w:val="00F14032"/>
    <w:rsid w:val="00F14E6B"/>
    <w:rsid w:val="00F17CDB"/>
    <w:rsid w:val="00F20AC9"/>
    <w:rsid w:val="00F23DFE"/>
    <w:rsid w:val="00F241F0"/>
    <w:rsid w:val="00F25B74"/>
    <w:rsid w:val="00F2623F"/>
    <w:rsid w:val="00F27A5B"/>
    <w:rsid w:val="00F27AB1"/>
    <w:rsid w:val="00F3100A"/>
    <w:rsid w:val="00F31B59"/>
    <w:rsid w:val="00F34322"/>
    <w:rsid w:val="00F35B5B"/>
    <w:rsid w:val="00F35BF1"/>
    <w:rsid w:val="00F363D7"/>
    <w:rsid w:val="00F36944"/>
    <w:rsid w:val="00F36F75"/>
    <w:rsid w:val="00F37626"/>
    <w:rsid w:val="00F37DE6"/>
    <w:rsid w:val="00F402B7"/>
    <w:rsid w:val="00F40B19"/>
    <w:rsid w:val="00F41119"/>
    <w:rsid w:val="00F4113D"/>
    <w:rsid w:val="00F416D0"/>
    <w:rsid w:val="00F42725"/>
    <w:rsid w:val="00F4277D"/>
    <w:rsid w:val="00F4367C"/>
    <w:rsid w:val="00F43C6D"/>
    <w:rsid w:val="00F447A7"/>
    <w:rsid w:val="00F448B4"/>
    <w:rsid w:val="00F44BFC"/>
    <w:rsid w:val="00F46052"/>
    <w:rsid w:val="00F4648B"/>
    <w:rsid w:val="00F46C3D"/>
    <w:rsid w:val="00F47214"/>
    <w:rsid w:val="00F47C8E"/>
    <w:rsid w:val="00F51245"/>
    <w:rsid w:val="00F5224E"/>
    <w:rsid w:val="00F549FA"/>
    <w:rsid w:val="00F54B88"/>
    <w:rsid w:val="00F55080"/>
    <w:rsid w:val="00F55FB3"/>
    <w:rsid w:val="00F57B5C"/>
    <w:rsid w:val="00F57C58"/>
    <w:rsid w:val="00F63D33"/>
    <w:rsid w:val="00F65892"/>
    <w:rsid w:val="00F673FB"/>
    <w:rsid w:val="00F67597"/>
    <w:rsid w:val="00F7280B"/>
    <w:rsid w:val="00F73335"/>
    <w:rsid w:val="00F74074"/>
    <w:rsid w:val="00F748AD"/>
    <w:rsid w:val="00F75262"/>
    <w:rsid w:val="00F75476"/>
    <w:rsid w:val="00F75C07"/>
    <w:rsid w:val="00F7627A"/>
    <w:rsid w:val="00F76B05"/>
    <w:rsid w:val="00F771D1"/>
    <w:rsid w:val="00F8021D"/>
    <w:rsid w:val="00F804CA"/>
    <w:rsid w:val="00F81793"/>
    <w:rsid w:val="00F81D0B"/>
    <w:rsid w:val="00F82ED2"/>
    <w:rsid w:val="00F83DC0"/>
    <w:rsid w:val="00F8570C"/>
    <w:rsid w:val="00F85C51"/>
    <w:rsid w:val="00F85C92"/>
    <w:rsid w:val="00F90779"/>
    <w:rsid w:val="00F909EC"/>
    <w:rsid w:val="00F91DEE"/>
    <w:rsid w:val="00F937D3"/>
    <w:rsid w:val="00F948FC"/>
    <w:rsid w:val="00F95557"/>
    <w:rsid w:val="00F96207"/>
    <w:rsid w:val="00F96538"/>
    <w:rsid w:val="00FA03C6"/>
    <w:rsid w:val="00FA05A1"/>
    <w:rsid w:val="00FA1387"/>
    <w:rsid w:val="00FA29B3"/>
    <w:rsid w:val="00FA2BD6"/>
    <w:rsid w:val="00FA45F2"/>
    <w:rsid w:val="00FA5BA6"/>
    <w:rsid w:val="00FA6238"/>
    <w:rsid w:val="00FB0677"/>
    <w:rsid w:val="00FB10E7"/>
    <w:rsid w:val="00FB2460"/>
    <w:rsid w:val="00FB3D19"/>
    <w:rsid w:val="00FB4650"/>
    <w:rsid w:val="00FB4BDA"/>
    <w:rsid w:val="00FB521D"/>
    <w:rsid w:val="00FB6004"/>
    <w:rsid w:val="00FB6816"/>
    <w:rsid w:val="00FB6AFA"/>
    <w:rsid w:val="00FB6EAF"/>
    <w:rsid w:val="00FC1F80"/>
    <w:rsid w:val="00FC2BA8"/>
    <w:rsid w:val="00FC3E52"/>
    <w:rsid w:val="00FD0F70"/>
    <w:rsid w:val="00FD12C7"/>
    <w:rsid w:val="00FD6BD7"/>
    <w:rsid w:val="00FD7356"/>
    <w:rsid w:val="00FD7D75"/>
    <w:rsid w:val="00FE1054"/>
    <w:rsid w:val="00FE12B6"/>
    <w:rsid w:val="00FE1BB7"/>
    <w:rsid w:val="00FE1BD7"/>
    <w:rsid w:val="00FE3893"/>
    <w:rsid w:val="00FE5562"/>
    <w:rsid w:val="00FE6396"/>
    <w:rsid w:val="00FE6F81"/>
    <w:rsid w:val="00FF12D2"/>
    <w:rsid w:val="00FF1D26"/>
    <w:rsid w:val="00FF362C"/>
    <w:rsid w:val="00FF3E8F"/>
    <w:rsid w:val="00FF4346"/>
    <w:rsid w:val="00FF4871"/>
    <w:rsid w:val="00FF5053"/>
    <w:rsid w:val="00FF580C"/>
    <w:rsid w:val="00FF611B"/>
    <w:rsid w:val="00FF73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30C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1" w:qFormat="1"/>
    <w:lsdException w:name="heading 3" w:uiPriority="0"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locked="1" w:semiHidden="1" w:uiPriority="0"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0"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2"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lsdException w:name="Body Text Indent 2" w:semiHidden="1" w:uiPriority="0"/>
    <w:lsdException w:name="Body Text Indent 3" w:semiHidden="1"/>
    <w:lsdException w:name="Block Text" w:semiHidden="1" w:uiPriority="0"/>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ocked="1" w:uiPriority="1" w:qFormat="1"/>
    <w:lsdException w:name="Medium Grid 3" w:locked="1" w:uiPriority="60"/>
    <w:lsdException w:name="Dark List" w:locked="1" w:uiPriority="61"/>
    <w:lsdException w:name="Colorful Shading" w:locked="1" w:uiPriority="62"/>
    <w:lsdException w:name="Colorful List" w:locked="1" w:uiPriority="63"/>
    <w:lsdException w:name="Colorful Grid" w:locked="1" w:uiPriority="64"/>
    <w:lsdException w:name="Light Shading Accent 1" w:locked="1" w:uiPriority="65"/>
    <w:lsdException w:name="Light List Accent 1" w:locked="1" w:uiPriority="66"/>
    <w:lsdException w:name="Light Grid Accent 1" w:locked="1" w:uiPriority="67"/>
    <w:lsdException w:name="Medium Shading 1 Accent 1" w:locked="1" w:uiPriority="68"/>
    <w:lsdException w:name="Medium Shading 2 Accent 1" w:locked="1" w:uiPriority="69"/>
    <w:lsdException w:name="Medium List 1 Accent 1" w:locked="1" w:uiPriority="70"/>
    <w:lsdException w:name="Revision" w:locked="1" w:semiHidden="1" w:unhideWhenUsed="1"/>
    <w:lsdException w:name="List Paragraph" w:locked="1" w:uiPriority="34" w:qFormat="1"/>
    <w:lsdException w:name="Quote" w:locked="1" w:uiPriority="73" w:qFormat="1"/>
    <w:lsdException w:name="Intense Quote" w:locked="1" w:uiPriority="60" w:qFormat="1"/>
    <w:lsdException w:name="Medium List 2 Accent 1" w:locked="1" w:uiPriority="61"/>
    <w:lsdException w:name="Medium Grid 1 Accent 1" w:locked="1" w:uiPriority="62"/>
    <w:lsdException w:name="Medium Grid 2 Accent 1" w:locked="1" w:uiPriority="63"/>
    <w:lsdException w:name="Medium Grid 3 Accent 1" w:locked="1" w:uiPriority="64"/>
    <w:lsdException w:name="Dark List Accent 1" w:locked="1" w:uiPriority="65"/>
    <w:lsdException w:name="Colorful Shading Accent 1"/>
    <w:lsdException w:name="Colorful List Accent 1" w:locked="1" w:uiPriority="34" w:qFormat="1"/>
    <w:lsdException w:name="Colorful Grid Accent 1" w:locked="1" w:uiPriority="29"/>
    <w:lsdException w:name="Light Shading Accent 2" w:locked="1" w:uiPriority="30" w:qFormat="1"/>
    <w:lsdException w:name="Light List Accent 2" w:locked="1" w:uiPriority="66"/>
    <w:lsdException w:name="Light Grid Accent 2" w:locked="1" w:uiPriority="67"/>
    <w:lsdException w:name="Medium Shading 1 Accent 2" w:locked="1" w:uiPriority="68"/>
    <w:lsdException w:name="Medium Shading 2 Accent 2" w:locked="1" w:uiPriority="69"/>
    <w:lsdException w:name="Medium List 1 Accent 2" w:locked="1" w:uiPriority="70"/>
    <w:lsdException w:name="Medium List 2 Accent 2" w:locked="1" w:uiPriority="71"/>
    <w:lsdException w:name="Medium Grid 1 Accent 2" w:locked="1" w:uiPriority="72"/>
    <w:lsdException w:name="Medium Grid 2 Accent 2" w:locked="1" w:uiPriority="73"/>
    <w:lsdException w:name="Medium Grid 3 Accent 2" w:locked="1" w:uiPriority="60"/>
    <w:lsdException w:name="Dark List Accent 2" w:locked="1" w:uiPriority="61"/>
    <w:lsdException w:name="Colorful Shading Accent 2" w:locked="1" w:uiPriority="62"/>
    <w:lsdException w:name="Colorful List Accent 2" w:locked="1" w:uiPriority="63"/>
    <w:lsdException w:name="Colorful Grid Accent 2" w:locked="1" w:uiPriority="64"/>
    <w:lsdException w:name="Light Shading Accent 3" w:locked="1" w:uiPriority="65"/>
    <w:lsdException w:name="Light List Accent 3" w:locked="1" w:uiPriority="66"/>
    <w:lsdException w:name="Light Grid Accent 3" w:locked="1" w:uiPriority="67"/>
    <w:lsdException w:name="Medium Shading 1 Accent 3" w:locked="1" w:uiPriority="68"/>
    <w:lsdException w:name="Medium Shading 2 Accent 3" w:locked="1" w:uiPriority="69"/>
    <w:lsdException w:name="Medium List 1 Accent 3" w:locked="1" w:uiPriority="70"/>
    <w:lsdException w:name="Medium List 2 Accent 3" w:locked="1" w:uiPriority="71"/>
    <w:lsdException w:name="Medium Grid 1 Accent 3" w:locked="1" w:uiPriority="72"/>
    <w:lsdException w:name="Medium Grid 2 Accent 3" w:locked="1" w:uiPriority="73"/>
    <w:lsdException w:name="Medium Grid 3 Accent 3" w:locked="1" w:uiPriority="60"/>
    <w:lsdException w:name="Dark List Accent 3" w:locked="1" w:uiPriority="61"/>
    <w:lsdException w:name="Colorful Shading Accent 3" w:locked="1" w:uiPriority="62"/>
    <w:lsdException w:name="Colorful List Accent 3" w:locked="1" w:uiPriority="63"/>
    <w:lsdException w:name="Colorful Grid Accent 3" w:locked="1" w:uiPriority="64"/>
    <w:lsdException w:name="Light Shading Accent 4" w:locked="1" w:uiPriority="65"/>
    <w:lsdException w:name="Light List Accent 4" w:locked="1" w:uiPriority="66"/>
    <w:lsdException w:name="Light Grid Accent 4" w:locked="1" w:uiPriority="67"/>
    <w:lsdException w:name="Medium Shading 1 Accent 4" w:locked="1" w:uiPriority="68"/>
    <w:lsdException w:name="Medium Shading 2 Accent 4" w:locked="1" w:uiPriority="69"/>
    <w:lsdException w:name="Medium List 1 Accent 4" w:locked="1" w:uiPriority="70"/>
    <w:lsdException w:name="Medium List 2 Accent 4" w:locked="1" w:uiPriority="71"/>
    <w:lsdException w:name="Medium Grid 1 Accent 4" w:locked="1" w:uiPriority="72"/>
    <w:lsdException w:name="Medium Grid 2 Accent 4" w:locked="1" w:uiPriority="73"/>
    <w:lsdException w:name="Medium Grid 3 Accent 4" w:locked="1" w:uiPriority="60"/>
    <w:lsdException w:name="Dark List Accent 4" w:locked="1" w:uiPriority="61"/>
    <w:lsdException w:name="Colorful Shading Accent 4" w:locked="1" w:uiPriority="62"/>
    <w:lsdException w:name="Colorful List Accent 4" w:locked="1" w:uiPriority="63"/>
    <w:lsdException w:name="Colorful Grid Accent 4" w:locked="1" w:uiPriority="64"/>
    <w:lsdException w:name="Light Shading Accent 5" w:locked="1" w:uiPriority="65"/>
    <w:lsdException w:name="Light List Accent 5" w:locked="1" w:uiPriority="66"/>
    <w:lsdException w:name="Light Grid Accent 5" w:locked="1" w:uiPriority="67"/>
    <w:lsdException w:name="Medium Shading 1 Accent 5" w:locked="1" w:uiPriority="68"/>
    <w:lsdException w:name="Medium Shading 2 Accent 5" w:locked="1" w:uiPriority="69"/>
    <w:lsdException w:name="Medium List 1 Accent 5" w:locked="1" w:uiPriority="70"/>
    <w:lsdException w:name="Medium List 2 Accent 5" w:locked="1" w:uiPriority="71"/>
    <w:lsdException w:name="Medium Grid 1 Accent 5" w:locked="1" w:uiPriority="72"/>
    <w:lsdException w:name="Medium Grid 2 Accent 5" w:locked="1" w:uiPriority="73"/>
    <w:lsdException w:name="Medium Grid 3 Accent 5" w:locked="1" w:uiPriority="60"/>
    <w:lsdException w:name="Dark List Accent 5" w:locked="1" w:uiPriority="61"/>
    <w:lsdException w:name="Colorful Shading Accent 5" w:locked="1" w:uiPriority="62"/>
    <w:lsdException w:name="Colorful List Accent 5" w:locked="1" w:uiPriority="63"/>
    <w:lsdException w:name="Colorful Grid Accent 5" w:locked="1" w:uiPriority="64"/>
    <w:lsdException w:name="Light Shading Accent 6" w:locked="1" w:uiPriority="65"/>
    <w:lsdException w:name="Light List Accent 6" w:locked="1" w:uiPriority="66"/>
    <w:lsdException w:name="Light Grid Accent 6" w:locked="1" w:uiPriority="67"/>
    <w:lsdException w:name="Medium Shading 1 Accent 6" w:locked="1" w:uiPriority="68"/>
    <w:lsdException w:name="Medium Shading 2 Accent 6" w:locked="1" w:uiPriority="69"/>
    <w:lsdException w:name="Medium List 1 Accent 6" w:locked="1" w:uiPriority="70"/>
    <w:lsdException w:name="Medium List 2 Accent 6" w:locked="1" w:uiPriority="71"/>
    <w:lsdException w:name="Medium Grid 1 Accent 6" w:locked="1" w:uiPriority="72"/>
    <w:lsdException w:name="Medium Grid 2 Accent 6" w:locked="1" w:uiPriority="73"/>
    <w:lsdException w:name="Medium Grid 3 Accent 6" w:locked="1" w:uiPriority="60"/>
    <w:lsdException w:name="Dark List Accent 6" w:locked="1" w:uiPriority="61"/>
    <w:lsdException w:name="Colorful Shading Accent 6" w:locked="1" w:uiPriority="62"/>
    <w:lsdException w:name="Colorful List Accent 6" w:locked="1" w:uiPriority="63"/>
    <w:lsdException w:name="Colorful Grid Accent 6" w:locked="1" w:uiPriority="64"/>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70" w:unhideWhenUsed="1"/>
    <w:lsdException w:name="TOC Heading" w:locked="1" w:semiHidden="1" w:unhideWhenUsed="1" w:qFormat="1"/>
    <w:lsdException w:name="Plain Table 1" w:locked="1" w:uiPriority="72"/>
    <w:lsdException w:name="Plain Table 2" w:locked="1" w:uiPriority="73"/>
    <w:lsdException w:name="Plain Table 3" w:locked="1" w:uiPriority="19"/>
    <w:lsdException w:name="Plain Table 4" w:locked="1" w:uiPriority="21"/>
    <w:lsdException w:name="Plain Table 5" w:locked="1" w:uiPriority="31"/>
    <w:lsdException w:name="Grid Table Light" w:locked="1" w:uiPriority="32"/>
    <w:lsdException w:name="Grid Table 1 Light" w:locked="1" w:uiPriority="33"/>
    <w:lsdException w:name="Grid Table 2" w:locked="1" w:uiPriority="37"/>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9"/>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8"/>
    <w:lsdException w:name="List Table 4 Accent 1" w:uiPriority="49"/>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uiPriority w:val="1"/>
    <w:qFormat/>
    <w:rsid w:val="00F41119"/>
    <w:pPr>
      <w:spacing w:after="240" w:line="244" w:lineRule="atLeast"/>
      <w:jc w:val="both"/>
    </w:pPr>
    <w:rPr>
      <w:rFonts w:ascii="Public Sans Light" w:hAnsi="Public Sans Light"/>
      <w:sz w:val="22"/>
      <w:szCs w:val="24"/>
      <w:lang w:eastAsia="en-US"/>
    </w:rPr>
  </w:style>
  <w:style w:type="paragraph" w:styleId="Heading1">
    <w:name w:val="heading 1"/>
    <w:basedOn w:val="Normal"/>
    <w:next w:val="NormalAutoChapter"/>
    <w:link w:val="Heading1Char"/>
    <w:uiPriority w:val="9"/>
    <w:qFormat/>
    <w:rsid w:val="00240625"/>
    <w:pPr>
      <w:keepNext/>
      <w:spacing w:before="360" w:after="0" w:line="420" w:lineRule="atLeast"/>
      <w:ind w:left="720"/>
      <w:jc w:val="left"/>
      <w:outlineLvl w:val="0"/>
    </w:pPr>
    <w:rPr>
      <w:rFonts w:ascii="Public Sans" w:hAnsi="Public Sans" w:cs="Arial"/>
      <w:b/>
      <w:bCs/>
      <w:color w:val="002664"/>
      <w:kern w:val="32"/>
      <w:sz w:val="36"/>
      <w:szCs w:val="32"/>
    </w:rPr>
  </w:style>
  <w:style w:type="paragraph" w:styleId="Heading2">
    <w:name w:val="heading 2"/>
    <w:basedOn w:val="Heading1"/>
    <w:next w:val="NormalAutoChapter"/>
    <w:link w:val="Heading2Char"/>
    <w:uiPriority w:val="1"/>
    <w:qFormat/>
    <w:rsid w:val="00240625"/>
    <w:pPr>
      <w:spacing w:before="240" w:line="320" w:lineRule="atLeast"/>
      <w:outlineLvl w:val="1"/>
    </w:pPr>
    <w:rPr>
      <w:bCs w:val="0"/>
      <w:iCs/>
      <w:sz w:val="28"/>
      <w:szCs w:val="28"/>
    </w:rPr>
  </w:style>
  <w:style w:type="paragraph" w:styleId="Heading3">
    <w:name w:val="heading 3"/>
    <w:basedOn w:val="Heading2"/>
    <w:next w:val="NormalAutoChapter"/>
    <w:link w:val="Heading3Char"/>
    <w:qFormat/>
    <w:rsid w:val="000A533F"/>
    <w:pPr>
      <w:spacing w:line="280" w:lineRule="atLeast"/>
      <w:outlineLvl w:val="2"/>
    </w:pPr>
    <w:rPr>
      <w:bCs/>
      <w:color w:val="000000"/>
      <w:sz w:val="24"/>
      <w:szCs w:val="26"/>
    </w:rPr>
  </w:style>
  <w:style w:type="paragraph" w:styleId="Heading4">
    <w:name w:val="heading 4"/>
    <w:basedOn w:val="Heading3"/>
    <w:next w:val="Normal"/>
    <w:link w:val="Heading4Char"/>
    <w:uiPriority w:val="99"/>
    <w:qFormat/>
    <w:locked/>
    <w:rsid w:val="000A533F"/>
    <w:pPr>
      <w:numPr>
        <w:ilvl w:val="3"/>
        <w:numId w:val="1"/>
      </w:numPr>
      <w:tabs>
        <w:tab w:val="left" w:pos="620"/>
        <w:tab w:val="left" w:pos="660"/>
        <w:tab w:val="left" w:pos="700"/>
      </w:tabs>
      <w:overflowPunct w:val="0"/>
      <w:autoSpaceDE w:val="0"/>
      <w:autoSpaceDN w:val="0"/>
      <w:adjustRightInd w:val="0"/>
      <w:spacing w:before="160" w:after="40"/>
      <w:textAlignment w:val="baseline"/>
      <w:outlineLvl w:val="3"/>
    </w:pPr>
    <w:rPr>
      <w:rFonts w:cs="Times New Roman"/>
      <w:b w:val="0"/>
      <w:iCs w:val="0"/>
      <w:color w:val="auto"/>
      <w:kern w:val="0"/>
      <w:szCs w:val="28"/>
    </w:rPr>
  </w:style>
  <w:style w:type="paragraph" w:styleId="Heading5">
    <w:name w:val="heading 5"/>
    <w:basedOn w:val="Normal"/>
    <w:next w:val="Normal"/>
    <w:link w:val="Heading5Char"/>
    <w:uiPriority w:val="9"/>
    <w:qFormat/>
    <w:locked/>
    <w:rsid w:val="000A533F"/>
    <w:pPr>
      <w:numPr>
        <w:ilvl w:val="4"/>
        <w:numId w:val="1"/>
      </w:numPr>
      <w:tabs>
        <w:tab w:val="left" w:pos="620"/>
        <w:tab w:val="left" w:pos="660"/>
        <w:tab w:val="left" w:pos="700"/>
      </w:tabs>
      <w:spacing w:before="240" w:after="60" w:line="360" w:lineRule="auto"/>
      <w:outlineLvl w:val="4"/>
    </w:pPr>
    <w:rPr>
      <w:rFonts w:ascii="Garamond" w:hAnsi="Garamond"/>
      <w:b/>
      <w:bCs/>
      <w:i/>
      <w:iCs/>
      <w:sz w:val="26"/>
      <w:szCs w:val="26"/>
    </w:rPr>
  </w:style>
  <w:style w:type="paragraph" w:styleId="Heading6">
    <w:name w:val="heading 6"/>
    <w:basedOn w:val="Normal"/>
    <w:next w:val="Normal"/>
    <w:link w:val="Heading6Char"/>
    <w:uiPriority w:val="99"/>
    <w:qFormat/>
    <w:locked/>
    <w:rsid w:val="000A533F"/>
    <w:pPr>
      <w:numPr>
        <w:ilvl w:val="5"/>
        <w:numId w:val="1"/>
      </w:numPr>
      <w:tabs>
        <w:tab w:val="left" w:pos="620"/>
        <w:tab w:val="left" w:pos="660"/>
        <w:tab w:val="left" w:pos="700"/>
      </w:tabs>
      <w:spacing w:before="240" w:after="60" w:line="360" w:lineRule="auto"/>
      <w:outlineLvl w:val="5"/>
    </w:pPr>
    <w:rPr>
      <w:rFonts w:ascii="Times New Roman" w:hAnsi="Times New Roman"/>
      <w:b/>
      <w:bCs/>
      <w:szCs w:val="22"/>
    </w:rPr>
  </w:style>
  <w:style w:type="paragraph" w:styleId="Heading7">
    <w:name w:val="heading 7"/>
    <w:basedOn w:val="Normal"/>
    <w:next w:val="Normal"/>
    <w:link w:val="Heading7Char"/>
    <w:uiPriority w:val="99"/>
    <w:qFormat/>
    <w:locked/>
    <w:rsid w:val="000A533F"/>
    <w:pPr>
      <w:numPr>
        <w:ilvl w:val="6"/>
        <w:numId w:val="1"/>
      </w:numPr>
      <w:tabs>
        <w:tab w:val="left" w:pos="620"/>
        <w:tab w:val="left" w:pos="660"/>
        <w:tab w:val="left" w:pos="700"/>
      </w:tabs>
      <w:spacing w:before="240" w:after="60" w:line="360" w:lineRule="auto"/>
      <w:outlineLvl w:val="6"/>
    </w:pPr>
    <w:rPr>
      <w:rFonts w:ascii="Times New Roman" w:hAnsi="Times New Roman"/>
      <w:sz w:val="24"/>
    </w:rPr>
  </w:style>
  <w:style w:type="paragraph" w:styleId="Heading8">
    <w:name w:val="heading 8"/>
    <w:basedOn w:val="Normal"/>
    <w:next w:val="Normal"/>
    <w:link w:val="Heading8Char"/>
    <w:uiPriority w:val="99"/>
    <w:qFormat/>
    <w:locked/>
    <w:rsid w:val="000A533F"/>
    <w:pPr>
      <w:numPr>
        <w:ilvl w:val="7"/>
        <w:numId w:val="1"/>
      </w:numPr>
      <w:tabs>
        <w:tab w:val="left" w:pos="620"/>
        <w:tab w:val="left" w:pos="660"/>
        <w:tab w:val="left" w:pos="700"/>
      </w:tabs>
      <w:spacing w:before="240" w:after="60" w:line="360" w:lineRule="auto"/>
      <w:outlineLvl w:val="7"/>
    </w:pPr>
    <w:rPr>
      <w:rFonts w:ascii="Times New Roman" w:hAnsi="Times New Roman"/>
      <w:i/>
      <w:iCs/>
      <w:sz w:val="24"/>
    </w:rPr>
  </w:style>
  <w:style w:type="paragraph" w:styleId="Heading9">
    <w:name w:val="heading 9"/>
    <w:basedOn w:val="Normal"/>
    <w:next w:val="Normal"/>
    <w:link w:val="Heading9Char"/>
    <w:uiPriority w:val="99"/>
    <w:qFormat/>
    <w:locked/>
    <w:rsid w:val="000A533F"/>
    <w:pPr>
      <w:numPr>
        <w:ilvl w:val="2"/>
        <w:numId w:val="1"/>
      </w:numPr>
      <w:tabs>
        <w:tab w:val="left" w:pos="620"/>
        <w:tab w:val="left" w:pos="660"/>
      </w:tabs>
      <w:spacing w:before="240" w:after="60" w:line="360" w:lineRule="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5_G"/>
    <w:basedOn w:val="Normal"/>
    <w:link w:val="FootnoteTextChar"/>
    <w:qFormat/>
    <w:rsid w:val="000A533F"/>
    <w:pPr>
      <w:spacing w:after="60" w:line="288" w:lineRule="auto"/>
      <w:ind w:left="1174" w:hanging="454"/>
      <w:jc w:val="left"/>
    </w:pPr>
    <w:rPr>
      <w:sz w:val="18"/>
      <w:szCs w:val="20"/>
    </w:rPr>
  </w:style>
  <w:style w:type="paragraph" w:styleId="Caption">
    <w:name w:val="caption"/>
    <w:basedOn w:val="Normal"/>
    <w:next w:val="Normal"/>
    <w:uiPriority w:val="35"/>
    <w:qFormat/>
    <w:locked/>
    <w:rsid w:val="000A533F"/>
    <w:pPr>
      <w:spacing w:after="200"/>
    </w:pPr>
    <w:rPr>
      <w:i/>
      <w:iCs/>
      <w:color w:val="1F497D"/>
      <w:sz w:val="18"/>
      <w:szCs w:val="18"/>
    </w:rPr>
  </w:style>
  <w:style w:type="paragraph" w:styleId="Footer">
    <w:name w:val="footer"/>
    <w:basedOn w:val="Normal"/>
    <w:link w:val="FooterChar"/>
    <w:rsid w:val="000A533F"/>
    <w:pPr>
      <w:tabs>
        <w:tab w:val="center" w:pos="4153"/>
        <w:tab w:val="right" w:pos="8306"/>
      </w:tabs>
      <w:jc w:val="right"/>
    </w:pPr>
    <w:rPr>
      <w:color w:val="365F91"/>
    </w:rPr>
  </w:style>
  <w:style w:type="character" w:styleId="FootnoteReference">
    <w:name w:val="footnote reference"/>
    <w:aliases w:val="Ref,de nota al pie,Footnotes refss,Footnote number,Footnote,4_G"/>
    <w:qFormat/>
    <w:rsid w:val="00324B0B"/>
    <w:rPr>
      <w:rFonts w:ascii="Public Sans" w:hAnsi="Public Sans"/>
      <w:sz w:val="18"/>
      <w:bdr w:val="none" w:sz="0" w:space="0" w:color="auto"/>
      <w:vertAlign w:val="superscript"/>
    </w:rPr>
  </w:style>
  <w:style w:type="paragraph" w:customStyle="1" w:styleId="ChapterHeading">
    <w:name w:val="Chapter Heading"/>
    <w:basedOn w:val="Heading1"/>
    <w:next w:val="Normal"/>
    <w:qFormat/>
    <w:rsid w:val="00D103D0"/>
    <w:pPr>
      <w:pageBreakBefore/>
      <w:numPr>
        <w:numId w:val="21"/>
      </w:numPr>
      <w:spacing w:before="0" w:after="320"/>
      <w:ind w:left="720" w:hanging="720"/>
    </w:pPr>
    <w:rPr>
      <w:sz w:val="48"/>
    </w:rPr>
  </w:style>
  <w:style w:type="paragraph" w:styleId="DocumentMap">
    <w:name w:val="Document Map"/>
    <w:basedOn w:val="Normal"/>
    <w:link w:val="DocumentMapChar"/>
    <w:semiHidden/>
    <w:rsid w:val="000A533F"/>
    <w:rPr>
      <w:rFonts w:ascii="Tahoma" w:hAnsi="Tahoma" w:cs="Tahoma"/>
      <w:sz w:val="16"/>
      <w:szCs w:val="16"/>
    </w:rPr>
  </w:style>
  <w:style w:type="character" w:customStyle="1" w:styleId="DocumentMapChar">
    <w:name w:val="Document Map Char"/>
    <w:link w:val="DocumentMap"/>
    <w:semiHidden/>
    <w:rsid w:val="000A533F"/>
    <w:rPr>
      <w:rFonts w:ascii="Tahoma" w:hAnsi="Tahoma" w:cs="Tahoma"/>
      <w:sz w:val="16"/>
      <w:szCs w:val="16"/>
      <w:lang w:eastAsia="en-US"/>
    </w:rPr>
  </w:style>
  <w:style w:type="paragraph" w:styleId="TOC2">
    <w:name w:val="toc 2"/>
    <w:basedOn w:val="TOC1"/>
    <w:next w:val="Normal"/>
    <w:autoRedefine/>
    <w:uiPriority w:val="39"/>
    <w:qFormat/>
    <w:rsid w:val="00D103D0"/>
    <w:pPr>
      <w:tabs>
        <w:tab w:val="left" w:pos="397"/>
      </w:tabs>
      <w:spacing w:before="0"/>
      <w:ind w:left="1117"/>
    </w:pPr>
  </w:style>
  <w:style w:type="paragraph" w:styleId="TOC1">
    <w:name w:val="toc 1"/>
    <w:basedOn w:val="Normal"/>
    <w:next w:val="Normal"/>
    <w:autoRedefine/>
    <w:uiPriority w:val="39"/>
    <w:qFormat/>
    <w:rsid w:val="004E1DF0"/>
    <w:pPr>
      <w:tabs>
        <w:tab w:val="right" w:pos="9356"/>
        <w:tab w:val="right" w:pos="9639"/>
      </w:tabs>
      <w:spacing w:before="360" w:after="120" w:line="288" w:lineRule="auto"/>
      <w:ind w:left="397" w:right="397" w:hanging="397"/>
      <w:jc w:val="left"/>
    </w:pPr>
    <w:rPr>
      <w:rFonts w:ascii="Public Sans" w:hAnsi="Public Sans" w:cs="Times New Roman Bold"/>
      <w:b/>
      <w:noProof/>
      <w:color w:val="002664"/>
      <w:u w:val="dotted" w:color="44546A"/>
    </w:rPr>
  </w:style>
  <w:style w:type="paragraph" w:customStyle="1" w:styleId="Normalbullet">
    <w:name w:val="Normal_bullet"/>
    <w:basedOn w:val="Normal"/>
    <w:uiPriority w:val="4"/>
    <w:qFormat/>
    <w:rsid w:val="00644DCA"/>
    <w:pPr>
      <w:numPr>
        <w:numId w:val="12"/>
      </w:numPr>
      <w:spacing w:before="120" w:after="0" w:line="288" w:lineRule="auto"/>
      <w:jc w:val="left"/>
    </w:pPr>
    <w:rPr>
      <w:rFonts w:ascii="Public Sans" w:hAnsi="Public Sans"/>
    </w:rPr>
  </w:style>
  <w:style w:type="paragraph" w:customStyle="1" w:styleId="Normalhanging1">
    <w:name w:val="Normal_hanging(1)"/>
    <w:basedOn w:val="Normal"/>
    <w:uiPriority w:val="3"/>
    <w:rsid w:val="00B93B34"/>
    <w:pPr>
      <w:spacing w:after="120"/>
      <w:ind w:left="1077" w:hanging="357"/>
    </w:pPr>
    <w:rPr>
      <w:rFonts w:ascii="Public Sans" w:hAnsi="Public Sans"/>
    </w:rPr>
  </w:style>
  <w:style w:type="paragraph" w:customStyle="1" w:styleId="Normalbulletahanging">
    <w:name w:val="Normal_bullet (a)hanging"/>
    <w:basedOn w:val="Normalbullet"/>
    <w:uiPriority w:val="1"/>
    <w:qFormat/>
    <w:rsid w:val="000A533F"/>
    <w:pPr>
      <w:numPr>
        <w:numId w:val="13"/>
      </w:numPr>
    </w:pPr>
    <w:rPr>
      <w:lang w:val="fr-FR"/>
    </w:rPr>
  </w:style>
  <w:style w:type="paragraph" w:customStyle="1" w:styleId="Footerodd">
    <w:name w:val="Footer_odd"/>
    <w:basedOn w:val="Footer"/>
    <w:rsid w:val="006715B2"/>
    <w:pPr>
      <w:tabs>
        <w:tab w:val="clear" w:pos="4153"/>
        <w:tab w:val="clear" w:pos="8306"/>
        <w:tab w:val="right" w:pos="9639"/>
      </w:tabs>
      <w:spacing w:before="240" w:after="60"/>
      <w:ind w:left="720" w:hanging="720"/>
      <w:jc w:val="left"/>
    </w:pPr>
    <w:rPr>
      <w:rFonts w:ascii="Public Sans" w:hAnsi="Public Sans"/>
      <w:color w:val="002664"/>
    </w:rPr>
  </w:style>
  <w:style w:type="paragraph" w:styleId="TOC3">
    <w:name w:val="toc 3"/>
    <w:basedOn w:val="TOC2"/>
    <w:next w:val="Normal"/>
    <w:autoRedefine/>
    <w:uiPriority w:val="39"/>
    <w:qFormat/>
    <w:rsid w:val="00D103D0"/>
    <w:pPr>
      <w:ind w:left="1514"/>
    </w:pPr>
    <w:rPr>
      <w:rFonts w:cs="Arial"/>
      <w:b w:val="0"/>
    </w:rPr>
  </w:style>
  <w:style w:type="paragraph" w:customStyle="1" w:styleId="Quotationnormal">
    <w:name w:val="Quotation_normal"/>
    <w:basedOn w:val="Normal"/>
    <w:uiPriority w:val="4"/>
    <w:qFormat/>
    <w:rsid w:val="009058B0"/>
    <w:pPr>
      <w:spacing w:before="120" w:after="0" w:line="240" w:lineRule="auto"/>
      <w:ind w:left="964" w:right="720"/>
      <w:jc w:val="left"/>
    </w:pPr>
    <w:rPr>
      <w:rFonts w:ascii="Public Sans" w:hAnsi="Public Sans"/>
      <w:color w:val="002664"/>
      <w:sz w:val="20"/>
      <w:lang w:val="en-GB"/>
    </w:rPr>
  </w:style>
  <w:style w:type="paragraph" w:customStyle="1" w:styleId="Quotationindent">
    <w:name w:val="Quotation_indent"/>
    <w:basedOn w:val="Quotationnormal"/>
    <w:uiPriority w:val="8"/>
    <w:rsid w:val="007A747B"/>
    <w:pPr>
      <w:ind w:left="1480"/>
    </w:pPr>
  </w:style>
  <w:style w:type="paragraph" w:customStyle="1" w:styleId="Quotation1hanging">
    <w:name w:val="Quotation_(1)hanging"/>
    <w:basedOn w:val="Quotationnormal"/>
    <w:uiPriority w:val="7"/>
    <w:rsid w:val="007A747B"/>
    <w:pPr>
      <w:ind w:left="1480" w:hanging="516"/>
    </w:pPr>
  </w:style>
  <w:style w:type="paragraph" w:customStyle="1" w:styleId="Quotationahanging">
    <w:name w:val="Quotation_(a)hanging"/>
    <w:basedOn w:val="Quotation1hanging"/>
    <w:uiPriority w:val="7"/>
    <w:rsid w:val="007A747B"/>
    <w:pPr>
      <w:ind w:left="1996"/>
    </w:pPr>
    <w:rPr>
      <w:rFonts w:cs="Arial"/>
    </w:rPr>
  </w:style>
  <w:style w:type="paragraph" w:customStyle="1" w:styleId="Quotationbullet">
    <w:name w:val="Quotation_bullet"/>
    <w:basedOn w:val="Quotationnormal"/>
    <w:uiPriority w:val="6"/>
    <w:rsid w:val="00324B0B"/>
    <w:pPr>
      <w:numPr>
        <w:numId w:val="14"/>
      </w:numPr>
      <w:ind w:left="1480" w:right="510" w:hanging="516"/>
    </w:pPr>
  </w:style>
  <w:style w:type="paragraph" w:customStyle="1" w:styleId="Quotationihanging">
    <w:name w:val="Quotation_(i)hanging"/>
    <w:basedOn w:val="Quotationahanging"/>
    <w:uiPriority w:val="7"/>
    <w:rsid w:val="007A747B"/>
    <w:pPr>
      <w:ind w:left="2512"/>
    </w:pPr>
  </w:style>
  <w:style w:type="paragraph" w:customStyle="1" w:styleId="Quotationheading">
    <w:name w:val="Quotation_heading"/>
    <w:basedOn w:val="Quotationnormal"/>
    <w:next w:val="Quotationnormal"/>
    <w:uiPriority w:val="5"/>
    <w:rsid w:val="000A533F"/>
    <w:pPr>
      <w:keepNext/>
      <w:tabs>
        <w:tab w:val="left" w:pos="1600"/>
      </w:tabs>
    </w:pPr>
    <w:rPr>
      <w:b/>
    </w:rPr>
  </w:style>
  <w:style w:type="paragraph" w:customStyle="1" w:styleId="Tabletext">
    <w:name w:val="Table text"/>
    <w:basedOn w:val="Normal"/>
    <w:uiPriority w:val="13"/>
    <w:qFormat/>
    <w:rsid w:val="000A533F"/>
    <w:pPr>
      <w:tabs>
        <w:tab w:val="left" w:pos="360"/>
      </w:tabs>
      <w:spacing w:before="120" w:after="120"/>
      <w:jc w:val="left"/>
    </w:pPr>
    <w:rPr>
      <w:bCs/>
      <w:color w:val="002664"/>
      <w:sz w:val="20"/>
    </w:rPr>
  </w:style>
  <w:style w:type="paragraph" w:customStyle="1" w:styleId="TableHeading">
    <w:name w:val="Table Heading"/>
    <w:uiPriority w:val="13"/>
    <w:qFormat/>
    <w:rsid w:val="00A37B66"/>
    <w:pPr>
      <w:keepNext/>
      <w:shd w:val="clear" w:color="auto" w:fill="002664"/>
      <w:spacing w:before="60" w:after="60" w:line="244" w:lineRule="atLeast"/>
      <w:jc w:val="center"/>
    </w:pPr>
    <w:rPr>
      <w:rFonts w:ascii="Public Sans Light" w:hAnsi="Public Sans Light"/>
      <w:bCs/>
      <w:color w:val="FFFFFF"/>
      <w:szCs w:val="24"/>
      <w:lang w:val="en-GB" w:eastAsia="en-US"/>
    </w:rPr>
  </w:style>
  <w:style w:type="paragraph" w:customStyle="1" w:styleId="Tablecaption">
    <w:name w:val="Table caption"/>
    <w:basedOn w:val="Tabletext"/>
    <w:next w:val="Normal"/>
    <w:uiPriority w:val="11"/>
    <w:qFormat/>
    <w:rsid w:val="00C300DD"/>
    <w:pPr>
      <w:keepNext/>
      <w:spacing w:before="240" w:after="240" w:line="280" w:lineRule="atLeast"/>
      <w:ind w:left="720"/>
      <w:outlineLvl w:val="8"/>
    </w:pPr>
    <w:rPr>
      <w:rFonts w:ascii="Public Sans" w:hAnsi="Public Sans"/>
      <w:b/>
      <w:sz w:val="24"/>
    </w:rPr>
  </w:style>
  <w:style w:type="paragraph" w:customStyle="1" w:styleId="Footnotequote">
    <w:name w:val="Footnote_quote"/>
    <w:basedOn w:val="FootnoteText"/>
    <w:semiHidden/>
    <w:rsid w:val="000A533F"/>
    <w:pPr>
      <w:ind w:left="851" w:right="851" w:firstLine="0"/>
    </w:pPr>
  </w:style>
  <w:style w:type="paragraph" w:styleId="TOC4">
    <w:name w:val="toc 4"/>
    <w:basedOn w:val="TOC3"/>
    <w:next w:val="Normal"/>
    <w:autoRedefine/>
    <w:uiPriority w:val="39"/>
    <w:qFormat/>
    <w:rsid w:val="00D103D0"/>
    <w:pPr>
      <w:spacing w:before="60"/>
      <w:ind w:left="1911"/>
    </w:pPr>
  </w:style>
  <w:style w:type="paragraph" w:styleId="TOC5">
    <w:name w:val="toc 5"/>
    <w:basedOn w:val="TOC1"/>
    <w:next w:val="Normal"/>
    <w:autoRedefine/>
    <w:uiPriority w:val="39"/>
    <w:qFormat/>
    <w:rsid w:val="000A533F"/>
    <w:pPr>
      <w:tabs>
        <w:tab w:val="right" w:leader="dot" w:pos="8896"/>
      </w:tabs>
      <w:spacing w:before="60"/>
      <w:ind w:left="1696" w:right="0" w:hanging="794"/>
    </w:pPr>
    <w:rPr>
      <w:b w:val="0"/>
    </w:rPr>
  </w:style>
  <w:style w:type="paragraph" w:styleId="TOC6">
    <w:name w:val="toc 6"/>
    <w:basedOn w:val="TOC5"/>
    <w:next w:val="Normal"/>
    <w:uiPriority w:val="39"/>
    <w:rsid w:val="000A533F"/>
    <w:pPr>
      <w:ind w:left="1945" w:hanging="1134"/>
    </w:pPr>
  </w:style>
  <w:style w:type="paragraph" w:styleId="TOC7">
    <w:name w:val="toc 7"/>
    <w:basedOn w:val="TOC6"/>
    <w:next w:val="Normal"/>
    <w:uiPriority w:val="39"/>
    <w:rsid w:val="000A533F"/>
    <w:rPr>
      <w:i/>
    </w:rPr>
  </w:style>
  <w:style w:type="paragraph" w:styleId="TOC8">
    <w:name w:val="toc 8"/>
    <w:basedOn w:val="Normal"/>
    <w:next w:val="Normal"/>
    <w:uiPriority w:val="39"/>
    <w:rsid w:val="000A533F"/>
    <w:pPr>
      <w:keepNext/>
      <w:tabs>
        <w:tab w:val="right" w:leader="dot" w:pos="8200"/>
      </w:tabs>
      <w:spacing w:before="360" w:after="60"/>
      <w:ind w:hanging="360"/>
    </w:pPr>
    <w:rPr>
      <w:rFonts w:ascii="Arial Bold" w:hAnsi="Arial Bold"/>
      <w:b/>
      <w:color w:val="365F91"/>
      <w:sz w:val="18"/>
    </w:rPr>
  </w:style>
  <w:style w:type="paragraph" w:styleId="TOC9">
    <w:name w:val="toc 9"/>
    <w:basedOn w:val="Normal"/>
    <w:next w:val="Normal"/>
    <w:uiPriority w:val="39"/>
    <w:rsid w:val="000A533F"/>
  </w:style>
  <w:style w:type="paragraph" w:customStyle="1" w:styleId="FooterEven">
    <w:name w:val="Footer_Even"/>
    <w:basedOn w:val="Footer"/>
    <w:rsid w:val="00132881"/>
    <w:pPr>
      <w:tabs>
        <w:tab w:val="clear" w:pos="4153"/>
        <w:tab w:val="clear" w:pos="8306"/>
        <w:tab w:val="right" w:pos="9639"/>
      </w:tabs>
      <w:spacing w:before="240" w:after="60"/>
      <w:ind w:left="720"/>
      <w:jc w:val="left"/>
    </w:pPr>
    <w:rPr>
      <w:rFonts w:ascii="Public Sans" w:hAnsi="Public Sans"/>
      <w:color w:val="002664"/>
    </w:rPr>
  </w:style>
  <w:style w:type="paragraph" w:customStyle="1" w:styleId="Headereven">
    <w:name w:val="Header_even"/>
    <w:basedOn w:val="Footerodd"/>
    <w:semiHidden/>
    <w:rsid w:val="000A533F"/>
  </w:style>
  <w:style w:type="paragraph" w:customStyle="1" w:styleId="Headerodd">
    <w:name w:val="Header_odd"/>
    <w:basedOn w:val="Normal"/>
    <w:semiHidden/>
    <w:rsid w:val="000A533F"/>
    <w:pPr>
      <w:tabs>
        <w:tab w:val="right" w:pos="8820"/>
      </w:tabs>
      <w:spacing w:after="600"/>
      <w:jc w:val="right"/>
    </w:pPr>
    <w:rPr>
      <w:bCs/>
      <w:noProof/>
      <w:color w:val="365F91"/>
      <w:lang w:val="en-US"/>
    </w:rPr>
  </w:style>
  <w:style w:type="paragraph" w:customStyle="1" w:styleId="Tablesource">
    <w:name w:val="Table source"/>
    <w:basedOn w:val="Tablecaption"/>
    <w:uiPriority w:val="12"/>
    <w:qFormat/>
    <w:rsid w:val="00136BDF"/>
    <w:pPr>
      <w:keepNext w:val="0"/>
      <w:spacing w:before="120"/>
      <w:outlineLvl w:val="9"/>
    </w:pPr>
    <w:rPr>
      <w:b w:val="0"/>
      <w:sz w:val="20"/>
    </w:rPr>
  </w:style>
  <w:style w:type="paragraph" w:customStyle="1" w:styleId="Quotationdoubleindent">
    <w:name w:val="Quotation_double indent"/>
    <w:basedOn w:val="Quotationindent"/>
    <w:uiPriority w:val="9"/>
    <w:qFormat/>
    <w:rsid w:val="007A747B"/>
    <w:pPr>
      <w:ind w:left="1996"/>
    </w:pPr>
  </w:style>
  <w:style w:type="paragraph" w:customStyle="1" w:styleId="Tabletexthangingindent1">
    <w:name w:val="Table text_hanging indent(1)"/>
    <w:basedOn w:val="Tabletext"/>
    <w:uiPriority w:val="14"/>
    <w:qFormat/>
    <w:rsid w:val="000A533F"/>
    <w:pPr>
      <w:ind w:left="360" w:hanging="360"/>
    </w:pPr>
  </w:style>
  <w:style w:type="paragraph" w:customStyle="1" w:styleId="Normalindent">
    <w:name w:val="Normal_indent"/>
    <w:basedOn w:val="Normal"/>
    <w:uiPriority w:val="2"/>
    <w:rsid w:val="000A533F"/>
    <w:pPr>
      <w:ind w:left="1077"/>
    </w:pPr>
  </w:style>
  <w:style w:type="paragraph" w:customStyle="1" w:styleId="PrelimNormal">
    <w:name w:val="Prelim_Normal"/>
    <w:basedOn w:val="Normal"/>
    <w:semiHidden/>
    <w:rsid w:val="000A533F"/>
    <w:pPr>
      <w:tabs>
        <w:tab w:val="right" w:leader="dot" w:pos="8880"/>
      </w:tabs>
      <w:spacing w:after="120"/>
    </w:pPr>
  </w:style>
  <w:style w:type="paragraph" w:customStyle="1" w:styleId="PrelimCh">
    <w:name w:val="Prelim_Ch"/>
    <w:basedOn w:val="PrelimNormal"/>
    <w:semiHidden/>
    <w:qFormat/>
    <w:rsid w:val="000A533F"/>
    <w:pPr>
      <w:keepNext/>
      <w:tabs>
        <w:tab w:val="left" w:pos="360"/>
      </w:tabs>
      <w:ind w:left="1080" w:hanging="360"/>
    </w:pPr>
    <w:rPr>
      <w:b/>
      <w:bCs/>
    </w:rPr>
  </w:style>
  <w:style w:type="paragraph" w:customStyle="1" w:styleId="PrelimH1">
    <w:name w:val="Prelim_H1"/>
    <w:basedOn w:val="PrelimNormal"/>
    <w:semiHidden/>
    <w:rsid w:val="000A533F"/>
    <w:pPr>
      <w:ind w:left="1400" w:hanging="320"/>
    </w:pPr>
  </w:style>
  <w:style w:type="paragraph" w:customStyle="1" w:styleId="PrelimH2">
    <w:name w:val="Prelim_H2"/>
    <w:basedOn w:val="PrelimH1"/>
    <w:semiHidden/>
    <w:rsid w:val="000A533F"/>
    <w:pPr>
      <w:ind w:left="1800" w:hanging="360"/>
    </w:pPr>
  </w:style>
  <w:style w:type="paragraph" w:customStyle="1" w:styleId="Prelimtitle">
    <w:name w:val="Prelim_title"/>
    <w:basedOn w:val="PrelimNormal"/>
    <w:semiHidden/>
    <w:rsid w:val="000A533F"/>
    <w:pPr>
      <w:tabs>
        <w:tab w:val="right" w:pos="8880"/>
      </w:tabs>
      <w:spacing w:before="1680" w:after="0"/>
      <w:contextualSpacing/>
    </w:pPr>
    <w:rPr>
      <w:b/>
      <w:color w:val="365F91"/>
      <w:sz w:val="32"/>
    </w:rPr>
  </w:style>
  <w:style w:type="paragraph" w:customStyle="1" w:styleId="Prelimtitlenumber">
    <w:name w:val="Prelim_title_number"/>
    <w:basedOn w:val="Prelimtitle"/>
    <w:semiHidden/>
    <w:rsid w:val="000A533F"/>
    <w:pPr>
      <w:spacing w:before="0" w:after="3920"/>
      <w:jc w:val="right"/>
    </w:pPr>
    <w:rPr>
      <w:color w:val="B8CCE4"/>
      <w:sz w:val="96"/>
    </w:rPr>
  </w:style>
  <w:style w:type="paragraph" w:customStyle="1" w:styleId="Prelimtitlesmall">
    <w:name w:val="Prelim_title_small"/>
    <w:basedOn w:val="Prelimtitle"/>
    <w:semiHidden/>
    <w:rsid w:val="000A533F"/>
    <w:pPr>
      <w:spacing w:before="0" w:after="240"/>
    </w:pPr>
    <w:rPr>
      <w:sz w:val="24"/>
    </w:rPr>
  </w:style>
  <w:style w:type="paragraph" w:customStyle="1" w:styleId="Prelimtitlelarge">
    <w:name w:val="Prelim_title_large"/>
    <w:basedOn w:val="Prelimtitle"/>
    <w:semiHidden/>
    <w:rsid w:val="000A533F"/>
    <w:rPr>
      <w:sz w:val="48"/>
    </w:rPr>
  </w:style>
  <w:style w:type="paragraph" w:customStyle="1" w:styleId="Prelimcentre">
    <w:name w:val="Prelim_centre"/>
    <w:basedOn w:val="PrelimNormal"/>
    <w:semiHidden/>
    <w:rsid w:val="000A533F"/>
    <w:pPr>
      <w:jc w:val="center"/>
    </w:pPr>
  </w:style>
  <w:style w:type="paragraph" w:customStyle="1" w:styleId="Tablenumber">
    <w:name w:val="Table number"/>
    <w:basedOn w:val="Tabletext"/>
    <w:uiPriority w:val="14"/>
    <w:qFormat/>
    <w:rsid w:val="000A533F"/>
    <w:pPr>
      <w:jc w:val="right"/>
    </w:pPr>
  </w:style>
  <w:style w:type="paragraph" w:customStyle="1" w:styleId="Copyrightnormal">
    <w:name w:val="Copyright_normal"/>
    <w:basedOn w:val="Normal"/>
    <w:rsid w:val="000A533F"/>
    <w:pPr>
      <w:ind w:right="720"/>
    </w:pPr>
    <w:rPr>
      <w:sz w:val="18"/>
    </w:rPr>
  </w:style>
  <w:style w:type="paragraph" w:customStyle="1" w:styleId="Copyrightbullet">
    <w:name w:val="Copyright_bullet"/>
    <w:basedOn w:val="Copyrightnormal"/>
    <w:rsid w:val="000A533F"/>
    <w:pPr>
      <w:numPr>
        <w:numId w:val="15"/>
      </w:numPr>
    </w:pPr>
  </w:style>
  <w:style w:type="paragraph" w:customStyle="1" w:styleId="Copyrightheading">
    <w:name w:val="Copyright_heading"/>
    <w:basedOn w:val="Copyrightnormal"/>
    <w:rsid w:val="000A533F"/>
    <w:pPr>
      <w:spacing w:after="120"/>
    </w:pPr>
    <w:rPr>
      <w:rFonts w:ascii="Arial Bold" w:hAnsi="Arial Bold"/>
      <w:b/>
    </w:rPr>
  </w:style>
  <w:style w:type="paragraph" w:customStyle="1" w:styleId="Tabletextcentre">
    <w:name w:val="Table text_centre"/>
    <w:basedOn w:val="Tabletext"/>
    <w:uiPriority w:val="14"/>
    <w:rsid w:val="000A533F"/>
    <w:pPr>
      <w:jc w:val="center"/>
    </w:pPr>
  </w:style>
  <w:style w:type="paragraph" w:customStyle="1" w:styleId="AppendixHeading">
    <w:name w:val="Appendix Heading"/>
    <w:basedOn w:val="ChapterHeading"/>
    <w:uiPriority w:val="1"/>
    <w:rsid w:val="000A533F"/>
    <w:pPr>
      <w:numPr>
        <w:ilvl w:val="2"/>
        <w:numId w:val="20"/>
      </w:numPr>
      <w:outlineLvl w:val="3"/>
    </w:pPr>
  </w:style>
  <w:style w:type="paragraph" w:customStyle="1" w:styleId="Tabletexthangingindenta">
    <w:name w:val="Table text_hanging indent(a)"/>
    <w:basedOn w:val="Tabletexthangingindent1"/>
    <w:uiPriority w:val="14"/>
    <w:qFormat/>
    <w:rsid w:val="000A533F"/>
    <w:pPr>
      <w:ind w:left="720"/>
    </w:pPr>
  </w:style>
  <w:style w:type="paragraph" w:customStyle="1" w:styleId="Normalsingle">
    <w:name w:val="Normal_single"/>
    <w:basedOn w:val="Normal"/>
    <w:uiPriority w:val="1"/>
    <w:semiHidden/>
    <w:qFormat/>
    <w:rsid w:val="000A533F"/>
    <w:pPr>
      <w:spacing w:after="60"/>
    </w:pPr>
    <w:rPr>
      <w:iCs/>
    </w:rPr>
  </w:style>
  <w:style w:type="paragraph" w:customStyle="1" w:styleId="Normalsinglelist">
    <w:name w:val="Normal_single_list"/>
    <w:basedOn w:val="Normal"/>
    <w:uiPriority w:val="1"/>
    <w:rsid w:val="00421718"/>
    <w:pPr>
      <w:tabs>
        <w:tab w:val="left" w:pos="1440"/>
        <w:tab w:val="left" w:pos="1800"/>
      </w:tabs>
      <w:spacing w:after="120" w:line="288" w:lineRule="auto"/>
      <w:ind w:left="1843" w:hanging="1134"/>
      <w:jc w:val="left"/>
    </w:pPr>
    <w:rPr>
      <w:rFonts w:ascii="Public Sans" w:hAnsi="Public Sans"/>
      <w:iCs/>
      <w:lang w:val="en-GB"/>
    </w:rPr>
  </w:style>
  <w:style w:type="paragraph" w:customStyle="1" w:styleId="Tabletextbullet">
    <w:name w:val="Table text_bullet"/>
    <w:basedOn w:val="Tabletext"/>
    <w:uiPriority w:val="13"/>
    <w:rsid w:val="000A533F"/>
    <w:pPr>
      <w:numPr>
        <w:numId w:val="16"/>
      </w:numPr>
      <w:tabs>
        <w:tab w:val="left" w:pos="160"/>
      </w:tabs>
    </w:pPr>
  </w:style>
  <w:style w:type="paragraph" w:customStyle="1" w:styleId="Case">
    <w:name w:val="Case"/>
    <w:basedOn w:val="Normal"/>
    <w:semiHidden/>
    <w:rsid w:val="000A533F"/>
    <w:pPr>
      <w:tabs>
        <w:tab w:val="right" w:leader="dot" w:pos="8880"/>
      </w:tabs>
      <w:spacing w:after="120"/>
      <w:ind w:left="1080" w:hanging="360"/>
    </w:pPr>
  </w:style>
  <w:style w:type="paragraph" w:styleId="IndexHeading">
    <w:name w:val="index heading"/>
    <w:basedOn w:val="Normal"/>
    <w:next w:val="Normal"/>
    <w:semiHidden/>
    <w:locked/>
    <w:rsid w:val="000A533F"/>
    <w:rPr>
      <w:rFonts w:ascii="Cambria" w:hAnsi="Cambria"/>
      <w:b/>
      <w:bCs/>
    </w:rPr>
  </w:style>
  <w:style w:type="paragraph" w:customStyle="1" w:styleId="LegislationHeading">
    <w:name w:val="Legislation_Heading"/>
    <w:basedOn w:val="Heading2"/>
    <w:semiHidden/>
    <w:rsid w:val="000A533F"/>
    <w:pPr>
      <w:tabs>
        <w:tab w:val="right" w:leader="dot" w:pos="310"/>
        <w:tab w:val="right" w:pos="8505"/>
      </w:tabs>
      <w:spacing w:before="120"/>
      <w:ind w:left="0"/>
      <w:outlineLvl w:val="9"/>
    </w:pPr>
  </w:style>
  <w:style w:type="paragraph" w:customStyle="1" w:styleId="Legislationtitle">
    <w:name w:val="Legislation_title"/>
    <w:basedOn w:val="Normal"/>
    <w:semiHidden/>
    <w:rsid w:val="000A533F"/>
    <w:pPr>
      <w:keepNext/>
      <w:tabs>
        <w:tab w:val="right" w:leader="dot" w:pos="4240"/>
      </w:tabs>
      <w:spacing w:before="60" w:after="60"/>
      <w:ind w:left="180" w:hanging="180"/>
    </w:pPr>
    <w:rPr>
      <w:iCs/>
      <w:sz w:val="18"/>
    </w:rPr>
  </w:style>
  <w:style w:type="paragraph" w:customStyle="1" w:styleId="Legislationsection">
    <w:name w:val="Legislation_section"/>
    <w:basedOn w:val="Legislationtitle"/>
    <w:semiHidden/>
    <w:rsid w:val="000A533F"/>
    <w:pPr>
      <w:keepNext w:val="0"/>
      <w:spacing w:after="0"/>
      <w:ind w:left="360"/>
    </w:pPr>
  </w:style>
  <w:style w:type="paragraph" w:customStyle="1" w:styleId="Parttitle">
    <w:name w:val="Part_title"/>
    <w:basedOn w:val="Prelimtitlenumber"/>
    <w:semiHidden/>
    <w:rsid w:val="000A533F"/>
    <w:rPr>
      <w:rFonts w:ascii="Arial Bold" w:hAnsi="Arial Bold"/>
      <w:sz w:val="144"/>
    </w:rPr>
  </w:style>
  <w:style w:type="paragraph" w:customStyle="1" w:styleId="Tabletexthangingindenti">
    <w:name w:val="Table text_hanging indent(i)"/>
    <w:basedOn w:val="Tabletexthangingindenta"/>
    <w:uiPriority w:val="13"/>
    <w:qFormat/>
    <w:rsid w:val="000A533F"/>
    <w:pPr>
      <w:ind w:left="1080"/>
    </w:pPr>
  </w:style>
  <w:style w:type="paragraph" w:customStyle="1" w:styleId="FootnoteTexthangingindent">
    <w:name w:val="Footnote Text_hanging indent"/>
    <w:basedOn w:val="FootnoteText"/>
    <w:rsid w:val="000A533F"/>
    <w:pPr>
      <w:ind w:left="1534" w:hanging="360"/>
    </w:pPr>
  </w:style>
  <w:style w:type="paragraph" w:customStyle="1" w:styleId="Parttitlewords">
    <w:name w:val="Part title_words"/>
    <w:basedOn w:val="Prelimtitlenumber"/>
    <w:semiHidden/>
    <w:rsid w:val="000A533F"/>
    <w:rPr>
      <w:rFonts w:ascii="Arial Bold" w:hAnsi="Arial Bold"/>
      <w:sz w:val="48"/>
    </w:rPr>
  </w:style>
  <w:style w:type="paragraph" w:customStyle="1" w:styleId="TabletexthangingindentA0">
    <w:name w:val="Table text_hanging indent(A)"/>
    <w:basedOn w:val="Normal"/>
    <w:uiPriority w:val="13"/>
    <w:semiHidden/>
    <w:qFormat/>
    <w:rsid w:val="000A533F"/>
    <w:pPr>
      <w:pBdr>
        <w:left w:val="single" w:sz="4" w:space="31" w:color="B8CCE4"/>
        <w:right w:val="single" w:sz="4" w:space="10" w:color="FFFFFF"/>
      </w:pBdr>
      <w:overflowPunct w:val="0"/>
      <w:autoSpaceDE w:val="0"/>
      <w:autoSpaceDN w:val="0"/>
      <w:adjustRightInd w:val="0"/>
      <w:spacing w:after="120"/>
      <w:ind w:left="1434" w:hanging="357"/>
      <w:textAlignment w:val="baseline"/>
      <w:outlineLvl w:val="8"/>
    </w:pPr>
    <w:rPr>
      <w:rFonts w:ascii="Arial Narrow" w:hAnsi="Arial Narrow" w:cs="Arial"/>
      <w:sz w:val="18"/>
      <w:szCs w:val="18"/>
    </w:rPr>
  </w:style>
  <w:style w:type="paragraph" w:customStyle="1" w:styleId="PartTOC">
    <w:name w:val="Part_TOC"/>
    <w:basedOn w:val="TOC8"/>
    <w:semiHidden/>
    <w:rsid w:val="000A533F"/>
    <w:rPr>
      <w:sz w:val="24"/>
    </w:rPr>
  </w:style>
  <w:style w:type="paragraph" w:customStyle="1" w:styleId="GridTable31">
    <w:name w:val="Grid Table 31"/>
    <w:basedOn w:val="Heading-Major"/>
    <w:next w:val="Normal"/>
    <w:uiPriority w:val="99"/>
    <w:semiHidden/>
    <w:qFormat/>
    <w:rsid w:val="000A533F"/>
    <w:pPr>
      <w:outlineLvl w:val="9"/>
    </w:pPr>
  </w:style>
  <w:style w:type="paragraph" w:customStyle="1" w:styleId="Default">
    <w:name w:val="Default"/>
    <w:rsid w:val="000A533F"/>
    <w:pPr>
      <w:autoSpaceDE w:val="0"/>
      <w:autoSpaceDN w:val="0"/>
      <w:adjustRightInd w:val="0"/>
    </w:pPr>
    <w:rPr>
      <w:rFonts w:ascii="Arial" w:hAnsi="Arial" w:cs="Arial"/>
      <w:color w:val="000000"/>
      <w:sz w:val="24"/>
      <w:szCs w:val="24"/>
      <w:lang w:val="en-US" w:eastAsia="en-US"/>
    </w:rPr>
  </w:style>
  <w:style w:type="paragraph" w:customStyle="1" w:styleId="Heading-Minor">
    <w:name w:val="Heading - Minor"/>
    <w:basedOn w:val="Heading2"/>
    <w:uiPriority w:val="1"/>
    <w:semiHidden/>
    <w:qFormat/>
    <w:rsid w:val="000A533F"/>
  </w:style>
  <w:style w:type="character" w:customStyle="1" w:styleId="Heading1Char">
    <w:name w:val="Heading 1 Char"/>
    <w:link w:val="Heading1"/>
    <w:uiPriority w:val="9"/>
    <w:rsid w:val="00240625"/>
    <w:rPr>
      <w:rFonts w:ascii="Public Sans" w:hAnsi="Public Sans" w:cs="Arial"/>
      <w:b/>
      <w:bCs/>
      <w:color w:val="002664"/>
      <w:kern w:val="32"/>
      <w:sz w:val="36"/>
      <w:szCs w:val="32"/>
      <w:lang w:eastAsia="en-US"/>
    </w:rPr>
  </w:style>
  <w:style w:type="character" w:customStyle="1" w:styleId="Heading2Char">
    <w:name w:val="Heading 2 Char"/>
    <w:link w:val="Heading2"/>
    <w:uiPriority w:val="1"/>
    <w:rsid w:val="00240625"/>
    <w:rPr>
      <w:rFonts w:ascii="Public Sans" w:hAnsi="Public Sans" w:cs="Arial"/>
      <w:b/>
      <w:iCs/>
      <w:color w:val="002664"/>
      <w:kern w:val="32"/>
      <w:sz w:val="28"/>
      <w:szCs w:val="28"/>
      <w:lang w:eastAsia="en-US"/>
    </w:rPr>
  </w:style>
  <w:style w:type="character" w:customStyle="1" w:styleId="Heading3Char">
    <w:name w:val="Heading 3 Char"/>
    <w:link w:val="Heading3"/>
    <w:rsid w:val="000A533F"/>
    <w:rPr>
      <w:rFonts w:ascii="Public Sans" w:hAnsi="Public Sans" w:cs="Arial"/>
      <w:b/>
      <w:bCs/>
      <w:iCs/>
      <w:color w:val="000000"/>
      <w:kern w:val="32"/>
      <w:sz w:val="24"/>
      <w:szCs w:val="26"/>
      <w:lang w:eastAsia="en-US"/>
    </w:rPr>
  </w:style>
  <w:style w:type="character" w:customStyle="1" w:styleId="Heading4Char">
    <w:name w:val="Heading 4 Char"/>
    <w:link w:val="Heading4"/>
    <w:uiPriority w:val="99"/>
    <w:rsid w:val="000A533F"/>
    <w:rPr>
      <w:rFonts w:ascii="Public Sans" w:hAnsi="Public Sans"/>
      <w:bCs/>
      <w:sz w:val="24"/>
      <w:szCs w:val="28"/>
      <w:lang w:eastAsia="en-US"/>
    </w:rPr>
  </w:style>
  <w:style w:type="character" w:customStyle="1" w:styleId="Heading5Char">
    <w:name w:val="Heading 5 Char"/>
    <w:link w:val="Heading5"/>
    <w:uiPriority w:val="9"/>
    <w:rsid w:val="000A533F"/>
    <w:rPr>
      <w:rFonts w:ascii="Garamond" w:hAnsi="Garamond"/>
      <w:b/>
      <w:bCs/>
      <w:i/>
      <w:iCs/>
      <w:sz w:val="26"/>
      <w:szCs w:val="26"/>
      <w:lang w:eastAsia="en-US"/>
    </w:rPr>
  </w:style>
  <w:style w:type="character" w:customStyle="1" w:styleId="Heading6Char">
    <w:name w:val="Heading 6 Char"/>
    <w:link w:val="Heading6"/>
    <w:uiPriority w:val="99"/>
    <w:rsid w:val="000A533F"/>
    <w:rPr>
      <w:b/>
      <w:bCs/>
      <w:sz w:val="22"/>
      <w:szCs w:val="22"/>
      <w:lang w:eastAsia="en-US"/>
    </w:rPr>
  </w:style>
  <w:style w:type="character" w:customStyle="1" w:styleId="Heading7Char">
    <w:name w:val="Heading 7 Char"/>
    <w:link w:val="Heading7"/>
    <w:uiPriority w:val="99"/>
    <w:rsid w:val="000A533F"/>
    <w:rPr>
      <w:sz w:val="24"/>
      <w:szCs w:val="24"/>
      <w:lang w:eastAsia="en-US"/>
    </w:rPr>
  </w:style>
  <w:style w:type="character" w:customStyle="1" w:styleId="Heading8Char">
    <w:name w:val="Heading 8 Char"/>
    <w:link w:val="Heading8"/>
    <w:uiPriority w:val="99"/>
    <w:rsid w:val="000A533F"/>
    <w:rPr>
      <w:i/>
      <w:iCs/>
      <w:sz w:val="24"/>
      <w:szCs w:val="24"/>
      <w:lang w:eastAsia="en-US"/>
    </w:rPr>
  </w:style>
  <w:style w:type="character" w:customStyle="1" w:styleId="Heading9Char">
    <w:name w:val="Heading 9 Char"/>
    <w:link w:val="Heading9"/>
    <w:uiPriority w:val="99"/>
    <w:rsid w:val="000A533F"/>
    <w:rPr>
      <w:rFonts w:ascii="Public Sans Light" w:hAnsi="Public Sans Light" w:cs="Arial"/>
      <w:sz w:val="22"/>
      <w:szCs w:val="22"/>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link w:val="FootnoteText"/>
    <w:rsid w:val="000A533F"/>
    <w:rPr>
      <w:rFonts w:ascii="Public Sans" w:hAnsi="Public Sans"/>
      <w:sz w:val="18"/>
      <w:lang w:eastAsia="en-US"/>
    </w:rPr>
  </w:style>
  <w:style w:type="paragraph" w:styleId="TableofFigures">
    <w:name w:val="table of figures"/>
    <w:basedOn w:val="Normal"/>
    <w:next w:val="Normal"/>
    <w:uiPriority w:val="99"/>
    <w:semiHidden/>
    <w:rsid w:val="000A533F"/>
  </w:style>
  <w:style w:type="character" w:customStyle="1" w:styleId="FooterChar">
    <w:name w:val="Footer Char"/>
    <w:link w:val="Footer"/>
    <w:rsid w:val="000A533F"/>
    <w:rPr>
      <w:rFonts w:ascii="Public Sans" w:hAnsi="Public Sans"/>
      <w:color w:val="365F91"/>
      <w:sz w:val="22"/>
      <w:szCs w:val="24"/>
      <w:lang w:eastAsia="en-US"/>
    </w:rPr>
  </w:style>
  <w:style w:type="paragraph" w:customStyle="1" w:styleId="Recommendationnormalblankline">
    <w:name w:val="Recommendation_normal_blank_line"/>
    <w:basedOn w:val="Normal"/>
    <w:uiPriority w:val="11"/>
    <w:semiHidden/>
    <w:qFormat/>
    <w:rsid w:val="000A533F"/>
    <w:pPr>
      <w:pBdr>
        <w:top w:val="single" w:sz="4" w:space="1" w:color="B8CCE4"/>
        <w:left w:val="single" w:sz="4" w:space="10" w:color="B8CCE4"/>
        <w:bottom w:val="single" w:sz="4" w:space="5" w:color="B8CCE4"/>
        <w:right w:val="single" w:sz="4" w:space="10" w:color="B8CCE4"/>
      </w:pBdr>
      <w:shd w:val="clear" w:color="auto" w:fill="B8CCE4"/>
      <w:tabs>
        <w:tab w:val="left" w:pos="567"/>
      </w:tabs>
      <w:overflowPunct w:val="0"/>
      <w:autoSpaceDE w:val="0"/>
      <w:autoSpaceDN w:val="0"/>
      <w:adjustRightInd w:val="0"/>
      <w:ind w:left="964" w:right="720"/>
      <w:textAlignment w:val="baseline"/>
      <w:outlineLvl w:val="8"/>
    </w:pPr>
    <w:rPr>
      <w:rFonts w:cs="Arial"/>
      <w:bCs/>
      <w:sz w:val="12"/>
      <w:szCs w:val="20"/>
    </w:rPr>
  </w:style>
  <w:style w:type="paragraph" w:customStyle="1" w:styleId="Executivesummarypara">
    <w:name w:val="Executive summary para"/>
    <w:basedOn w:val="Normal"/>
    <w:qFormat/>
    <w:rsid w:val="000A21A1"/>
    <w:pPr>
      <w:numPr>
        <w:numId w:val="17"/>
      </w:numPr>
      <w:tabs>
        <w:tab w:val="left" w:pos="709"/>
      </w:tabs>
      <w:spacing w:before="240" w:after="120"/>
      <w:ind w:left="357" w:hanging="357"/>
    </w:pPr>
    <w:rPr>
      <w:rFonts w:ascii="Public Sans" w:hAnsi="Public Sans"/>
    </w:rPr>
  </w:style>
  <w:style w:type="paragraph" w:styleId="NormalWeb">
    <w:name w:val="Normal (Web)"/>
    <w:basedOn w:val="Normal"/>
    <w:uiPriority w:val="99"/>
    <w:rsid w:val="000A533F"/>
    <w:pPr>
      <w:spacing w:before="100" w:beforeAutospacing="1" w:after="100" w:afterAutospacing="1"/>
    </w:pPr>
    <w:rPr>
      <w:rFonts w:ascii="Arial Unicode MS" w:eastAsia="Arial Unicode MS" w:hAnsi="Arial Unicode MS" w:cs="Arial Unicode MS"/>
      <w:color w:val="000000"/>
      <w:sz w:val="24"/>
    </w:rPr>
  </w:style>
  <w:style w:type="paragraph" w:customStyle="1" w:styleId="ColorfulShading-Accent11">
    <w:name w:val="Colorful Shading - Accent 11"/>
    <w:hidden/>
    <w:uiPriority w:val="99"/>
    <w:semiHidden/>
    <w:rsid w:val="00B34097"/>
    <w:rPr>
      <w:rFonts w:ascii="Arial" w:hAnsi="Arial"/>
      <w:sz w:val="22"/>
      <w:szCs w:val="24"/>
      <w:lang w:eastAsia="en-US"/>
    </w:rPr>
  </w:style>
  <w:style w:type="table" w:styleId="TableGrid">
    <w:name w:val="Table Grid"/>
    <w:basedOn w:val="TableNormal"/>
    <w:uiPriority w:val="59"/>
    <w:rsid w:val="000A53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commendationheading">
    <w:name w:val="Recommendation_heading"/>
    <w:basedOn w:val="Normal"/>
    <w:next w:val="Recommendationnormal"/>
    <w:uiPriority w:val="9"/>
    <w:qFormat/>
    <w:rsid w:val="004D1F02"/>
    <w:pPr>
      <w:keepNext/>
      <w:pBdr>
        <w:top w:val="single" w:sz="4" w:space="10" w:color="B8CCE4"/>
        <w:left w:val="single" w:sz="4" w:space="10" w:color="B8CCE4"/>
        <w:bottom w:val="single" w:sz="4" w:space="10" w:color="B8CCE4"/>
        <w:right w:val="single" w:sz="4" w:space="10" w:color="B8CCE4"/>
      </w:pBdr>
      <w:shd w:val="clear" w:color="auto" w:fill="002664"/>
      <w:spacing w:before="120" w:after="120"/>
      <w:ind w:left="1134"/>
      <w:contextualSpacing/>
      <w:jc w:val="left"/>
      <w:outlineLvl w:val="4"/>
    </w:pPr>
    <w:rPr>
      <w:rFonts w:ascii="Public Sans SemiBold" w:hAnsi="Public Sans SemiBold"/>
      <w:b/>
      <w:color w:val="FFFFFF"/>
    </w:rPr>
  </w:style>
  <w:style w:type="paragraph" w:customStyle="1" w:styleId="Recommendationnormal">
    <w:name w:val="Recommendation_normal"/>
    <w:basedOn w:val="Normal"/>
    <w:uiPriority w:val="9"/>
    <w:qFormat/>
    <w:rsid w:val="00C91D7A"/>
    <w:pPr>
      <w:pBdr>
        <w:top w:val="single" w:sz="4" w:space="10" w:color="B8CCE4"/>
        <w:left w:val="single" w:sz="4" w:space="10" w:color="B8CCE4"/>
        <w:bottom w:val="single" w:sz="4" w:space="10" w:color="B8CCE4"/>
        <w:right w:val="single" w:sz="4" w:space="10" w:color="B8CCE4"/>
      </w:pBdr>
      <w:shd w:val="clear" w:color="auto" w:fill="CBEDFD"/>
      <w:spacing w:before="120" w:after="120"/>
      <w:ind w:left="1134"/>
      <w:jc w:val="left"/>
    </w:pPr>
    <w:rPr>
      <w:rFonts w:ascii="Public Sans" w:hAnsi="Public Sans"/>
    </w:rPr>
  </w:style>
  <w:style w:type="paragraph" w:customStyle="1" w:styleId="Bibliographysmall">
    <w:name w:val="Bibliography small"/>
    <w:basedOn w:val="Normalsinglelist"/>
    <w:semiHidden/>
    <w:rsid w:val="000A533F"/>
  </w:style>
  <w:style w:type="paragraph" w:customStyle="1" w:styleId="InBriefBullet">
    <w:name w:val="In Brief Bullet"/>
    <w:basedOn w:val="Normal"/>
    <w:uiPriority w:val="16"/>
    <w:qFormat/>
    <w:rsid w:val="000A533F"/>
    <w:pPr>
      <w:numPr>
        <w:numId w:val="18"/>
      </w:numPr>
      <w:pBdr>
        <w:top w:val="single" w:sz="4" w:space="5" w:color="FFFFFF"/>
        <w:left w:val="single" w:sz="4" w:space="10" w:color="FFFFFF"/>
        <w:bottom w:val="single" w:sz="4" w:space="5" w:color="FFFFFF"/>
        <w:right w:val="single" w:sz="4" w:space="10" w:color="FFFFFF"/>
      </w:pBdr>
      <w:shd w:val="clear" w:color="auto" w:fill="B8CCE4"/>
      <w:spacing w:before="40" w:after="120"/>
      <w:ind w:right="720"/>
    </w:pPr>
  </w:style>
  <w:style w:type="paragraph" w:customStyle="1" w:styleId="NormalAutoAppendix">
    <w:name w:val="Normal_Auto_Appendix"/>
    <w:basedOn w:val="Normal"/>
    <w:uiPriority w:val="2"/>
    <w:qFormat/>
    <w:rsid w:val="00741C6B"/>
    <w:pPr>
      <w:numPr>
        <w:ilvl w:val="3"/>
        <w:numId w:val="20"/>
      </w:numPr>
      <w:spacing w:before="240" w:after="0" w:line="288" w:lineRule="auto"/>
      <w:jc w:val="left"/>
    </w:pPr>
    <w:rPr>
      <w:rFonts w:cs="Arial"/>
      <w:color w:val="000000"/>
    </w:rPr>
  </w:style>
  <w:style w:type="numbering" w:customStyle="1" w:styleId="LCRNumberingList">
    <w:name w:val="LCR_NumberingList"/>
    <w:uiPriority w:val="99"/>
    <w:rsid w:val="000A533F"/>
    <w:pPr>
      <w:numPr>
        <w:numId w:val="19"/>
      </w:numPr>
    </w:pPr>
  </w:style>
  <w:style w:type="paragraph" w:styleId="BalloonText">
    <w:name w:val="Balloon Text"/>
    <w:basedOn w:val="Normal"/>
    <w:link w:val="BalloonTextChar"/>
    <w:uiPriority w:val="99"/>
    <w:semiHidden/>
    <w:rsid w:val="000A533F"/>
    <w:rPr>
      <w:rFonts w:ascii="Tahoma" w:hAnsi="Tahoma" w:cs="Tahoma"/>
      <w:sz w:val="16"/>
      <w:szCs w:val="16"/>
    </w:rPr>
  </w:style>
  <w:style w:type="character" w:customStyle="1" w:styleId="BalloonTextChar">
    <w:name w:val="Balloon Text Char"/>
    <w:link w:val="BalloonText"/>
    <w:uiPriority w:val="99"/>
    <w:semiHidden/>
    <w:rsid w:val="000A533F"/>
    <w:rPr>
      <w:rFonts w:ascii="Tahoma" w:hAnsi="Tahoma" w:cs="Tahoma"/>
      <w:sz w:val="16"/>
      <w:szCs w:val="16"/>
      <w:lang w:eastAsia="en-US"/>
    </w:rPr>
  </w:style>
  <w:style w:type="paragraph" w:customStyle="1" w:styleId="PrelimtitleDoctype">
    <w:name w:val="Prelim_title_Doctype"/>
    <w:basedOn w:val="Prelimtitle"/>
    <w:semiHidden/>
    <w:qFormat/>
    <w:rsid w:val="000A533F"/>
    <w:pPr>
      <w:jc w:val="right"/>
    </w:pPr>
  </w:style>
  <w:style w:type="paragraph" w:styleId="Title">
    <w:name w:val="Title"/>
    <w:basedOn w:val="Prelimtitlelarge"/>
    <w:next w:val="Normal"/>
    <w:link w:val="TitleChar"/>
    <w:uiPriority w:val="1"/>
    <w:qFormat/>
    <w:locked/>
    <w:rsid w:val="000A533F"/>
    <w:pPr>
      <w:spacing w:before="0"/>
    </w:pPr>
  </w:style>
  <w:style w:type="character" w:customStyle="1" w:styleId="TitleChar">
    <w:name w:val="Title Char"/>
    <w:link w:val="Title"/>
    <w:uiPriority w:val="1"/>
    <w:rsid w:val="000A533F"/>
    <w:rPr>
      <w:rFonts w:ascii="Public Sans" w:hAnsi="Public Sans"/>
      <w:b/>
      <w:color w:val="365F91"/>
      <w:sz w:val="48"/>
      <w:szCs w:val="24"/>
      <w:lang w:eastAsia="en-US"/>
    </w:rPr>
  </w:style>
  <w:style w:type="paragraph" w:customStyle="1" w:styleId="Blank">
    <w:name w:val="Blank"/>
    <w:basedOn w:val="Normal"/>
    <w:uiPriority w:val="17"/>
    <w:qFormat/>
    <w:rsid w:val="000A533F"/>
  </w:style>
  <w:style w:type="paragraph" w:customStyle="1" w:styleId="Heading-Major">
    <w:name w:val="Heading - Major"/>
    <w:basedOn w:val="Normal"/>
    <w:next w:val="Normal"/>
    <w:uiPriority w:val="1"/>
    <w:semiHidden/>
    <w:qFormat/>
    <w:rsid w:val="000A533F"/>
    <w:pPr>
      <w:pBdr>
        <w:bottom w:val="single" w:sz="2" w:space="1" w:color="auto"/>
      </w:pBdr>
      <w:spacing w:before="480" w:after="480"/>
      <w:outlineLvl w:val="0"/>
    </w:pPr>
    <w:rPr>
      <w:b/>
      <w:color w:val="365F91"/>
      <w:sz w:val="32"/>
      <w:szCs w:val="32"/>
    </w:rPr>
  </w:style>
  <w:style w:type="paragraph" w:customStyle="1" w:styleId="NormalText">
    <w:name w:val="Normal_Text"/>
    <w:basedOn w:val="Normal"/>
    <w:uiPriority w:val="1"/>
    <w:qFormat/>
    <w:rsid w:val="00DC671C"/>
    <w:pPr>
      <w:spacing w:before="240" w:after="120" w:line="288" w:lineRule="auto"/>
      <w:ind w:left="720"/>
      <w:jc w:val="left"/>
    </w:pPr>
    <w:rPr>
      <w:rFonts w:ascii="Public Sans" w:hAnsi="Public Sans"/>
    </w:rPr>
  </w:style>
  <w:style w:type="paragraph" w:customStyle="1" w:styleId="Recommendationhanging1">
    <w:name w:val="Recommendation_hanging(1)"/>
    <w:basedOn w:val="Recommendationnormal"/>
    <w:uiPriority w:val="10"/>
    <w:qFormat/>
    <w:rsid w:val="000A533F"/>
    <w:pPr>
      <w:ind w:left="1559" w:hanging="425"/>
    </w:pPr>
  </w:style>
  <w:style w:type="character" w:styleId="Hyperlink">
    <w:name w:val="Hyperlink"/>
    <w:uiPriority w:val="99"/>
    <w:rsid w:val="00AE334B"/>
    <w:rPr>
      <w:rFonts w:ascii="Arial" w:hAnsi="Arial"/>
      <w:dstrike w:val="0"/>
      <w:color w:val="146CFD"/>
      <w:sz w:val="18"/>
      <w:u w:val="single"/>
      <w:effect w:val="none"/>
      <w:bdr w:val="none" w:sz="0" w:space="0" w:color="auto"/>
      <w:shd w:val="clear" w:color="auto" w:fill="auto"/>
      <w:vertAlign w:val="baseline"/>
    </w:rPr>
  </w:style>
  <w:style w:type="paragraph" w:styleId="Index1">
    <w:name w:val="index 1"/>
    <w:basedOn w:val="Normal"/>
    <w:next w:val="Normal"/>
    <w:autoRedefine/>
    <w:semiHidden/>
    <w:rsid w:val="000A533F"/>
    <w:pPr>
      <w:spacing w:line="280" w:lineRule="exact"/>
      <w:ind w:left="220" w:hanging="220"/>
    </w:pPr>
  </w:style>
  <w:style w:type="paragraph" w:styleId="Index2">
    <w:name w:val="index 2"/>
    <w:basedOn w:val="Normal"/>
    <w:next w:val="Normal"/>
    <w:autoRedefine/>
    <w:semiHidden/>
    <w:rsid w:val="000A533F"/>
    <w:pPr>
      <w:spacing w:line="280" w:lineRule="exact"/>
      <w:ind w:left="440" w:hanging="220"/>
    </w:pPr>
  </w:style>
  <w:style w:type="paragraph" w:styleId="Index3">
    <w:name w:val="index 3"/>
    <w:basedOn w:val="Normal"/>
    <w:next w:val="Normal"/>
    <w:autoRedefine/>
    <w:semiHidden/>
    <w:rsid w:val="000A533F"/>
    <w:pPr>
      <w:spacing w:line="280" w:lineRule="exact"/>
      <w:ind w:left="660" w:hanging="220"/>
    </w:pPr>
  </w:style>
  <w:style w:type="paragraph" w:styleId="Index4">
    <w:name w:val="index 4"/>
    <w:basedOn w:val="Normal"/>
    <w:next w:val="Normal"/>
    <w:autoRedefine/>
    <w:semiHidden/>
    <w:rsid w:val="000A533F"/>
    <w:pPr>
      <w:spacing w:line="280" w:lineRule="exact"/>
      <w:ind w:left="880" w:hanging="220"/>
    </w:pPr>
  </w:style>
  <w:style w:type="paragraph" w:styleId="Index5">
    <w:name w:val="index 5"/>
    <w:basedOn w:val="Normal"/>
    <w:next w:val="Normal"/>
    <w:autoRedefine/>
    <w:semiHidden/>
    <w:rsid w:val="000A533F"/>
    <w:pPr>
      <w:spacing w:line="280" w:lineRule="exact"/>
      <w:ind w:left="1100" w:hanging="220"/>
    </w:pPr>
  </w:style>
  <w:style w:type="paragraph" w:styleId="Index6">
    <w:name w:val="index 6"/>
    <w:basedOn w:val="Normal"/>
    <w:next w:val="Normal"/>
    <w:autoRedefine/>
    <w:semiHidden/>
    <w:rsid w:val="000A533F"/>
    <w:pPr>
      <w:spacing w:line="280" w:lineRule="exact"/>
      <w:ind w:left="1320" w:hanging="220"/>
    </w:pPr>
  </w:style>
  <w:style w:type="paragraph" w:styleId="Index7">
    <w:name w:val="index 7"/>
    <w:basedOn w:val="Normal"/>
    <w:next w:val="Normal"/>
    <w:autoRedefine/>
    <w:semiHidden/>
    <w:rsid w:val="000A533F"/>
    <w:pPr>
      <w:spacing w:line="280" w:lineRule="exact"/>
      <w:ind w:left="1540" w:hanging="220"/>
    </w:pPr>
  </w:style>
  <w:style w:type="paragraph" w:styleId="Index8">
    <w:name w:val="index 8"/>
    <w:basedOn w:val="Normal"/>
    <w:next w:val="Normal"/>
    <w:autoRedefine/>
    <w:semiHidden/>
    <w:rsid w:val="000A533F"/>
    <w:pPr>
      <w:spacing w:line="280" w:lineRule="exact"/>
      <w:ind w:left="1760" w:hanging="220"/>
    </w:pPr>
  </w:style>
  <w:style w:type="paragraph" w:styleId="Index9">
    <w:name w:val="index 9"/>
    <w:basedOn w:val="Normal"/>
    <w:next w:val="Normal"/>
    <w:autoRedefine/>
    <w:semiHidden/>
    <w:rsid w:val="000A533F"/>
    <w:pPr>
      <w:spacing w:line="280" w:lineRule="exact"/>
      <w:ind w:left="1980" w:hanging="220"/>
    </w:pPr>
  </w:style>
  <w:style w:type="paragraph" w:customStyle="1" w:styleId="Recommendationhanginga">
    <w:name w:val="Recommendation_hanging(a)"/>
    <w:basedOn w:val="Recommendationnormal"/>
    <w:uiPriority w:val="10"/>
    <w:qFormat/>
    <w:rsid w:val="000A533F"/>
    <w:pPr>
      <w:tabs>
        <w:tab w:val="left" w:pos="1559"/>
      </w:tabs>
      <w:ind w:left="1985" w:hanging="851"/>
    </w:pPr>
  </w:style>
  <w:style w:type="paragraph" w:customStyle="1" w:styleId="Recommendationhangingi">
    <w:name w:val="Recommendation_hanging(i)"/>
    <w:basedOn w:val="Recommendationnormal"/>
    <w:uiPriority w:val="10"/>
    <w:qFormat/>
    <w:rsid w:val="000A533F"/>
    <w:pPr>
      <w:tabs>
        <w:tab w:val="left" w:pos="1985"/>
      </w:tabs>
      <w:ind w:left="2410" w:hanging="1276"/>
    </w:pPr>
  </w:style>
  <w:style w:type="paragraph" w:customStyle="1" w:styleId="RecommendationhangingA0">
    <w:name w:val="Recommendation_hanging(A)"/>
    <w:basedOn w:val="Recommendationnormal"/>
    <w:uiPriority w:val="11"/>
    <w:qFormat/>
    <w:rsid w:val="000A533F"/>
    <w:pPr>
      <w:tabs>
        <w:tab w:val="left" w:pos="2410"/>
      </w:tabs>
      <w:ind w:left="2835" w:hanging="1701"/>
    </w:pPr>
  </w:style>
  <w:style w:type="paragraph" w:styleId="HTMLPreformatted">
    <w:name w:val="HTML Preformatted"/>
    <w:basedOn w:val="Normal"/>
    <w:link w:val="HTMLPreformattedChar"/>
    <w:semiHidden/>
    <w:locked/>
    <w:rsid w:val="000A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Arial Unicode MS" w:cs="Arial"/>
      <w:szCs w:val="20"/>
    </w:rPr>
  </w:style>
  <w:style w:type="character" w:customStyle="1" w:styleId="HTMLPreformattedChar">
    <w:name w:val="HTML Preformatted Char"/>
    <w:link w:val="HTMLPreformatted"/>
    <w:semiHidden/>
    <w:rsid w:val="000A533F"/>
    <w:rPr>
      <w:rFonts w:ascii="Public Sans" w:eastAsia="Arial Unicode MS" w:hAnsi="Public Sans" w:cs="Arial"/>
      <w:sz w:val="22"/>
      <w:lang w:eastAsia="en-US"/>
    </w:rPr>
  </w:style>
  <w:style w:type="paragraph" w:customStyle="1" w:styleId="ColorfulList-Accent11">
    <w:name w:val="Colorful List - Accent 11"/>
    <w:basedOn w:val="Normal"/>
    <w:uiPriority w:val="34"/>
    <w:qFormat/>
    <w:locked/>
    <w:rsid w:val="000A533F"/>
    <w:pPr>
      <w:spacing w:line="280" w:lineRule="exact"/>
      <w:ind w:left="720"/>
      <w:contextualSpacing/>
    </w:pPr>
  </w:style>
  <w:style w:type="character" w:styleId="CommentReference">
    <w:name w:val="annotation reference"/>
    <w:uiPriority w:val="99"/>
    <w:rsid w:val="000A533F"/>
    <w:rPr>
      <w:sz w:val="16"/>
      <w:szCs w:val="16"/>
    </w:rPr>
  </w:style>
  <w:style w:type="paragraph" w:styleId="CommentText">
    <w:name w:val="annotation text"/>
    <w:basedOn w:val="Normal"/>
    <w:link w:val="CommentTextChar"/>
    <w:uiPriority w:val="99"/>
    <w:rsid w:val="000A533F"/>
    <w:pPr>
      <w:ind w:left="720"/>
    </w:pPr>
    <w:rPr>
      <w:szCs w:val="20"/>
    </w:rPr>
  </w:style>
  <w:style w:type="character" w:customStyle="1" w:styleId="CommentTextChar">
    <w:name w:val="Comment Text Char"/>
    <w:link w:val="CommentText"/>
    <w:uiPriority w:val="99"/>
    <w:rsid w:val="000A533F"/>
    <w:rPr>
      <w:rFonts w:ascii="Public Sans" w:hAnsi="Public Sans"/>
      <w:sz w:val="22"/>
      <w:lang w:eastAsia="en-US"/>
    </w:rPr>
  </w:style>
  <w:style w:type="paragraph" w:styleId="CommentSubject">
    <w:name w:val="annotation subject"/>
    <w:basedOn w:val="CommentText"/>
    <w:next w:val="CommentText"/>
    <w:link w:val="CommentSubjectChar"/>
    <w:uiPriority w:val="99"/>
    <w:semiHidden/>
    <w:rsid w:val="000A533F"/>
    <w:rPr>
      <w:b/>
      <w:bCs/>
    </w:rPr>
  </w:style>
  <w:style w:type="character" w:customStyle="1" w:styleId="CommentSubjectChar">
    <w:name w:val="Comment Subject Char"/>
    <w:link w:val="CommentSubject"/>
    <w:uiPriority w:val="99"/>
    <w:semiHidden/>
    <w:rsid w:val="000A533F"/>
    <w:rPr>
      <w:rFonts w:ascii="Public Sans" w:hAnsi="Public Sans"/>
      <w:b/>
      <w:bCs/>
      <w:sz w:val="22"/>
      <w:lang w:eastAsia="en-US"/>
    </w:rPr>
  </w:style>
  <w:style w:type="character" w:styleId="FollowedHyperlink">
    <w:name w:val="FollowedHyperlink"/>
    <w:semiHidden/>
    <w:unhideWhenUsed/>
    <w:rsid w:val="000A533F"/>
    <w:rPr>
      <w:color w:val="800080"/>
      <w:u w:val="single"/>
    </w:rPr>
  </w:style>
  <w:style w:type="paragraph" w:customStyle="1" w:styleId="Recheading">
    <w:name w:val="Rec_heading"/>
    <w:basedOn w:val="Normal"/>
    <w:uiPriority w:val="9"/>
    <w:semiHidden/>
    <w:qFormat/>
    <w:rsid w:val="000A533F"/>
    <w:pPr>
      <w:spacing w:before="160" w:after="113"/>
    </w:pPr>
    <w:rPr>
      <w:b/>
    </w:rPr>
  </w:style>
  <w:style w:type="paragraph" w:customStyle="1" w:styleId="Recnormal">
    <w:name w:val="Rec_normal"/>
    <w:basedOn w:val="Normal"/>
    <w:uiPriority w:val="9"/>
    <w:semiHidden/>
    <w:qFormat/>
    <w:rsid w:val="000A533F"/>
    <w:pPr>
      <w:spacing w:before="40" w:after="120"/>
    </w:pPr>
  </w:style>
  <w:style w:type="paragraph" w:customStyle="1" w:styleId="InBriefHeading">
    <w:name w:val="In Brief Heading"/>
    <w:basedOn w:val="Recommendationheading"/>
    <w:next w:val="InBriefText"/>
    <w:uiPriority w:val="15"/>
    <w:qFormat/>
    <w:rsid w:val="00C16305"/>
    <w:pPr>
      <w:spacing w:before="240" w:line="240" w:lineRule="auto"/>
      <w:ind w:right="720"/>
    </w:pPr>
    <w:rPr>
      <w:rFonts w:ascii="Public Sans" w:hAnsi="Public Sans"/>
      <w:color w:val="FFFFFF" w:themeColor="background1"/>
    </w:rPr>
  </w:style>
  <w:style w:type="paragraph" w:customStyle="1" w:styleId="InBriefText">
    <w:name w:val="In Brief Text"/>
    <w:basedOn w:val="Recommendationnormal"/>
    <w:uiPriority w:val="15"/>
    <w:qFormat/>
    <w:rsid w:val="00C91D7A"/>
    <w:pPr>
      <w:pBdr>
        <w:top w:val="single" w:sz="4" w:space="5" w:color="FFFFFF"/>
        <w:left w:val="single" w:sz="4" w:space="10" w:color="FFFFFF"/>
        <w:bottom w:val="single" w:sz="4" w:space="5" w:color="FFFFFF"/>
        <w:right w:val="single" w:sz="4" w:space="10" w:color="FFFFFF"/>
      </w:pBdr>
      <w:ind w:right="720"/>
    </w:pPr>
  </w:style>
  <w:style w:type="paragraph" w:customStyle="1" w:styleId="QuotationAhanging0">
    <w:name w:val="Quotation_(A)hanging"/>
    <w:basedOn w:val="Quotationihanging"/>
    <w:uiPriority w:val="8"/>
    <w:qFormat/>
    <w:rsid w:val="007A747B"/>
    <w:pPr>
      <w:ind w:left="3158"/>
    </w:pPr>
  </w:style>
  <w:style w:type="paragraph" w:customStyle="1" w:styleId="FigureCaption">
    <w:name w:val="Figure Caption"/>
    <w:basedOn w:val="Tablecaption"/>
    <w:uiPriority w:val="12"/>
    <w:qFormat/>
    <w:rsid w:val="00405C9B"/>
    <w:pPr>
      <w:spacing w:after="0"/>
      <w:outlineLvl w:val="4"/>
    </w:pPr>
  </w:style>
  <w:style w:type="character" w:customStyle="1" w:styleId="TableGridLight1">
    <w:name w:val="Table Grid Light1"/>
    <w:uiPriority w:val="32"/>
    <w:locked/>
    <w:rsid w:val="000A533F"/>
    <w:rPr>
      <w:lang w:val="en-GB" w:eastAsia="zh-CN"/>
    </w:rPr>
  </w:style>
  <w:style w:type="paragraph" w:customStyle="1" w:styleId="Headingdefault">
    <w:name w:val="Heading default"/>
    <w:basedOn w:val="NormalText"/>
    <w:next w:val="Normal"/>
    <w:qFormat/>
    <w:rsid w:val="000A533F"/>
    <w:pPr>
      <w:tabs>
        <w:tab w:val="left" w:pos="720"/>
      </w:tabs>
      <w:ind w:hanging="720"/>
      <w:outlineLvl w:val="0"/>
    </w:pPr>
    <w:rPr>
      <w:color w:val="16517D"/>
      <w:sz w:val="48"/>
    </w:rPr>
  </w:style>
  <w:style w:type="paragraph" w:styleId="Header">
    <w:name w:val="header"/>
    <w:basedOn w:val="Normal"/>
    <w:link w:val="HeaderChar"/>
    <w:unhideWhenUsed/>
    <w:rsid w:val="000A533F"/>
    <w:pPr>
      <w:tabs>
        <w:tab w:val="center" w:pos="4513"/>
        <w:tab w:val="right" w:pos="9026"/>
      </w:tabs>
    </w:pPr>
  </w:style>
  <w:style w:type="character" w:customStyle="1" w:styleId="HeaderChar">
    <w:name w:val="Header Char"/>
    <w:link w:val="Header"/>
    <w:rsid w:val="000A533F"/>
    <w:rPr>
      <w:rFonts w:ascii="Public Sans" w:hAnsi="Public Sans"/>
      <w:sz w:val="22"/>
      <w:szCs w:val="24"/>
      <w:lang w:eastAsia="en-US"/>
    </w:rPr>
  </w:style>
  <w:style w:type="paragraph" w:customStyle="1" w:styleId="Titlepage1">
    <w:name w:val="Title page 1"/>
    <w:basedOn w:val="Heading1"/>
    <w:qFormat/>
    <w:rsid w:val="000A533F"/>
    <w:rPr>
      <w:rFonts w:ascii="Helvetica" w:hAnsi="Helvetica" w:cs="Helvetica"/>
      <w:b w:val="0"/>
      <w:bCs w:val="0"/>
      <w:sz w:val="48"/>
    </w:rPr>
  </w:style>
  <w:style w:type="paragraph" w:customStyle="1" w:styleId="Titlepage2">
    <w:name w:val="Title page 2"/>
    <w:basedOn w:val="Normalsingle"/>
    <w:qFormat/>
    <w:rsid w:val="000A533F"/>
    <w:pPr>
      <w:ind w:left="720"/>
    </w:pPr>
    <w:rPr>
      <w:sz w:val="28"/>
      <w:szCs w:val="28"/>
    </w:rPr>
  </w:style>
  <w:style w:type="paragraph" w:customStyle="1" w:styleId="Tableinsert">
    <w:name w:val="Table insert"/>
    <w:basedOn w:val="Tablesource"/>
    <w:next w:val="Tablesource"/>
    <w:uiPriority w:val="1"/>
    <w:qFormat/>
    <w:rsid w:val="000A533F"/>
    <w:pPr>
      <w:spacing w:after="120"/>
      <w:ind w:left="0"/>
    </w:pPr>
  </w:style>
  <w:style w:type="paragraph" w:customStyle="1" w:styleId="FootnoteTextquote">
    <w:name w:val="Footnote Text_quote"/>
    <w:basedOn w:val="FootnoteText"/>
    <w:uiPriority w:val="17"/>
    <w:rsid w:val="000A533F"/>
    <w:pPr>
      <w:ind w:left="851" w:right="851" w:firstLine="0"/>
    </w:pPr>
  </w:style>
  <w:style w:type="paragraph" w:customStyle="1" w:styleId="Normalautonumbereda">
    <w:name w:val="Normal_auto_numbered(a)"/>
    <w:basedOn w:val="Normal"/>
    <w:qFormat/>
    <w:rsid w:val="000A533F"/>
    <w:pPr>
      <w:tabs>
        <w:tab w:val="num" w:pos="720"/>
      </w:tabs>
      <w:spacing w:line="288" w:lineRule="auto"/>
      <w:ind w:left="720" w:hanging="720"/>
      <w:jc w:val="left"/>
    </w:pPr>
    <w:rPr>
      <w:rFonts w:cs="Arial"/>
    </w:rPr>
  </w:style>
  <w:style w:type="paragraph" w:customStyle="1" w:styleId="HeadingTOC">
    <w:name w:val="Heading TOC"/>
    <w:basedOn w:val="Headingdefault"/>
    <w:uiPriority w:val="1"/>
    <w:qFormat/>
    <w:rsid w:val="000A533F"/>
    <w:pPr>
      <w:spacing w:after="360"/>
      <w:outlineLvl w:val="9"/>
    </w:pPr>
  </w:style>
  <w:style w:type="paragraph" w:customStyle="1" w:styleId="Style1">
    <w:name w:val="Style1"/>
    <w:basedOn w:val="Normal"/>
    <w:uiPriority w:val="1"/>
    <w:qFormat/>
    <w:rsid w:val="000A533F"/>
    <w:pPr>
      <w:numPr>
        <w:ilvl w:val="1"/>
        <w:numId w:val="20"/>
      </w:numPr>
      <w:spacing w:before="120" w:line="288" w:lineRule="auto"/>
      <w:jc w:val="left"/>
    </w:pPr>
    <w:rPr>
      <w:rFonts w:cs="Arial"/>
      <w:color w:val="FF0000"/>
    </w:rPr>
  </w:style>
  <w:style w:type="paragraph" w:customStyle="1" w:styleId="p1">
    <w:name w:val="p1"/>
    <w:basedOn w:val="Normal"/>
    <w:rsid w:val="000A533F"/>
    <w:pPr>
      <w:jc w:val="left"/>
    </w:pPr>
    <w:rPr>
      <w:color w:val="000000"/>
      <w:sz w:val="18"/>
      <w:szCs w:val="18"/>
      <w:lang w:eastAsia="zh-CN"/>
    </w:rPr>
  </w:style>
  <w:style w:type="table" w:styleId="ListTable6Colorful-Accent2">
    <w:name w:val="List Table 6 Colorful Accent 2"/>
    <w:basedOn w:val="TableNormal"/>
    <w:uiPriority w:val="49"/>
    <w:rsid w:val="000A533F"/>
    <w:tblPr>
      <w:tblStyleRowBandSize w:val="1"/>
      <w:tblStyleColBandSize w:val="1"/>
      <w:tblBorders>
        <w:top w:val="single" w:sz="4" w:space="0" w:color="459DDE"/>
        <w:left w:val="single" w:sz="4" w:space="0" w:color="459DDE"/>
        <w:bottom w:val="single" w:sz="4" w:space="0" w:color="459DDE"/>
        <w:right w:val="single" w:sz="4" w:space="0" w:color="459DDE"/>
        <w:insideH w:val="single" w:sz="4" w:space="0" w:color="459DDE"/>
      </w:tblBorders>
    </w:tblPr>
    <w:tblStylePr w:type="firstRow">
      <w:rPr>
        <w:b/>
        <w:bCs/>
        <w:color w:val="FFFFFF"/>
      </w:rPr>
      <w:tblPr/>
      <w:tcPr>
        <w:tcBorders>
          <w:top w:val="single" w:sz="4" w:space="0" w:color="16517D"/>
          <w:left w:val="single" w:sz="4" w:space="0" w:color="16517D"/>
          <w:bottom w:val="single" w:sz="4" w:space="0" w:color="16517D"/>
          <w:right w:val="single" w:sz="4" w:space="0" w:color="16517D"/>
          <w:insideH w:val="nil"/>
        </w:tcBorders>
        <w:shd w:val="clear" w:color="auto" w:fill="16517D"/>
      </w:tcPr>
    </w:tblStylePr>
    <w:tblStylePr w:type="lastRow">
      <w:rPr>
        <w:b/>
        <w:bCs/>
      </w:rPr>
      <w:tblPr/>
      <w:tcPr>
        <w:tcBorders>
          <w:top w:val="double" w:sz="4" w:space="0" w:color="459DDE"/>
        </w:tcBorders>
      </w:tcPr>
    </w:tblStylePr>
    <w:tblStylePr w:type="firstCol">
      <w:rPr>
        <w:b/>
        <w:bCs/>
      </w:rPr>
    </w:tblStylePr>
    <w:tblStylePr w:type="lastCol">
      <w:rPr>
        <w:b/>
        <w:bCs/>
      </w:rPr>
    </w:tblStylePr>
    <w:tblStylePr w:type="band1Vert">
      <w:tblPr/>
      <w:tcPr>
        <w:shd w:val="clear" w:color="auto" w:fill="C1DEF4"/>
      </w:tcPr>
    </w:tblStylePr>
    <w:tblStylePr w:type="band1Horz">
      <w:tblPr/>
      <w:tcPr>
        <w:shd w:val="clear" w:color="auto" w:fill="C1DEF4"/>
      </w:tcPr>
    </w:tblStylePr>
  </w:style>
  <w:style w:type="character" w:styleId="EndnoteReference">
    <w:name w:val="endnote reference"/>
    <w:aliases w:val="QUOTE,Quote1,1_G"/>
    <w:uiPriority w:val="99"/>
    <w:unhideWhenUsed/>
    <w:rsid w:val="000A533F"/>
    <w:rPr>
      <w:vertAlign w:val="superscript"/>
    </w:rPr>
  </w:style>
  <w:style w:type="table" w:styleId="ListTable5Dark-Accent2">
    <w:name w:val="List Table 5 Dark Accent 2"/>
    <w:basedOn w:val="TableNormal"/>
    <w:uiPriority w:val="48"/>
    <w:rsid w:val="000A533F"/>
    <w:tblPr>
      <w:tblStyleRowBandSize w:val="1"/>
      <w:tblStyleColBandSize w:val="1"/>
      <w:tblBorders>
        <w:top w:val="single" w:sz="4" w:space="0" w:color="16517D"/>
        <w:left w:val="single" w:sz="4" w:space="0" w:color="16517D"/>
        <w:bottom w:val="single" w:sz="4" w:space="0" w:color="16517D"/>
        <w:right w:val="single" w:sz="4" w:space="0" w:color="16517D"/>
      </w:tblBorders>
    </w:tblPr>
    <w:tblStylePr w:type="firstRow">
      <w:rPr>
        <w:b/>
        <w:bCs/>
        <w:color w:val="FFFFFF"/>
      </w:rPr>
      <w:tblPr/>
      <w:tcPr>
        <w:shd w:val="clear" w:color="auto" w:fill="16517D"/>
      </w:tcPr>
    </w:tblStylePr>
    <w:tblStylePr w:type="lastRow">
      <w:rPr>
        <w:b/>
        <w:bCs/>
      </w:rPr>
      <w:tblPr/>
      <w:tcPr>
        <w:tcBorders>
          <w:top w:val="double" w:sz="4" w:space="0" w:color="16517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6517D"/>
          <w:right w:val="single" w:sz="4" w:space="0" w:color="16517D"/>
        </w:tcBorders>
      </w:tcPr>
    </w:tblStylePr>
    <w:tblStylePr w:type="band1Horz">
      <w:tblPr/>
      <w:tcPr>
        <w:tcBorders>
          <w:top w:val="single" w:sz="4" w:space="0" w:color="16517D"/>
          <w:bottom w:val="single" w:sz="4" w:space="0" w:color="16517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517D"/>
          <w:left w:val="nil"/>
        </w:tcBorders>
      </w:tcPr>
    </w:tblStylePr>
    <w:tblStylePr w:type="swCell">
      <w:tblPr/>
      <w:tcPr>
        <w:tcBorders>
          <w:top w:val="double" w:sz="4" w:space="0" w:color="16517D"/>
          <w:right w:val="nil"/>
        </w:tcBorders>
      </w:tcPr>
    </w:tblStylePr>
  </w:style>
  <w:style w:type="paragraph" w:customStyle="1" w:styleId="InBriefTableHeading">
    <w:name w:val="In Brief_Table Heading"/>
    <w:basedOn w:val="Tabletext"/>
    <w:uiPriority w:val="1"/>
    <w:qFormat/>
    <w:rsid w:val="000A533F"/>
    <w:pPr>
      <w:spacing w:line="288" w:lineRule="auto"/>
    </w:pPr>
    <w:rPr>
      <w:b/>
      <w:color w:val="FFFFFF" w:themeColor="background1"/>
    </w:rPr>
  </w:style>
  <w:style w:type="paragraph" w:customStyle="1" w:styleId="InBriefTableText">
    <w:name w:val="In Brief_Table Text"/>
    <w:basedOn w:val="Tabletext"/>
    <w:uiPriority w:val="1"/>
    <w:qFormat/>
    <w:rsid w:val="000A533F"/>
    <w:rPr>
      <w:rFonts w:cs="Arial"/>
      <w:b/>
      <w:color w:val="000000"/>
      <w:szCs w:val="22"/>
      <w:lang w:eastAsia="zh-CN"/>
    </w:rPr>
  </w:style>
  <w:style w:type="paragraph" w:styleId="TOAHeading">
    <w:name w:val="toa heading"/>
    <w:basedOn w:val="Normal"/>
    <w:next w:val="Normal"/>
    <w:uiPriority w:val="99"/>
    <w:semiHidden/>
    <w:unhideWhenUsed/>
    <w:rsid w:val="000A533F"/>
    <w:pPr>
      <w:spacing w:before="120"/>
    </w:pPr>
    <w:rPr>
      <w:rFonts w:eastAsia="SimHei" w:cs="Arial"/>
      <w:b/>
      <w:bCs/>
      <w:sz w:val="24"/>
    </w:rPr>
  </w:style>
  <w:style w:type="paragraph" w:customStyle="1" w:styleId="NormalAutoChapter">
    <w:name w:val="Normal_Auto_Chapter"/>
    <w:basedOn w:val="Normal"/>
    <w:uiPriority w:val="2"/>
    <w:qFormat/>
    <w:rsid w:val="00F17CDB"/>
    <w:pPr>
      <w:numPr>
        <w:ilvl w:val="1"/>
        <w:numId w:val="21"/>
      </w:numPr>
      <w:spacing w:before="240" w:after="0" w:line="288" w:lineRule="auto"/>
      <w:jc w:val="left"/>
    </w:pPr>
    <w:rPr>
      <w:rFonts w:ascii="Public Sans" w:hAnsi="Public Sans" w:cs="Arial"/>
      <w:color w:val="000000"/>
      <w:lang w:eastAsia="en-AU"/>
    </w:rPr>
  </w:style>
  <w:style w:type="table" w:customStyle="1" w:styleId="ListTable3-Accent11">
    <w:name w:val="List Table 3 - Accent 11"/>
    <w:basedOn w:val="TableNormal"/>
    <w:uiPriority w:val="48"/>
    <w:rsid w:val="000A533F"/>
    <w:rPr>
      <w:lang w:val="en-GB" w:eastAsia="zh-CN"/>
    </w:rPr>
    <w:tblPr>
      <w:tblStyleRowBandSize w:val="1"/>
      <w:tblStyleColBandSize w:val="1"/>
      <w:tblBorders>
        <w:top w:val="single" w:sz="4" w:space="0" w:color="16517D"/>
        <w:left w:val="single" w:sz="4" w:space="0" w:color="16517D"/>
        <w:bottom w:val="single" w:sz="4" w:space="0" w:color="16517D"/>
        <w:right w:val="single" w:sz="4" w:space="0" w:color="16517D"/>
      </w:tblBorders>
    </w:tblPr>
    <w:tblStylePr w:type="firstRow">
      <w:rPr>
        <w:b/>
        <w:bCs/>
        <w:color w:val="FFFFFF"/>
      </w:rPr>
      <w:tblPr/>
      <w:tcPr>
        <w:shd w:val="clear" w:color="auto" w:fill="16517D"/>
      </w:tcPr>
    </w:tblStylePr>
    <w:tblStylePr w:type="lastRow">
      <w:rPr>
        <w:b/>
        <w:bCs/>
      </w:rPr>
      <w:tblPr/>
      <w:tcPr>
        <w:tcBorders>
          <w:top w:val="double" w:sz="4" w:space="0" w:color="16517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6517D"/>
          <w:right w:val="single" w:sz="4" w:space="0" w:color="16517D"/>
        </w:tcBorders>
      </w:tcPr>
    </w:tblStylePr>
    <w:tblStylePr w:type="band1Horz">
      <w:tblPr/>
      <w:tcPr>
        <w:tcBorders>
          <w:top w:val="single" w:sz="4" w:space="0" w:color="16517D"/>
          <w:bottom w:val="single" w:sz="4" w:space="0" w:color="16517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517D"/>
          <w:left w:val="nil"/>
        </w:tcBorders>
      </w:tcPr>
    </w:tblStylePr>
    <w:tblStylePr w:type="swCell">
      <w:tblPr/>
      <w:tcPr>
        <w:tcBorders>
          <w:top w:val="double" w:sz="4" w:space="0" w:color="16517D"/>
          <w:right w:val="nil"/>
        </w:tcBorders>
      </w:tcPr>
    </w:tblStylePr>
  </w:style>
  <w:style w:type="character" w:customStyle="1" w:styleId="-h">
    <w:name w:val="-h"/>
    <w:rsid w:val="000A533F"/>
  </w:style>
  <w:style w:type="paragraph" w:customStyle="1" w:styleId="Normalhanginga">
    <w:name w:val="Normal_hanging(a)"/>
    <w:basedOn w:val="Normalhanging1"/>
    <w:uiPriority w:val="3"/>
    <w:qFormat/>
    <w:rsid w:val="000A533F"/>
    <w:pPr>
      <w:ind w:left="1434"/>
    </w:pPr>
    <w:rPr>
      <w:shd w:val="clear" w:color="auto" w:fill="FFFFFF"/>
    </w:rPr>
  </w:style>
  <w:style w:type="paragraph" w:styleId="TOCHeading">
    <w:name w:val="TOC Heading"/>
    <w:basedOn w:val="Heading-Major"/>
    <w:next w:val="Normal"/>
    <w:uiPriority w:val="99"/>
    <w:qFormat/>
    <w:locked/>
    <w:rsid w:val="000A533F"/>
    <w:pPr>
      <w:outlineLvl w:val="9"/>
    </w:pPr>
  </w:style>
  <w:style w:type="paragraph" w:styleId="Revision">
    <w:name w:val="Revision"/>
    <w:hidden/>
    <w:uiPriority w:val="99"/>
    <w:locked/>
    <w:rsid w:val="008B2783"/>
    <w:rPr>
      <w:rFonts w:ascii="Arial" w:hAnsi="Arial"/>
      <w:sz w:val="22"/>
      <w:szCs w:val="24"/>
      <w:lang w:eastAsia="en-US"/>
    </w:rPr>
  </w:style>
  <w:style w:type="paragraph" w:styleId="ListParagraph">
    <w:name w:val="List Paragraph"/>
    <w:aliases w:val="Recommendation,List Paragraph1,List Paragraph11,L,Bullet point,List Paragraph111,F5 List Paragraph,Dot pt,CV text,Medium Grid 1 - Accent 21,List Paragraph2,NFP GP Bulleted List,FooterText,numbered,列出段,0Bullet"/>
    <w:basedOn w:val="Normal"/>
    <w:uiPriority w:val="34"/>
    <w:qFormat/>
    <w:locked/>
    <w:rsid w:val="000A533F"/>
    <w:pPr>
      <w:spacing w:line="280" w:lineRule="exact"/>
      <w:ind w:left="720"/>
      <w:contextualSpacing/>
    </w:pPr>
  </w:style>
  <w:style w:type="character" w:styleId="IntenseReference">
    <w:name w:val="Intense Reference"/>
    <w:uiPriority w:val="32"/>
    <w:qFormat/>
    <w:locked/>
    <w:rsid w:val="000A533F"/>
    <w:rPr>
      <w:lang w:val="en-GB" w:eastAsia="zh-CN"/>
    </w:rPr>
  </w:style>
  <w:style w:type="table" w:customStyle="1" w:styleId="ListTable4-Accent11">
    <w:name w:val="List Table 4 - Accent 11"/>
    <w:basedOn w:val="TableNormal"/>
    <w:uiPriority w:val="49"/>
    <w:rsid w:val="000A533F"/>
    <w:rPr>
      <w:lang w:val="en-GB" w:eastAsia="zh-CN"/>
    </w:rPr>
    <w:tblPr>
      <w:tblStyleRowBandSize w:val="1"/>
      <w:tblStyleColBandSize w:val="1"/>
      <w:tblBorders>
        <w:top w:val="single" w:sz="4" w:space="0" w:color="459DDE"/>
        <w:left w:val="single" w:sz="4" w:space="0" w:color="459DDE"/>
        <w:bottom w:val="single" w:sz="4" w:space="0" w:color="459DDE"/>
        <w:right w:val="single" w:sz="4" w:space="0" w:color="459DDE"/>
        <w:insideH w:val="single" w:sz="4" w:space="0" w:color="459DDE"/>
      </w:tblBorders>
    </w:tblPr>
    <w:tblStylePr w:type="firstRow">
      <w:rPr>
        <w:b/>
        <w:bCs/>
        <w:color w:val="FFFFFF"/>
      </w:rPr>
      <w:tblPr/>
      <w:tcPr>
        <w:tcBorders>
          <w:top w:val="single" w:sz="4" w:space="0" w:color="16517D"/>
          <w:left w:val="single" w:sz="4" w:space="0" w:color="16517D"/>
          <w:bottom w:val="single" w:sz="4" w:space="0" w:color="16517D"/>
          <w:right w:val="single" w:sz="4" w:space="0" w:color="16517D"/>
          <w:insideH w:val="nil"/>
        </w:tcBorders>
        <w:shd w:val="clear" w:color="auto" w:fill="16517D"/>
      </w:tcPr>
    </w:tblStylePr>
    <w:tblStylePr w:type="lastRow">
      <w:rPr>
        <w:b/>
        <w:bCs/>
      </w:rPr>
      <w:tblPr/>
      <w:tcPr>
        <w:tcBorders>
          <w:top w:val="double" w:sz="4" w:space="0" w:color="459DDE"/>
        </w:tcBorders>
      </w:tcPr>
    </w:tblStylePr>
    <w:tblStylePr w:type="firstCol">
      <w:rPr>
        <w:b/>
        <w:bCs/>
      </w:rPr>
    </w:tblStylePr>
    <w:tblStylePr w:type="lastCol">
      <w:rPr>
        <w:b/>
        <w:bCs/>
      </w:rPr>
    </w:tblStylePr>
    <w:tblStylePr w:type="band1Vert">
      <w:tblPr/>
      <w:tcPr>
        <w:shd w:val="clear" w:color="auto" w:fill="C1DEF4"/>
      </w:tcPr>
    </w:tblStylePr>
    <w:tblStylePr w:type="band1Horz">
      <w:tblPr/>
      <w:tcPr>
        <w:shd w:val="clear" w:color="auto" w:fill="C1DEF4"/>
      </w:tcPr>
    </w:tblStylePr>
  </w:style>
  <w:style w:type="character" w:styleId="UnresolvedMention">
    <w:name w:val="Unresolved Mention"/>
    <w:uiPriority w:val="99"/>
    <w:rsid w:val="000A533F"/>
    <w:rPr>
      <w:color w:val="605E5C"/>
      <w:shd w:val="clear" w:color="auto" w:fill="E1DFDD"/>
    </w:rPr>
  </w:style>
  <w:style w:type="paragraph" w:styleId="EndnoteText">
    <w:name w:val="endnote text"/>
    <w:aliases w:val="2_G"/>
    <w:basedOn w:val="Normal"/>
    <w:link w:val="EndnoteTextChar"/>
    <w:unhideWhenUsed/>
    <w:locked/>
    <w:rsid w:val="000A533F"/>
    <w:rPr>
      <w:szCs w:val="20"/>
    </w:rPr>
  </w:style>
  <w:style w:type="character" w:customStyle="1" w:styleId="EndnoteTextChar">
    <w:name w:val="Endnote Text Char"/>
    <w:aliases w:val="2_G Char"/>
    <w:link w:val="EndnoteText"/>
    <w:qFormat/>
    <w:rsid w:val="000A533F"/>
    <w:rPr>
      <w:rFonts w:ascii="Public Sans" w:hAnsi="Public Sans"/>
      <w:sz w:val="22"/>
      <w:lang w:eastAsia="en-US"/>
    </w:rPr>
  </w:style>
  <w:style w:type="character" w:customStyle="1" w:styleId="normaltextrun">
    <w:name w:val="normaltextrun"/>
    <w:rsid w:val="000A533F"/>
  </w:style>
  <w:style w:type="character" w:customStyle="1" w:styleId="findhit">
    <w:name w:val="findhit"/>
    <w:rsid w:val="000A533F"/>
  </w:style>
  <w:style w:type="character" w:customStyle="1" w:styleId="eop">
    <w:name w:val="eop"/>
    <w:rsid w:val="000A533F"/>
  </w:style>
  <w:style w:type="character" w:styleId="Strong">
    <w:name w:val="Strong"/>
    <w:uiPriority w:val="22"/>
    <w:qFormat/>
    <w:locked/>
    <w:rsid w:val="000A533F"/>
    <w:rPr>
      <w:b/>
      <w:bCs/>
    </w:rPr>
  </w:style>
  <w:style w:type="character" w:customStyle="1" w:styleId="frag-no">
    <w:name w:val="frag-no"/>
    <w:rsid w:val="000A533F"/>
  </w:style>
  <w:style w:type="character" w:customStyle="1" w:styleId="hittext">
    <w:name w:val="hittext"/>
    <w:rsid w:val="000A533F"/>
  </w:style>
  <w:style w:type="paragraph" w:customStyle="1" w:styleId="NormalAutoChapter9pt">
    <w:name w:val="Normal_Auto_Chapter + 9 pt"/>
    <w:basedOn w:val="NormalAutoChapter"/>
    <w:rsid w:val="000A533F"/>
    <w:pPr>
      <w:numPr>
        <w:ilvl w:val="0"/>
        <w:numId w:val="0"/>
      </w:numPr>
      <w:tabs>
        <w:tab w:val="num" w:pos="3129"/>
      </w:tabs>
      <w:spacing w:line="240" w:lineRule="atLeast"/>
      <w:ind w:left="1440" w:hanging="360"/>
    </w:pPr>
    <w:rPr>
      <w:rFonts w:eastAsia="Arial"/>
      <w:color w:val="auto"/>
      <w:sz w:val="18"/>
      <w:szCs w:val="22"/>
      <w:lang w:val="en-US" w:eastAsia="zh-CN"/>
    </w:rPr>
  </w:style>
  <w:style w:type="paragraph" w:customStyle="1" w:styleId="Submissionlisthangingindent">
    <w:name w:val="Submission list_hanging indent"/>
    <w:basedOn w:val="Normalhanging1"/>
    <w:uiPriority w:val="1"/>
    <w:qFormat/>
    <w:rsid w:val="00C32267"/>
    <w:pPr>
      <w:spacing w:after="160" w:line="259" w:lineRule="auto"/>
      <w:ind w:left="1843" w:hanging="1134"/>
      <w:jc w:val="left"/>
    </w:pPr>
    <w:rPr>
      <w:rFonts w:eastAsia="Arial" w:cs="Arial"/>
      <w:szCs w:val="22"/>
    </w:rPr>
  </w:style>
  <w:style w:type="character" w:styleId="Emphasis">
    <w:name w:val="Emphasis"/>
    <w:uiPriority w:val="20"/>
    <w:qFormat/>
    <w:locked/>
    <w:rsid w:val="000A533F"/>
    <w:rPr>
      <w:i/>
      <w:iCs/>
    </w:rPr>
  </w:style>
  <w:style w:type="character" w:customStyle="1" w:styleId="A15">
    <w:name w:val="A15"/>
    <w:uiPriority w:val="99"/>
    <w:rsid w:val="000A533F"/>
    <w:rPr>
      <w:rFonts w:cs="Frutiger LT Std 45 Light"/>
      <w:color w:val="000000"/>
      <w:sz w:val="10"/>
      <w:szCs w:val="10"/>
    </w:rPr>
  </w:style>
  <w:style w:type="character" w:customStyle="1" w:styleId="apple-converted-space">
    <w:name w:val="apple-converted-space"/>
    <w:rsid w:val="000A533F"/>
  </w:style>
  <w:style w:type="character" w:customStyle="1" w:styleId="ssit">
    <w:name w:val="ss_it"/>
    <w:rsid w:val="000A533F"/>
  </w:style>
  <w:style w:type="character" w:customStyle="1" w:styleId="frag-defterm">
    <w:name w:val="frag-defterm"/>
    <w:rsid w:val="000A533F"/>
  </w:style>
  <w:style w:type="paragraph" w:customStyle="1" w:styleId="NumberedParagraph">
    <w:name w:val="Numbered Paragraph"/>
    <w:basedOn w:val="ListParagraph"/>
    <w:link w:val="NumberedParagraphChar"/>
    <w:uiPriority w:val="99"/>
    <w:qFormat/>
    <w:rsid w:val="000A533F"/>
    <w:pPr>
      <w:numPr>
        <w:numId w:val="22"/>
      </w:numPr>
      <w:spacing w:after="120" w:line="240" w:lineRule="auto"/>
      <w:contextualSpacing w:val="0"/>
      <w:jc w:val="left"/>
    </w:pPr>
    <w:rPr>
      <w:rFonts w:cs="Calibri"/>
      <w:color w:val="000000"/>
      <w:kern w:val="28"/>
      <w:szCs w:val="22"/>
      <w:lang w:eastAsia="en-AU"/>
    </w:rPr>
  </w:style>
  <w:style w:type="paragraph" w:customStyle="1" w:styleId="Sub-numberedparagraph">
    <w:name w:val="Sub-numbered paragraph"/>
    <w:basedOn w:val="NumberedParagraph"/>
    <w:qFormat/>
    <w:rsid w:val="000A533F"/>
    <w:pPr>
      <w:numPr>
        <w:ilvl w:val="1"/>
      </w:numPr>
      <w:tabs>
        <w:tab w:val="num" w:pos="576"/>
      </w:tabs>
    </w:pPr>
  </w:style>
  <w:style w:type="character" w:customStyle="1" w:styleId="NumberedParagraphChar">
    <w:name w:val="Numbered Paragraph Char"/>
    <w:aliases w:val="List Paragraph Char,Recommendation Char,List Paragraph1 Char,List Paragraph11 Char,L Char,Bullet point Char,List Paragraph111 Char,F5 List Paragraph Char,Dot pt Char,CV text Char,Medium Grid 1 - Accent 21 Char,FooterText Char"/>
    <w:link w:val="NumberedParagraph"/>
    <w:uiPriority w:val="34"/>
    <w:rsid w:val="000A533F"/>
    <w:rPr>
      <w:rFonts w:ascii="Public Sans Light" w:hAnsi="Public Sans Light" w:cs="Calibri"/>
      <w:color w:val="000000"/>
      <w:kern w:val="28"/>
      <w:sz w:val="22"/>
      <w:szCs w:val="22"/>
    </w:rPr>
  </w:style>
  <w:style w:type="paragraph" w:customStyle="1" w:styleId="Bodyofletter">
    <w:name w:val="Body of letter"/>
    <w:basedOn w:val="Normal"/>
    <w:rsid w:val="000A533F"/>
    <w:pPr>
      <w:spacing w:after="120"/>
      <w:ind w:right="-64"/>
    </w:pPr>
    <w:rPr>
      <w:sz w:val="24"/>
    </w:rPr>
  </w:style>
  <w:style w:type="character" w:styleId="Mention">
    <w:name w:val="Mention"/>
    <w:uiPriority w:val="51"/>
    <w:rsid w:val="000A533F"/>
    <w:rPr>
      <w:color w:val="2B579A"/>
      <w:shd w:val="clear" w:color="auto" w:fill="E1DFDD"/>
    </w:rPr>
  </w:style>
  <w:style w:type="paragraph" w:customStyle="1" w:styleId="Optionautonumber">
    <w:name w:val="Option_auto_number"/>
    <w:basedOn w:val="NormalAutoChapter"/>
    <w:uiPriority w:val="1"/>
    <w:qFormat/>
    <w:rsid w:val="000A533F"/>
    <w:pPr>
      <w:numPr>
        <w:ilvl w:val="0"/>
        <w:numId w:val="0"/>
      </w:numPr>
      <w:tabs>
        <w:tab w:val="num" w:pos="720"/>
      </w:tabs>
      <w:ind w:left="720" w:hanging="720"/>
    </w:pPr>
    <w:rPr>
      <w:noProof/>
      <w:u w:color="44546A"/>
    </w:rPr>
  </w:style>
  <w:style w:type="paragraph" w:customStyle="1" w:styleId="listnumber0">
    <w:name w:val="listnumber"/>
    <w:basedOn w:val="Normal"/>
    <w:rsid w:val="000A533F"/>
    <w:pPr>
      <w:spacing w:before="100" w:beforeAutospacing="1" w:after="100" w:afterAutospacing="1"/>
      <w:jc w:val="left"/>
    </w:pPr>
    <w:rPr>
      <w:rFonts w:ascii="Times New Roman" w:hAnsi="Times New Roman"/>
      <w:sz w:val="24"/>
      <w:lang w:eastAsia="en-AU"/>
    </w:rPr>
  </w:style>
  <w:style w:type="paragraph" w:customStyle="1" w:styleId="quote1">
    <w:name w:val="quote1"/>
    <w:basedOn w:val="Normal"/>
    <w:rsid w:val="000A533F"/>
    <w:pPr>
      <w:spacing w:before="100" w:beforeAutospacing="1" w:after="100" w:afterAutospacing="1"/>
      <w:jc w:val="left"/>
    </w:pPr>
    <w:rPr>
      <w:rFonts w:ascii="Times New Roman" w:hAnsi="Times New Roman"/>
      <w:sz w:val="24"/>
      <w:lang w:eastAsia="en-AU"/>
    </w:rPr>
  </w:style>
  <w:style w:type="paragraph" w:customStyle="1" w:styleId="listbullet20">
    <w:name w:val="listbullet2"/>
    <w:basedOn w:val="Normal"/>
    <w:rsid w:val="000A533F"/>
    <w:pPr>
      <w:spacing w:before="100" w:beforeAutospacing="1" w:after="100" w:afterAutospacing="1"/>
      <w:jc w:val="left"/>
    </w:pPr>
    <w:rPr>
      <w:rFonts w:ascii="Times New Roman" w:hAnsi="Times New Roman"/>
      <w:sz w:val="24"/>
      <w:lang w:eastAsia="en-AU"/>
    </w:rPr>
  </w:style>
  <w:style w:type="character" w:customStyle="1" w:styleId="frag-name">
    <w:name w:val="frag-name"/>
    <w:rsid w:val="000A533F"/>
  </w:style>
  <w:style w:type="character" w:styleId="PlaceholderText">
    <w:name w:val="Placeholder Text"/>
    <w:uiPriority w:val="99"/>
    <w:unhideWhenUsed/>
    <w:rsid w:val="000A533F"/>
    <w:rPr>
      <w:color w:val="808080"/>
    </w:rPr>
  </w:style>
  <w:style w:type="paragraph" w:customStyle="1" w:styleId="paragraph">
    <w:name w:val="paragraph"/>
    <w:basedOn w:val="Normal"/>
    <w:rsid w:val="000A533F"/>
    <w:pPr>
      <w:spacing w:before="100" w:beforeAutospacing="1" w:after="100" w:afterAutospacing="1"/>
      <w:jc w:val="left"/>
    </w:pPr>
    <w:rPr>
      <w:rFonts w:ascii="Times New Roman" w:hAnsi="Times New Roman"/>
      <w:sz w:val="24"/>
      <w:lang w:eastAsia="en-AU"/>
    </w:rPr>
  </w:style>
  <w:style w:type="paragraph" w:customStyle="1" w:styleId="shortt">
    <w:name w:val="shortt"/>
    <w:basedOn w:val="Normal"/>
    <w:rsid w:val="000A533F"/>
    <w:pPr>
      <w:spacing w:before="100" w:beforeAutospacing="1" w:after="100" w:afterAutospacing="1"/>
      <w:jc w:val="left"/>
    </w:pPr>
    <w:rPr>
      <w:rFonts w:ascii="Times New Roman" w:hAnsi="Times New Roman"/>
      <w:sz w:val="24"/>
      <w:lang w:eastAsia="en-AU"/>
    </w:rPr>
  </w:style>
  <w:style w:type="table" w:styleId="ListTable4-Accent1">
    <w:name w:val="List Table 4 Accent 1"/>
    <w:basedOn w:val="TableNormal"/>
    <w:uiPriority w:val="49"/>
    <w:rsid w:val="000A533F"/>
    <w:tblPr>
      <w:tblStyleRowBandSize w:val="1"/>
      <w:tblStyleColBandSize w:val="1"/>
      <w:tblBorders>
        <w:top w:val="single" w:sz="4" w:space="0" w:color="459DDE"/>
        <w:left w:val="single" w:sz="4" w:space="0" w:color="459DDE"/>
        <w:bottom w:val="single" w:sz="4" w:space="0" w:color="459DDE"/>
        <w:right w:val="single" w:sz="4" w:space="0" w:color="459DDE"/>
        <w:insideH w:val="single" w:sz="4" w:space="0" w:color="459DDE"/>
      </w:tblBorders>
    </w:tblPr>
    <w:tblStylePr w:type="firstRow">
      <w:rPr>
        <w:b/>
        <w:bCs/>
        <w:color w:val="FFFFFF"/>
      </w:rPr>
      <w:tblPr/>
      <w:tcPr>
        <w:tcBorders>
          <w:top w:val="single" w:sz="4" w:space="0" w:color="16517D"/>
          <w:left w:val="single" w:sz="4" w:space="0" w:color="16517D"/>
          <w:bottom w:val="single" w:sz="4" w:space="0" w:color="16517D"/>
          <w:right w:val="single" w:sz="4" w:space="0" w:color="16517D"/>
          <w:insideH w:val="nil"/>
        </w:tcBorders>
        <w:shd w:val="clear" w:color="auto" w:fill="16517D"/>
      </w:tcPr>
    </w:tblStylePr>
    <w:tblStylePr w:type="lastRow">
      <w:rPr>
        <w:b/>
        <w:bCs/>
      </w:rPr>
      <w:tblPr/>
      <w:tcPr>
        <w:tcBorders>
          <w:top w:val="double" w:sz="4" w:space="0" w:color="459DDE"/>
        </w:tcBorders>
      </w:tcPr>
    </w:tblStylePr>
    <w:tblStylePr w:type="firstCol">
      <w:rPr>
        <w:b/>
        <w:bCs/>
      </w:rPr>
    </w:tblStylePr>
    <w:tblStylePr w:type="lastCol">
      <w:rPr>
        <w:b/>
        <w:bCs/>
      </w:rPr>
    </w:tblStylePr>
    <w:tblStylePr w:type="band1Vert">
      <w:tblPr/>
      <w:tcPr>
        <w:shd w:val="clear" w:color="auto" w:fill="C1DEF4"/>
      </w:tcPr>
    </w:tblStylePr>
    <w:tblStylePr w:type="band1Horz">
      <w:tblPr/>
      <w:tcPr>
        <w:shd w:val="clear" w:color="auto" w:fill="C1DEF4"/>
      </w:tcPr>
    </w:tblStylePr>
  </w:style>
  <w:style w:type="table" w:styleId="ListTable3-Accent1">
    <w:name w:val="List Table 3 Accent 1"/>
    <w:basedOn w:val="TableNormal"/>
    <w:uiPriority w:val="48"/>
    <w:rsid w:val="000A533F"/>
    <w:tblPr>
      <w:tblStyleRowBandSize w:val="1"/>
      <w:tblStyleColBandSize w:val="1"/>
      <w:tblBorders>
        <w:top w:val="single" w:sz="4" w:space="0" w:color="16517D"/>
        <w:left w:val="single" w:sz="4" w:space="0" w:color="16517D"/>
        <w:bottom w:val="single" w:sz="4" w:space="0" w:color="16517D"/>
        <w:right w:val="single" w:sz="4" w:space="0" w:color="16517D"/>
      </w:tblBorders>
    </w:tblPr>
    <w:tblStylePr w:type="firstRow">
      <w:rPr>
        <w:b/>
        <w:bCs/>
        <w:color w:val="FFFFFF"/>
      </w:rPr>
      <w:tblPr/>
      <w:tcPr>
        <w:shd w:val="clear" w:color="auto" w:fill="16517D"/>
      </w:tcPr>
    </w:tblStylePr>
    <w:tblStylePr w:type="lastRow">
      <w:rPr>
        <w:b/>
        <w:bCs/>
      </w:rPr>
      <w:tblPr/>
      <w:tcPr>
        <w:tcBorders>
          <w:top w:val="double" w:sz="4" w:space="0" w:color="16517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6517D"/>
          <w:right w:val="single" w:sz="4" w:space="0" w:color="16517D"/>
        </w:tcBorders>
      </w:tcPr>
    </w:tblStylePr>
    <w:tblStylePr w:type="band1Horz">
      <w:tblPr/>
      <w:tcPr>
        <w:tcBorders>
          <w:top w:val="single" w:sz="4" w:space="0" w:color="16517D"/>
          <w:bottom w:val="single" w:sz="4" w:space="0" w:color="16517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517D"/>
          <w:left w:val="nil"/>
        </w:tcBorders>
      </w:tcPr>
    </w:tblStylePr>
    <w:tblStylePr w:type="swCell">
      <w:tblPr/>
      <w:tcPr>
        <w:tcBorders>
          <w:top w:val="double" w:sz="4" w:space="0" w:color="16517D"/>
          <w:right w:val="nil"/>
        </w:tcBorders>
      </w:tcPr>
    </w:tblStylePr>
  </w:style>
  <w:style w:type="paragraph" w:styleId="Subtitle">
    <w:name w:val="Subtitle"/>
    <w:basedOn w:val="Normal"/>
    <w:link w:val="SubtitleChar"/>
    <w:uiPriority w:val="2"/>
    <w:qFormat/>
    <w:locked/>
    <w:rsid w:val="000A533F"/>
    <w:pPr>
      <w:keepNext/>
      <w:keepLines/>
      <w:suppressAutoHyphens/>
      <w:spacing w:before="480"/>
      <w:jc w:val="left"/>
    </w:pPr>
    <w:rPr>
      <w:rFonts w:ascii="Segoe UI" w:eastAsia="Segoe UI" w:hAnsi="Segoe UI" w:cs="Segoe UI"/>
      <w:color w:val="15428B"/>
      <w:szCs w:val="20"/>
      <w:lang w:eastAsia="en-AU"/>
    </w:rPr>
  </w:style>
  <w:style w:type="character" w:customStyle="1" w:styleId="SubtitleChar">
    <w:name w:val="Subtitle Char"/>
    <w:basedOn w:val="DefaultParagraphFont"/>
    <w:link w:val="Subtitle"/>
    <w:uiPriority w:val="2"/>
    <w:rsid w:val="000A533F"/>
    <w:rPr>
      <w:rFonts w:ascii="Segoe UI" w:eastAsia="Segoe UI" w:hAnsi="Segoe UI" w:cs="Segoe UI"/>
      <w:color w:val="15428B"/>
      <w:sz w:val="22"/>
    </w:rPr>
  </w:style>
  <w:style w:type="paragraph" w:styleId="Bibliography">
    <w:name w:val="Bibliography"/>
    <w:basedOn w:val="Normal"/>
    <w:next w:val="Normal"/>
    <w:uiPriority w:val="70"/>
    <w:semiHidden/>
    <w:unhideWhenUsed/>
    <w:locked/>
    <w:rsid w:val="000A533F"/>
  </w:style>
  <w:style w:type="paragraph" w:styleId="BlockText">
    <w:name w:val="Block Text"/>
    <w:basedOn w:val="Normal"/>
    <w:semiHidden/>
    <w:rsid w:val="000A533F"/>
    <w:pPr>
      <w:spacing w:after="120"/>
      <w:ind w:left="1440" w:right="1440"/>
    </w:pPr>
  </w:style>
  <w:style w:type="paragraph" w:styleId="BodyText">
    <w:name w:val="Body Text"/>
    <w:basedOn w:val="Normal"/>
    <w:link w:val="BodyTextChar"/>
    <w:uiPriority w:val="7"/>
    <w:unhideWhenUsed/>
    <w:qFormat/>
    <w:rsid w:val="000A533F"/>
    <w:pPr>
      <w:spacing w:after="120"/>
    </w:pPr>
  </w:style>
  <w:style w:type="character" w:customStyle="1" w:styleId="BodyTextChar">
    <w:name w:val="Body Text Char"/>
    <w:basedOn w:val="DefaultParagraphFont"/>
    <w:link w:val="BodyText"/>
    <w:uiPriority w:val="7"/>
    <w:rsid w:val="000A533F"/>
    <w:rPr>
      <w:rFonts w:ascii="Public Sans" w:hAnsi="Public Sans"/>
      <w:sz w:val="22"/>
      <w:szCs w:val="24"/>
      <w:lang w:eastAsia="en-US"/>
    </w:rPr>
  </w:style>
  <w:style w:type="paragraph" w:styleId="BodyText2">
    <w:name w:val="Body Text 2"/>
    <w:basedOn w:val="Normal"/>
    <w:link w:val="BodyText2Char"/>
    <w:semiHidden/>
    <w:unhideWhenUsed/>
    <w:rsid w:val="000A533F"/>
    <w:pPr>
      <w:spacing w:after="120" w:line="480" w:lineRule="auto"/>
    </w:pPr>
  </w:style>
  <w:style w:type="character" w:customStyle="1" w:styleId="BodyText2Char">
    <w:name w:val="Body Text 2 Char"/>
    <w:basedOn w:val="DefaultParagraphFont"/>
    <w:link w:val="BodyText2"/>
    <w:semiHidden/>
    <w:rsid w:val="000A533F"/>
    <w:rPr>
      <w:rFonts w:ascii="Public Sans" w:hAnsi="Public Sans"/>
      <w:sz w:val="22"/>
      <w:szCs w:val="24"/>
      <w:lang w:eastAsia="en-US"/>
    </w:rPr>
  </w:style>
  <w:style w:type="paragraph" w:styleId="BodyText3">
    <w:name w:val="Body Text 3"/>
    <w:basedOn w:val="Normal"/>
    <w:link w:val="BodyText3Char"/>
    <w:uiPriority w:val="99"/>
    <w:semiHidden/>
    <w:rsid w:val="000A533F"/>
    <w:pPr>
      <w:spacing w:after="120"/>
    </w:pPr>
    <w:rPr>
      <w:sz w:val="16"/>
      <w:szCs w:val="16"/>
    </w:rPr>
  </w:style>
  <w:style w:type="character" w:customStyle="1" w:styleId="BodyText3Char">
    <w:name w:val="Body Text 3 Char"/>
    <w:basedOn w:val="DefaultParagraphFont"/>
    <w:link w:val="BodyText3"/>
    <w:uiPriority w:val="99"/>
    <w:semiHidden/>
    <w:rsid w:val="000A533F"/>
    <w:rPr>
      <w:rFonts w:ascii="Public Sans" w:hAnsi="Public Sans"/>
      <w:sz w:val="16"/>
      <w:szCs w:val="16"/>
      <w:lang w:eastAsia="en-US"/>
    </w:rPr>
  </w:style>
  <w:style w:type="paragraph" w:styleId="BodyTextFirstIndent">
    <w:name w:val="Body Text First Indent"/>
    <w:basedOn w:val="BodyText"/>
    <w:link w:val="BodyTextFirstIndentChar"/>
    <w:uiPriority w:val="99"/>
    <w:semiHidden/>
    <w:unhideWhenUsed/>
    <w:rsid w:val="000A533F"/>
    <w:pPr>
      <w:ind w:firstLine="210"/>
    </w:pPr>
  </w:style>
  <w:style w:type="character" w:customStyle="1" w:styleId="BodyTextFirstIndentChar">
    <w:name w:val="Body Text First Indent Char"/>
    <w:basedOn w:val="BodyTextChar"/>
    <w:link w:val="BodyTextFirstIndent"/>
    <w:uiPriority w:val="99"/>
    <w:semiHidden/>
    <w:rsid w:val="000A533F"/>
    <w:rPr>
      <w:rFonts w:ascii="Public Sans" w:hAnsi="Public Sans"/>
      <w:sz w:val="22"/>
      <w:szCs w:val="24"/>
      <w:lang w:eastAsia="en-US"/>
    </w:rPr>
  </w:style>
  <w:style w:type="paragraph" w:styleId="BodyTextIndent">
    <w:name w:val="Body Text Indent"/>
    <w:basedOn w:val="Normal"/>
    <w:link w:val="BodyTextIndentChar"/>
    <w:semiHidden/>
    <w:unhideWhenUsed/>
    <w:locked/>
    <w:rsid w:val="000A533F"/>
    <w:pPr>
      <w:spacing w:after="120"/>
      <w:ind w:left="283"/>
    </w:pPr>
  </w:style>
  <w:style w:type="character" w:customStyle="1" w:styleId="BodyTextIndentChar">
    <w:name w:val="Body Text Indent Char"/>
    <w:basedOn w:val="DefaultParagraphFont"/>
    <w:link w:val="BodyTextIndent"/>
    <w:semiHidden/>
    <w:rsid w:val="000A533F"/>
    <w:rPr>
      <w:rFonts w:ascii="Public Sans" w:hAnsi="Public Sans"/>
      <w:sz w:val="22"/>
      <w:szCs w:val="24"/>
      <w:lang w:eastAsia="en-US"/>
    </w:rPr>
  </w:style>
  <w:style w:type="paragraph" w:styleId="BodyTextFirstIndent2">
    <w:name w:val="Body Text First Indent 2"/>
    <w:basedOn w:val="BodyTextIndent"/>
    <w:link w:val="BodyTextFirstIndent2Char"/>
    <w:uiPriority w:val="99"/>
    <w:semiHidden/>
    <w:unhideWhenUsed/>
    <w:rsid w:val="000A533F"/>
    <w:pPr>
      <w:ind w:firstLine="210"/>
    </w:pPr>
  </w:style>
  <w:style w:type="character" w:customStyle="1" w:styleId="BodyTextFirstIndent2Char">
    <w:name w:val="Body Text First Indent 2 Char"/>
    <w:basedOn w:val="BodyTextIndentChar"/>
    <w:link w:val="BodyTextFirstIndent2"/>
    <w:uiPriority w:val="99"/>
    <w:semiHidden/>
    <w:rsid w:val="000A533F"/>
    <w:rPr>
      <w:rFonts w:ascii="Public Sans" w:hAnsi="Public Sans"/>
      <w:sz w:val="22"/>
      <w:szCs w:val="24"/>
      <w:lang w:eastAsia="en-US"/>
    </w:rPr>
  </w:style>
  <w:style w:type="paragraph" w:styleId="BodyTextIndent2">
    <w:name w:val="Body Text Indent 2"/>
    <w:basedOn w:val="Normal"/>
    <w:link w:val="BodyTextIndent2Char"/>
    <w:semiHidden/>
    <w:rsid w:val="000A533F"/>
    <w:pPr>
      <w:spacing w:after="120" w:line="480" w:lineRule="auto"/>
      <w:ind w:left="283"/>
    </w:pPr>
  </w:style>
  <w:style w:type="character" w:customStyle="1" w:styleId="BodyTextIndent2Char">
    <w:name w:val="Body Text Indent 2 Char"/>
    <w:basedOn w:val="DefaultParagraphFont"/>
    <w:link w:val="BodyTextIndent2"/>
    <w:semiHidden/>
    <w:rsid w:val="000A533F"/>
    <w:rPr>
      <w:rFonts w:ascii="Public Sans" w:hAnsi="Public Sans"/>
      <w:sz w:val="22"/>
      <w:szCs w:val="24"/>
      <w:lang w:eastAsia="en-US"/>
    </w:rPr>
  </w:style>
  <w:style w:type="paragraph" w:styleId="BodyTextIndent3">
    <w:name w:val="Body Text Indent 3"/>
    <w:basedOn w:val="Normal"/>
    <w:link w:val="BodyTextIndent3Char"/>
    <w:uiPriority w:val="99"/>
    <w:semiHidden/>
    <w:rsid w:val="000A53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33F"/>
    <w:rPr>
      <w:rFonts w:ascii="Public Sans" w:hAnsi="Public Sans"/>
      <w:sz w:val="16"/>
      <w:szCs w:val="16"/>
      <w:lang w:eastAsia="en-US"/>
    </w:rPr>
  </w:style>
  <w:style w:type="paragraph" w:styleId="Closing">
    <w:name w:val="Closing"/>
    <w:basedOn w:val="Normal"/>
    <w:link w:val="ClosingChar"/>
    <w:uiPriority w:val="99"/>
    <w:semiHidden/>
    <w:unhideWhenUsed/>
    <w:rsid w:val="000A533F"/>
    <w:pPr>
      <w:ind w:left="4252"/>
    </w:pPr>
  </w:style>
  <w:style w:type="character" w:customStyle="1" w:styleId="ClosingChar">
    <w:name w:val="Closing Char"/>
    <w:basedOn w:val="DefaultParagraphFont"/>
    <w:link w:val="Closing"/>
    <w:uiPriority w:val="99"/>
    <w:semiHidden/>
    <w:rsid w:val="000A533F"/>
    <w:rPr>
      <w:rFonts w:ascii="Public Sans" w:hAnsi="Public Sans"/>
      <w:sz w:val="22"/>
      <w:szCs w:val="24"/>
      <w:lang w:eastAsia="en-US"/>
    </w:rPr>
  </w:style>
  <w:style w:type="paragraph" w:styleId="Date">
    <w:name w:val="Date"/>
    <w:basedOn w:val="Normal"/>
    <w:next w:val="Normal"/>
    <w:link w:val="DateChar"/>
    <w:uiPriority w:val="3"/>
    <w:unhideWhenUsed/>
    <w:rsid w:val="000A533F"/>
  </w:style>
  <w:style w:type="character" w:customStyle="1" w:styleId="DateChar">
    <w:name w:val="Date Char"/>
    <w:basedOn w:val="DefaultParagraphFont"/>
    <w:link w:val="Date"/>
    <w:uiPriority w:val="3"/>
    <w:rsid w:val="000A533F"/>
    <w:rPr>
      <w:rFonts w:ascii="Public Sans" w:hAnsi="Public Sans"/>
      <w:sz w:val="22"/>
      <w:szCs w:val="24"/>
      <w:lang w:eastAsia="en-US"/>
    </w:rPr>
  </w:style>
  <w:style w:type="paragraph" w:styleId="E-mailSignature">
    <w:name w:val="E-mail Signature"/>
    <w:basedOn w:val="Normal"/>
    <w:link w:val="E-mailSignatureChar"/>
    <w:uiPriority w:val="99"/>
    <w:semiHidden/>
    <w:unhideWhenUsed/>
    <w:rsid w:val="000A533F"/>
  </w:style>
  <w:style w:type="character" w:customStyle="1" w:styleId="E-mailSignatureChar">
    <w:name w:val="E-mail Signature Char"/>
    <w:basedOn w:val="DefaultParagraphFont"/>
    <w:link w:val="E-mailSignature"/>
    <w:uiPriority w:val="99"/>
    <w:semiHidden/>
    <w:rsid w:val="000A533F"/>
    <w:rPr>
      <w:rFonts w:ascii="Public Sans" w:hAnsi="Public Sans"/>
      <w:sz w:val="22"/>
      <w:szCs w:val="24"/>
      <w:lang w:eastAsia="en-US"/>
    </w:rPr>
  </w:style>
  <w:style w:type="paragraph" w:styleId="EnvelopeAddress">
    <w:name w:val="envelope address"/>
    <w:basedOn w:val="Normal"/>
    <w:uiPriority w:val="99"/>
    <w:semiHidden/>
    <w:unhideWhenUsed/>
    <w:rsid w:val="000A533F"/>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0A533F"/>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0A533F"/>
    <w:rPr>
      <w:i/>
      <w:iCs/>
    </w:rPr>
  </w:style>
  <w:style w:type="character" w:customStyle="1" w:styleId="HTMLAddressChar">
    <w:name w:val="HTML Address Char"/>
    <w:basedOn w:val="DefaultParagraphFont"/>
    <w:link w:val="HTMLAddress"/>
    <w:uiPriority w:val="99"/>
    <w:semiHidden/>
    <w:rsid w:val="000A533F"/>
    <w:rPr>
      <w:rFonts w:ascii="Public Sans" w:hAnsi="Public Sans"/>
      <w:i/>
      <w:iCs/>
      <w:sz w:val="22"/>
      <w:szCs w:val="24"/>
      <w:lang w:eastAsia="en-US"/>
    </w:rPr>
  </w:style>
  <w:style w:type="paragraph" w:styleId="IntenseQuote">
    <w:name w:val="Intense Quote"/>
    <w:basedOn w:val="Normal"/>
    <w:next w:val="Normal"/>
    <w:link w:val="IntenseQuoteChar"/>
    <w:uiPriority w:val="60"/>
    <w:qFormat/>
    <w:locked/>
    <w:rsid w:val="000A533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0A533F"/>
    <w:rPr>
      <w:rFonts w:ascii="Public Sans" w:hAnsi="Public Sans"/>
      <w:i/>
      <w:iCs/>
      <w:color w:val="4472C4" w:themeColor="accent1"/>
      <w:sz w:val="22"/>
      <w:szCs w:val="24"/>
      <w:lang w:eastAsia="en-US"/>
    </w:rPr>
  </w:style>
  <w:style w:type="paragraph" w:styleId="List">
    <w:name w:val="List"/>
    <w:basedOn w:val="Normal"/>
    <w:uiPriority w:val="99"/>
    <w:semiHidden/>
    <w:rsid w:val="000A533F"/>
    <w:pPr>
      <w:ind w:left="283" w:hanging="283"/>
      <w:contextualSpacing/>
    </w:pPr>
  </w:style>
  <w:style w:type="paragraph" w:styleId="List2">
    <w:name w:val="List 2"/>
    <w:basedOn w:val="Normal"/>
    <w:uiPriority w:val="99"/>
    <w:semiHidden/>
    <w:rsid w:val="000A533F"/>
    <w:pPr>
      <w:ind w:left="566" w:hanging="283"/>
      <w:contextualSpacing/>
    </w:pPr>
  </w:style>
  <w:style w:type="paragraph" w:styleId="List3">
    <w:name w:val="List 3"/>
    <w:basedOn w:val="Normal"/>
    <w:uiPriority w:val="99"/>
    <w:semiHidden/>
    <w:rsid w:val="000A533F"/>
    <w:pPr>
      <w:ind w:left="849" w:hanging="283"/>
      <w:contextualSpacing/>
    </w:pPr>
  </w:style>
  <w:style w:type="paragraph" w:styleId="List4">
    <w:name w:val="List 4"/>
    <w:basedOn w:val="Normal"/>
    <w:uiPriority w:val="99"/>
    <w:semiHidden/>
    <w:rsid w:val="000A533F"/>
    <w:pPr>
      <w:ind w:left="1132" w:hanging="283"/>
      <w:contextualSpacing/>
    </w:pPr>
  </w:style>
  <w:style w:type="paragraph" w:styleId="List5">
    <w:name w:val="List 5"/>
    <w:basedOn w:val="Normal"/>
    <w:uiPriority w:val="99"/>
    <w:semiHidden/>
    <w:rsid w:val="000A533F"/>
    <w:pPr>
      <w:ind w:left="1415" w:hanging="283"/>
      <w:contextualSpacing/>
    </w:pPr>
  </w:style>
  <w:style w:type="paragraph" w:styleId="ListBullet">
    <w:name w:val="List Bullet"/>
    <w:basedOn w:val="Normal"/>
    <w:uiPriority w:val="10"/>
    <w:unhideWhenUsed/>
    <w:qFormat/>
    <w:rsid w:val="000A533F"/>
    <w:pPr>
      <w:numPr>
        <w:numId w:val="2"/>
      </w:numPr>
      <w:contextualSpacing/>
    </w:pPr>
  </w:style>
  <w:style w:type="paragraph" w:styleId="ListBullet2">
    <w:name w:val="List Bullet 2"/>
    <w:basedOn w:val="Normal"/>
    <w:uiPriority w:val="99"/>
    <w:semiHidden/>
    <w:rsid w:val="000A533F"/>
    <w:pPr>
      <w:numPr>
        <w:numId w:val="4"/>
      </w:numPr>
      <w:contextualSpacing/>
    </w:pPr>
  </w:style>
  <w:style w:type="paragraph" w:styleId="ListBullet3">
    <w:name w:val="List Bullet 3"/>
    <w:basedOn w:val="Normal"/>
    <w:uiPriority w:val="99"/>
    <w:semiHidden/>
    <w:rsid w:val="000A533F"/>
    <w:pPr>
      <w:numPr>
        <w:numId w:val="5"/>
      </w:numPr>
      <w:contextualSpacing/>
    </w:pPr>
  </w:style>
  <w:style w:type="paragraph" w:styleId="ListBullet4">
    <w:name w:val="List Bullet 4"/>
    <w:basedOn w:val="Normal"/>
    <w:uiPriority w:val="99"/>
    <w:semiHidden/>
    <w:rsid w:val="000A533F"/>
    <w:pPr>
      <w:numPr>
        <w:numId w:val="6"/>
      </w:numPr>
      <w:contextualSpacing/>
    </w:pPr>
  </w:style>
  <w:style w:type="paragraph" w:styleId="ListBullet5">
    <w:name w:val="List Bullet 5"/>
    <w:basedOn w:val="Normal"/>
    <w:uiPriority w:val="99"/>
    <w:semiHidden/>
    <w:rsid w:val="000A533F"/>
    <w:pPr>
      <w:numPr>
        <w:numId w:val="7"/>
      </w:numPr>
      <w:contextualSpacing/>
    </w:pPr>
  </w:style>
  <w:style w:type="paragraph" w:styleId="ListContinue">
    <w:name w:val="List Continue"/>
    <w:basedOn w:val="Normal"/>
    <w:uiPriority w:val="99"/>
    <w:semiHidden/>
    <w:unhideWhenUsed/>
    <w:rsid w:val="000A533F"/>
    <w:pPr>
      <w:spacing w:after="120"/>
      <w:ind w:left="283"/>
      <w:contextualSpacing/>
    </w:pPr>
  </w:style>
  <w:style w:type="paragraph" w:styleId="ListContinue2">
    <w:name w:val="List Continue 2"/>
    <w:basedOn w:val="Normal"/>
    <w:uiPriority w:val="99"/>
    <w:semiHidden/>
    <w:unhideWhenUsed/>
    <w:rsid w:val="000A533F"/>
    <w:pPr>
      <w:spacing w:after="120"/>
      <w:ind w:left="566"/>
      <w:contextualSpacing/>
    </w:pPr>
  </w:style>
  <w:style w:type="paragraph" w:styleId="ListContinue3">
    <w:name w:val="List Continue 3"/>
    <w:basedOn w:val="Normal"/>
    <w:uiPriority w:val="99"/>
    <w:semiHidden/>
    <w:unhideWhenUsed/>
    <w:rsid w:val="000A533F"/>
    <w:pPr>
      <w:spacing w:after="120"/>
      <w:ind w:left="849"/>
      <w:contextualSpacing/>
    </w:pPr>
  </w:style>
  <w:style w:type="paragraph" w:styleId="ListContinue4">
    <w:name w:val="List Continue 4"/>
    <w:basedOn w:val="Normal"/>
    <w:uiPriority w:val="99"/>
    <w:semiHidden/>
    <w:unhideWhenUsed/>
    <w:rsid w:val="000A533F"/>
    <w:pPr>
      <w:spacing w:after="120"/>
      <w:ind w:left="1132"/>
      <w:contextualSpacing/>
    </w:pPr>
  </w:style>
  <w:style w:type="paragraph" w:styleId="ListContinue5">
    <w:name w:val="List Continue 5"/>
    <w:basedOn w:val="Normal"/>
    <w:uiPriority w:val="99"/>
    <w:semiHidden/>
    <w:unhideWhenUsed/>
    <w:rsid w:val="000A533F"/>
    <w:pPr>
      <w:spacing w:after="120"/>
      <w:ind w:left="1415"/>
      <w:contextualSpacing/>
    </w:pPr>
  </w:style>
  <w:style w:type="paragraph" w:styleId="ListNumber">
    <w:name w:val="List Number"/>
    <w:basedOn w:val="Normal"/>
    <w:uiPriority w:val="99"/>
    <w:semiHidden/>
    <w:unhideWhenUsed/>
    <w:rsid w:val="000A533F"/>
    <w:pPr>
      <w:numPr>
        <w:numId w:val="3"/>
      </w:numPr>
      <w:contextualSpacing/>
    </w:pPr>
  </w:style>
  <w:style w:type="paragraph" w:styleId="ListNumber2">
    <w:name w:val="List Number 2"/>
    <w:basedOn w:val="Normal"/>
    <w:uiPriority w:val="99"/>
    <w:semiHidden/>
    <w:rsid w:val="000A533F"/>
    <w:pPr>
      <w:numPr>
        <w:numId w:val="8"/>
      </w:numPr>
      <w:contextualSpacing/>
    </w:pPr>
  </w:style>
  <w:style w:type="paragraph" w:styleId="ListNumber3">
    <w:name w:val="List Number 3"/>
    <w:basedOn w:val="Normal"/>
    <w:uiPriority w:val="99"/>
    <w:semiHidden/>
    <w:rsid w:val="000A533F"/>
    <w:pPr>
      <w:numPr>
        <w:numId w:val="9"/>
      </w:numPr>
      <w:contextualSpacing/>
    </w:pPr>
  </w:style>
  <w:style w:type="paragraph" w:styleId="ListNumber4">
    <w:name w:val="List Number 4"/>
    <w:basedOn w:val="Normal"/>
    <w:uiPriority w:val="99"/>
    <w:semiHidden/>
    <w:rsid w:val="000A533F"/>
    <w:pPr>
      <w:numPr>
        <w:numId w:val="10"/>
      </w:numPr>
      <w:contextualSpacing/>
    </w:pPr>
  </w:style>
  <w:style w:type="paragraph" w:styleId="ListNumber5">
    <w:name w:val="List Number 5"/>
    <w:basedOn w:val="Normal"/>
    <w:uiPriority w:val="99"/>
    <w:semiHidden/>
    <w:unhideWhenUsed/>
    <w:rsid w:val="000A533F"/>
    <w:pPr>
      <w:numPr>
        <w:numId w:val="11"/>
      </w:numPr>
      <w:contextualSpacing/>
    </w:pPr>
  </w:style>
  <w:style w:type="paragraph" w:styleId="MacroText">
    <w:name w:val="macro"/>
    <w:link w:val="MacroTextChar"/>
    <w:uiPriority w:val="99"/>
    <w:semiHidden/>
    <w:unhideWhenUsed/>
    <w:rsid w:val="000A533F"/>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0A533F"/>
    <w:rPr>
      <w:rFonts w:ascii="Courier New" w:hAnsi="Courier New" w:cs="Courier New"/>
      <w:lang w:eastAsia="en-US"/>
    </w:rPr>
  </w:style>
  <w:style w:type="paragraph" w:styleId="MessageHeader">
    <w:name w:val="Message Header"/>
    <w:basedOn w:val="Normal"/>
    <w:link w:val="MessageHeaderChar"/>
    <w:uiPriority w:val="99"/>
    <w:semiHidden/>
    <w:unhideWhenUsed/>
    <w:rsid w:val="000A533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0A533F"/>
    <w:rPr>
      <w:rFonts w:asciiTheme="majorHAnsi" w:eastAsiaTheme="majorEastAsia" w:hAnsiTheme="majorHAnsi" w:cstheme="majorBidi"/>
      <w:sz w:val="24"/>
      <w:szCs w:val="24"/>
      <w:shd w:val="pct20" w:color="auto" w:fill="auto"/>
      <w:lang w:eastAsia="en-US"/>
    </w:rPr>
  </w:style>
  <w:style w:type="paragraph" w:styleId="NoSpacing">
    <w:name w:val="No Spacing"/>
    <w:uiPriority w:val="99"/>
    <w:qFormat/>
    <w:rsid w:val="000A533F"/>
    <w:pPr>
      <w:jc w:val="both"/>
    </w:pPr>
    <w:rPr>
      <w:rFonts w:ascii="Arial" w:hAnsi="Arial"/>
      <w:sz w:val="22"/>
      <w:szCs w:val="24"/>
      <w:lang w:eastAsia="en-US"/>
    </w:rPr>
  </w:style>
  <w:style w:type="paragraph" w:styleId="NormalIndent0">
    <w:name w:val="Normal Indent"/>
    <w:basedOn w:val="Normal"/>
    <w:uiPriority w:val="99"/>
    <w:semiHidden/>
    <w:unhideWhenUsed/>
    <w:rsid w:val="000A533F"/>
    <w:pPr>
      <w:ind w:left="720"/>
    </w:pPr>
  </w:style>
  <w:style w:type="paragraph" w:styleId="NoteHeading">
    <w:name w:val="Note Heading"/>
    <w:basedOn w:val="Normal"/>
    <w:next w:val="Normal"/>
    <w:link w:val="NoteHeadingChar"/>
    <w:uiPriority w:val="99"/>
    <w:semiHidden/>
    <w:unhideWhenUsed/>
    <w:rsid w:val="000A533F"/>
  </w:style>
  <w:style w:type="character" w:customStyle="1" w:styleId="NoteHeadingChar">
    <w:name w:val="Note Heading Char"/>
    <w:basedOn w:val="DefaultParagraphFont"/>
    <w:link w:val="NoteHeading"/>
    <w:uiPriority w:val="99"/>
    <w:semiHidden/>
    <w:rsid w:val="000A533F"/>
    <w:rPr>
      <w:rFonts w:ascii="Public Sans" w:hAnsi="Public Sans"/>
      <w:sz w:val="22"/>
      <w:szCs w:val="24"/>
      <w:lang w:eastAsia="en-US"/>
    </w:rPr>
  </w:style>
  <w:style w:type="paragraph" w:styleId="PlainText">
    <w:name w:val="Plain Text"/>
    <w:basedOn w:val="Normal"/>
    <w:link w:val="PlainTextChar"/>
    <w:uiPriority w:val="99"/>
    <w:semiHidden/>
    <w:unhideWhenUsed/>
    <w:rsid w:val="000A533F"/>
    <w:rPr>
      <w:rFonts w:ascii="Courier New" w:hAnsi="Courier New" w:cs="Courier New"/>
      <w:szCs w:val="20"/>
    </w:rPr>
  </w:style>
  <w:style w:type="character" w:customStyle="1" w:styleId="PlainTextChar">
    <w:name w:val="Plain Text Char"/>
    <w:basedOn w:val="DefaultParagraphFont"/>
    <w:link w:val="PlainText"/>
    <w:uiPriority w:val="99"/>
    <w:semiHidden/>
    <w:rsid w:val="000A533F"/>
    <w:rPr>
      <w:rFonts w:ascii="Courier New" w:hAnsi="Courier New" w:cs="Courier New"/>
      <w:sz w:val="22"/>
      <w:lang w:eastAsia="en-US"/>
    </w:rPr>
  </w:style>
  <w:style w:type="paragraph" w:styleId="Quote">
    <w:name w:val="Quote"/>
    <w:basedOn w:val="Normal"/>
    <w:next w:val="Normal"/>
    <w:link w:val="QuoteChar"/>
    <w:uiPriority w:val="73"/>
    <w:qFormat/>
    <w:locked/>
    <w:rsid w:val="000A53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0A533F"/>
    <w:rPr>
      <w:rFonts w:ascii="Public Sans" w:hAnsi="Public Sans"/>
      <w:i/>
      <w:iCs/>
      <w:color w:val="404040" w:themeColor="text1" w:themeTint="BF"/>
      <w:sz w:val="22"/>
      <w:szCs w:val="24"/>
      <w:lang w:eastAsia="en-US"/>
    </w:rPr>
  </w:style>
  <w:style w:type="paragraph" w:styleId="Salutation">
    <w:name w:val="Salutation"/>
    <w:basedOn w:val="Normal"/>
    <w:next w:val="Normal"/>
    <w:link w:val="SalutationChar"/>
    <w:uiPriority w:val="99"/>
    <w:semiHidden/>
    <w:unhideWhenUsed/>
    <w:rsid w:val="000A533F"/>
  </w:style>
  <w:style w:type="character" w:customStyle="1" w:styleId="SalutationChar">
    <w:name w:val="Salutation Char"/>
    <w:basedOn w:val="DefaultParagraphFont"/>
    <w:link w:val="Salutation"/>
    <w:uiPriority w:val="99"/>
    <w:semiHidden/>
    <w:rsid w:val="000A533F"/>
    <w:rPr>
      <w:rFonts w:ascii="Public Sans" w:hAnsi="Public Sans"/>
      <w:sz w:val="22"/>
      <w:szCs w:val="24"/>
      <w:lang w:eastAsia="en-US"/>
    </w:rPr>
  </w:style>
  <w:style w:type="paragraph" w:styleId="Signature">
    <w:name w:val="Signature"/>
    <w:basedOn w:val="Normal"/>
    <w:link w:val="SignatureChar"/>
    <w:uiPriority w:val="99"/>
    <w:semiHidden/>
    <w:unhideWhenUsed/>
    <w:rsid w:val="000A533F"/>
    <w:pPr>
      <w:ind w:left="4252"/>
    </w:pPr>
  </w:style>
  <w:style w:type="character" w:customStyle="1" w:styleId="SignatureChar">
    <w:name w:val="Signature Char"/>
    <w:basedOn w:val="DefaultParagraphFont"/>
    <w:link w:val="Signature"/>
    <w:uiPriority w:val="99"/>
    <w:semiHidden/>
    <w:rsid w:val="000A533F"/>
    <w:rPr>
      <w:rFonts w:ascii="Public Sans" w:hAnsi="Public Sans"/>
      <w:sz w:val="22"/>
      <w:szCs w:val="24"/>
      <w:lang w:eastAsia="en-US"/>
    </w:rPr>
  </w:style>
  <w:style w:type="paragraph" w:styleId="TableofAuthorities">
    <w:name w:val="table of authorities"/>
    <w:basedOn w:val="Normal"/>
    <w:next w:val="Normal"/>
    <w:uiPriority w:val="99"/>
    <w:semiHidden/>
    <w:unhideWhenUsed/>
    <w:rsid w:val="000A533F"/>
    <w:pPr>
      <w:ind w:left="220" w:hanging="220"/>
    </w:pPr>
  </w:style>
  <w:style w:type="paragraph" w:customStyle="1" w:styleId="Separator">
    <w:name w:val="Separator"/>
    <w:basedOn w:val="Normal"/>
    <w:link w:val="SeparatorChar"/>
    <w:uiPriority w:val="1"/>
    <w:qFormat/>
    <w:rsid w:val="0086652C"/>
    <w:pPr>
      <w:spacing w:after="0" w:line="240" w:lineRule="auto"/>
    </w:pPr>
    <w:rPr>
      <w:color w:val="44546A"/>
      <w:spacing w:val="-40"/>
    </w:rPr>
  </w:style>
  <w:style w:type="character" w:customStyle="1" w:styleId="SeparatorChar">
    <w:name w:val="Separator Char"/>
    <w:basedOn w:val="DefaultParagraphFont"/>
    <w:link w:val="Separator"/>
    <w:uiPriority w:val="1"/>
    <w:rsid w:val="0086652C"/>
    <w:rPr>
      <w:rFonts w:ascii="Public Sans Light" w:hAnsi="Public Sans Light"/>
      <w:color w:val="44546A"/>
      <w:spacing w:val="-40"/>
      <w:sz w:val="22"/>
      <w:szCs w:val="24"/>
      <w:lang w:eastAsia="en-US"/>
    </w:rPr>
  </w:style>
  <w:style w:type="character" w:customStyle="1" w:styleId="ui-provider">
    <w:name w:val="ui-provider"/>
    <w:basedOn w:val="DefaultParagraphFont"/>
    <w:rsid w:val="008D695B"/>
  </w:style>
  <w:style w:type="character" w:customStyle="1" w:styleId="frag-heading">
    <w:name w:val="frag-heading"/>
    <w:basedOn w:val="DefaultParagraphFont"/>
    <w:rsid w:val="008D695B"/>
  </w:style>
  <w:style w:type="character" w:customStyle="1" w:styleId="sspagshow">
    <w:name w:val="ss_pag_show"/>
    <w:basedOn w:val="DefaultParagraphFont"/>
    <w:rsid w:val="008D695B"/>
  </w:style>
  <w:style w:type="paragraph" w:customStyle="1" w:styleId="Pa19">
    <w:name w:val="Pa19"/>
    <w:basedOn w:val="Default"/>
    <w:next w:val="Default"/>
    <w:uiPriority w:val="99"/>
    <w:rsid w:val="008D695B"/>
    <w:pPr>
      <w:spacing w:after="120" w:line="201" w:lineRule="atLeast"/>
    </w:pPr>
    <w:rPr>
      <w:rFonts w:eastAsiaTheme="minorEastAsia"/>
      <w:color w:val="auto"/>
      <w:lang w:val="en-AU" w:eastAsia="en-AU"/>
    </w:rPr>
  </w:style>
  <w:style w:type="paragraph" w:customStyle="1" w:styleId="Pa20">
    <w:name w:val="Pa20"/>
    <w:basedOn w:val="Default"/>
    <w:next w:val="Default"/>
    <w:uiPriority w:val="99"/>
    <w:rsid w:val="008D695B"/>
    <w:pPr>
      <w:spacing w:after="120" w:line="201" w:lineRule="atLeast"/>
    </w:pPr>
    <w:rPr>
      <w:rFonts w:eastAsiaTheme="minorEastAsia"/>
      <w:color w:val="auto"/>
      <w:lang w:val="en-AU" w:eastAsia="en-AU"/>
    </w:rPr>
  </w:style>
  <w:style w:type="character" w:customStyle="1" w:styleId="A7">
    <w:name w:val="A7"/>
    <w:uiPriority w:val="99"/>
    <w:rsid w:val="008D695B"/>
    <w:rPr>
      <w:b/>
      <w:bCs/>
      <w:color w:val="337B9F"/>
      <w:sz w:val="20"/>
      <w:szCs w:val="20"/>
    </w:rPr>
  </w:style>
  <w:style w:type="character" w:styleId="SubtleEmphasis">
    <w:name w:val="Subtle Emphasis"/>
    <w:basedOn w:val="DefaultParagraphFont"/>
    <w:uiPriority w:val="19"/>
    <w:qFormat/>
    <w:locked/>
    <w:rsid w:val="008D695B"/>
    <w:rPr>
      <w:i/>
      <w:iCs/>
      <w:color w:val="404040" w:themeColor="text1" w:themeTint="BF"/>
    </w:rPr>
  </w:style>
  <w:style w:type="character" w:styleId="IntenseEmphasis">
    <w:name w:val="Intense Emphasis"/>
    <w:basedOn w:val="DefaultParagraphFont"/>
    <w:uiPriority w:val="21"/>
    <w:qFormat/>
    <w:locked/>
    <w:rsid w:val="008D695B"/>
    <w:rPr>
      <w:b/>
      <w:bCs/>
      <w:i/>
      <w:iCs/>
    </w:rPr>
  </w:style>
  <w:style w:type="character" w:styleId="SubtleReference">
    <w:name w:val="Subtle Reference"/>
    <w:basedOn w:val="DefaultParagraphFont"/>
    <w:uiPriority w:val="31"/>
    <w:qFormat/>
    <w:locked/>
    <w:rsid w:val="008D695B"/>
    <w:rPr>
      <w:smallCaps/>
      <w:color w:val="404040" w:themeColor="text1" w:themeTint="BF"/>
      <w:u w:val="single" w:color="7F7F7F" w:themeColor="text1" w:themeTint="80"/>
    </w:rPr>
  </w:style>
  <w:style w:type="character" w:styleId="BookTitle">
    <w:name w:val="Book Title"/>
    <w:basedOn w:val="DefaultParagraphFont"/>
    <w:uiPriority w:val="33"/>
    <w:qFormat/>
    <w:locked/>
    <w:rsid w:val="008D695B"/>
    <w:rPr>
      <w:b/>
      <w:bCs/>
      <w:smallCaps/>
    </w:rPr>
  </w:style>
  <w:style w:type="character" w:customStyle="1" w:styleId="bnwrappedspan">
    <w:name w:val="bn_wrapped_span"/>
    <w:basedOn w:val="DefaultParagraphFont"/>
    <w:rsid w:val="008D695B"/>
  </w:style>
  <w:style w:type="paragraph" w:customStyle="1" w:styleId="judgmentpara">
    <w:name w:val="judgment_para"/>
    <w:basedOn w:val="Normal"/>
    <w:rsid w:val="008D695B"/>
    <w:pPr>
      <w:spacing w:before="100" w:beforeAutospacing="1" w:after="100" w:afterAutospacing="1" w:line="240" w:lineRule="auto"/>
      <w:jc w:val="left"/>
    </w:pPr>
    <w:rPr>
      <w:rFonts w:ascii="Times New Roman" w:hAnsi="Times New Roman"/>
      <w:sz w:val="24"/>
      <w:lang w:eastAsia="en-AU"/>
    </w:rPr>
  </w:style>
  <w:style w:type="character" w:customStyle="1" w:styleId="listnumber1">
    <w:name w:val="list_number_"/>
    <w:basedOn w:val="DefaultParagraphFont"/>
    <w:rsid w:val="008D695B"/>
  </w:style>
  <w:style w:type="paragraph" w:customStyle="1" w:styleId="ol-custom-1">
    <w:name w:val="ol-custom-1"/>
    <w:basedOn w:val="Normal"/>
    <w:rsid w:val="00181C16"/>
    <w:pPr>
      <w:spacing w:before="100" w:beforeAutospacing="1" w:after="100" w:afterAutospacing="1" w:line="240" w:lineRule="auto"/>
      <w:jc w:val="left"/>
    </w:pPr>
    <w:rPr>
      <w:rFonts w:ascii="Times New Roman" w:hAnsi="Times New Roman"/>
      <w:sz w:val="24"/>
      <w:lang w:eastAsia="en-AU"/>
    </w:rPr>
  </w:style>
  <w:style w:type="paragraph" w:customStyle="1" w:styleId="CitaviBibliography">
    <w:name w:val="Citavi Bibliography"/>
    <w:basedOn w:val="Normal"/>
    <w:rsid w:val="00181C16"/>
    <w:pPr>
      <w:spacing w:after="120" w:line="240" w:lineRule="auto"/>
      <w:jc w:val="left"/>
    </w:pPr>
    <w:rPr>
      <w:rFonts w:ascii="Segoe UI" w:eastAsia="Segoe UI" w:hAnsi="Segoe UI" w:cs="Segoe UI"/>
      <w:sz w:val="18"/>
      <w:szCs w:val="18"/>
      <w:lang w:eastAsia="en-AU"/>
    </w:rPr>
  </w:style>
  <w:style w:type="paragraph" w:customStyle="1" w:styleId="adef">
    <w:name w:val="adef"/>
    <w:basedOn w:val="Normal"/>
    <w:rsid w:val="00181C16"/>
    <w:pPr>
      <w:spacing w:before="100" w:beforeAutospacing="1" w:after="100" w:afterAutospacing="1" w:line="240" w:lineRule="auto"/>
      <w:jc w:val="left"/>
    </w:pPr>
    <w:rPr>
      <w:rFonts w:ascii="Times New Roman" w:hAnsi="Times New Roman"/>
      <w:sz w:val="24"/>
      <w:lang w:eastAsia="en-AU"/>
    </w:rPr>
  </w:style>
  <w:style w:type="character" w:customStyle="1" w:styleId="charbolditals">
    <w:name w:val="charbolditals"/>
    <w:basedOn w:val="DefaultParagraphFont"/>
    <w:rsid w:val="00181C16"/>
  </w:style>
  <w:style w:type="paragraph" w:customStyle="1" w:styleId="adefpara">
    <w:name w:val="adefpara"/>
    <w:basedOn w:val="Normal"/>
    <w:rsid w:val="00181C16"/>
    <w:pPr>
      <w:spacing w:before="100" w:beforeAutospacing="1" w:after="100" w:afterAutospacing="1" w:line="240" w:lineRule="auto"/>
      <w:jc w:val="left"/>
    </w:pPr>
    <w:rPr>
      <w:rFonts w:ascii="Times New Roman" w:hAnsi="Times New Roman"/>
      <w:sz w:val="24"/>
      <w:lang w:eastAsia="en-AU"/>
    </w:rPr>
  </w:style>
  <w:style w:type="paragraph" w:customStyle="1" w:styleId="adefsubpara">
    <w:name w:val="adefsubpara"/>
    <w:basedOn w:val="Normal"/>
    <w:rsid w:val="00181C16"/>
    <w:pPr>
      <w:spacing w:before="100" w:beforeAutospacing="1" w:after="100" w:afterAutospacing="1" w:line="240" w:lineRule="auto"/>
      <w:jc w:val="left"/>
    </w:pPr>
    <w:rPr>
      <w:rFonts w:ascii="Times New Roman" w:hAnsi="Times New Roman"/>
      <w:sz w:val="24"/>
      <w:lang w:eastAsia="en-AU"/>
    </w:rPr>
  </w:style>
  <w:style w:type="paragraph" w:customStyle="1" w:styleId="aexamhdgss">
    <w:name w:val="aexamhdgss"/>
    <w:basedOn w:val="Normal"/>
    <w:rsid w:val="00181C16"/>
    <w:pPr>
      <w:spacing w:before="100" w:beforeAutospacing="1" w:after="100" w:afterAutospacing="1" w:line="240" w:lineRule="auto"/>
      <w:jc w:val="left"/>
    </w:pPr>
    <w:rPr>
      <w:rFonts w:ascii="Times New Roman" w:hAnsi="Times New Roman"/>
      <w:sz w:val="24"/>
      <w:lang w:eastAsia="en-AU"/>
    </w:rPr>
  </w:style>
  <w:style w:type="character" w:customStyle="1" w:styleId="legds">
    <w:name w:val="legds"/>
    <w:basedOn w:val="DefaultParagraphFont"/>
    <w:rsid w:val="00181C16"/>
  </w:style>
  <w:style w:type="paragraph" w:customStyle="1" w:styleId="legclearfix">
    <w:name w:val="legclearfix"/>
    <w:basedOn w:val="Normal"/>
    <w:rsid w:val="00181C16"/>
    <w:pPr>
      <w:spacing w:before="100" w:beforeAutospacing="1" w:after="100" w:afterAutospacing="1" w:line="240" w:lineRule="auto"/>
      <w:jc w:val="left"/>
    </w:pPr>
    <w:rPr>
      <w:rFonts w:ascii="Times New Roman" w:hAnsi="Times New Roman"/>
      <w:sz w:val="24"/>
      <w:lang w:eastAsia="en-AU"/>
    </w:rPr>
  </w:style>
  <w:style w:type="character" w:customStyle="1" w:styleId="citation">
    <w:name w:val="citation"/>
    <w:rsid w:val="00181C16"/>
  </w:style>
  <w:style w:type="paragraph" w:customStyle="1" w:styleId="pf0">
    <w:name w:val="pf0"/>
    <w:basedOn w:val="Normal"/>
    <w:rsid w:val="00181C16"/>
    <w:pPr>
      <w:spacing w:before="100" w:beforeAutospacing="1" w:after="100" w:afterAutospacing="1" w:line="240" w:lineRule="auto"/>
      <w:jc w:val="left"/>
    </w:pPr>
    <w:rPr>
      <w:rFonts w:ascii="Times New Roman" w:hAnsi="Times New Roman"/>
      <w:sz w:val="24"/>
      <w:lang w:eastAsia="en-AU"/>
    </w:rPr>
  </w:style>
  <w:style w:type="character" w:customStyle="1" w:styleId="cf01">
    <w:name w:val="cf01"/>
    <w:basedOn w:val="DefaultParagraphFont"/>
    <w:rsid w:val="00181C16"/>
    <w:rPr>
      <w:rFonts w:ascii="Segoe UI" w:hAnsi="Segoe UI" w:cs="Segoe UI" w:hint="default"/>
      <w:sz w:val="18"/>
      <w:szCs w:val="18"/>
    </w:rPr>
  </w:style>
  <w:style w:type="character" w:customStyle="1" w:styleId="A9">
    <w:name w:val="A9"/>
    <w:uiPriority w:val="99"/>
    <w:rsid w:val="00181C16"/>
    <w:rPr>
      <w:color w:val="211D1E"/>
      <w:sz w:val="11"/>
      <w:szCs w:val="11"/>
    </w:rPr>
  </w:style>
  <w:style w:type="paragraph" w:customStyle="1" w:styleId="acthead5">
    <w:name w:val="acthead5"/>
    <w:basedOn w:val="Normal"/>
    <w:rsid w:val="00181C16"/>
    <w:pPr>
      <w:spacing w:before="100" w:beforeAutospacing="1" w:after="100" w:afterAutospacing="1" w:line="240" w:lineRule="auto"/>
      <w:jc w:val="left"/>
    </w:pPr>
    <w:rPr>
      <w:rFonts w:ascii="Times New Roman" w:hAnsi="Times New Roman"/>
      <w:sz w:val="24"/>
      <w:lang w:eastAsia="en-AU"/>
    </w:rPr>
  </w:style>
  <w:style w:type="character" w:customStyle="1" w:styleId="charsectno">
    <w:name w:val="charsectno"/>
    <w:basedOn w:val="DefaultParagraphFont"/>
    <w:rsid w:val="00181C16"/>
  </w:style>
  <w:style w:type="paragraph" w:customStyle="1" w:styleId="subsection">
    <w:name w:val="subsection"/>
    <w:basedOn w:val="Normal"/>
    <w:rsid w:val="00181C16"/>
    <w:pPr>
      <w:spacing w:before="100" w:beforeAutospacing="1" w:after="100" w:afterAutospacing="1" w:line="240" w:lineRule="auto"/>
      <w:jc w:val="left"/>
    </w:pPr>
    <w:rPr>
      <w:rFonts w:ascii="Times New Roman" w:hAnsi="Times New Roman"/>
      <w:sz w:val="24"/>
      <w:lang w:eastAsia="en-AU"/>
    </w:rPr>
  </w:style>
  <w:style w:type="paragraph" w:customStyle="1" w:styleId="paragraphsub">
    <w:name w:val="paragraphsub"/>
    <w:basedOn w:val="Normal"/>
    <w:rsid w:val="00181C16"/>
    <w:pPr>
      <w:spacing w:before="100" w:beforeAutospacing="1" w:after="100" w:afterAutospacing="1" w:line="240" w:lineRule="auto"/>
      <w:jc w:val="left"/>
    </w:pPr>
    <w:rPr>
      <w:rFonts w:ascii="Times New Roman" w:hAnsi="Times New Roman"/>
      <w:sz w:val="24"/>
      <w:lang w:eastAsia="en-AU"/>
    </w:rPr>
  </w:style>
  <w:style w:type="paragraph" w:customStyle="1" w:styleId="Bullet">
    <w:name w:val="Bullet"/>
    <w:basedOn w:val="NormalAutoChapter"/>
    <w:rsid w:val="00FE5562"/>
    <w:pPr>
      <w:tabs>
        <w:tab w:val="num" w:pos="2705"/>
      </w:tabs>
    </w:pPr>
  </w:style>
  <w:style w:type="paragraph" w:customStyle="1" w:styleId="Heading23">
    <w:name w:val="Heading 23"/>
    <w:basedOn w:val="Heading2"/>
    <w:rsid w:val="00FE5562"/>
  </w:style>
  <w:style w:type="character" w:customStyle="1" w:styleId="cf11">
    <w:name w:val="cf11"/>
    <w:basedOn w:val="DefaultParagraphFont"/>
    <w:rsid w:val="00FE5562"/>
    <w:rPr>
      <w:rFonts w:ascii="Segoe UI" w:hAnsi="Segoe UI" w:cs="Segoe UI" w:hint="default"/>
      <w:sz w:val="18"/>
      <w:szCs w:val="18"/>
    </w:rPr>
  </w:style>
  <w:style w:type="table" w:styleId="GridTable4-Accent1">
    <w:name w:val="Grid Table 4 Accent 1"/>
    <w:basedOn w:val="TableNormal"/>
    <w:uiPriority w:val="49"/>
    <w:rsid w:val="00BC7971"/>
    <w:rPr>
      <w:rFonts w:asciiTheme="minorHAnsi" w:eastAsiaTheme="minorHAnsi" w:hAnsiTheme="minorHAnsi" w:cstheme="minorBidi"/>
      <w:kern w:val="2"/>
      <w:sz w:val="22"/>
      <w:szCs w:val="22"/>
      <w:lang w:eastAsia="en-US"/>
      <w14:ligatures w14:val="standardContextual"/>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hp">
    <w:name w:val="hp"/>
    <w:basedOn w:val="Normal"/>
    <w:rsid w:val="00BC7971"/>
    <w:pPr>
      <w:spacing w:before="100" w:beforeAutospacing="1" w:after="100" w:afterAutospacing="1" w:line="240" w:lineRule="auto"/>
      <w:jc w:val="left"/>
    </w:pPr>
    <w:rPr>
      <w:rFonts w:ascii="Times New Roman" w:hAnsi="Times New Roman"/>
      <w:sz w:val="24"/>
      <w:lang w:eastAsia="en-AU"/>
    </w:rPr>
  </w:style>
  <w:style w:type="character" w:styleId="HTMLCite">
    <w:name w:val="HTML Cite"/>
    <w:basedOn w:val="DefaultParagraphFont"/>
    <w:uiPriority w:val="99"/>
    <w:semiHidden/>
    <w:unhideWhenUsed/>
    <w:rsid w:val="00BC7971"/>
    <w:rPr>
      <w:i/>
      <w:iCs/>
    </w:rPr>
  </w:style>
  <w:style w:type="paragraph" w:customStyle="1" w:styleId="Definition">
    <w:name w:val="Definition"/>
    <w:aliases w:val="dd"/>
    <w:basedOn w:val="Normal"/>
    <w:rsid w:val="00BC7971"/>
    <w:pPr>
      <w:spacing w:before="180" w:after="0" w:line="240" w:lineRule="auto"/>
      <w:ind w:left="1134"/>
      <w:jc w:val="left"/>
    </w:pPr>
    <w:rPr>
      <w:rFonts w:ascii="Times New Roman" w:hAnsi="Times New Roman"/>
      <w:szCs w:val="20"/>
      <w:lang w:eastAsia="en-AU"/>
    </w:rPr>
  </w:style>
  <w:style w:type="paragraph" w:customStyle="1" w:styleId="Moreinfomation">
    <w:name w:val="More infomation"/>
    <w:next w:val="BodyText"/>
    <w:autoRedefine/>
    <w:uiPriority w:val="4"/>
    <w:rsid w:val="00204FF9"/>
    <w:pPr>
      <w:spacing w:before="240" w:after="240"/>
    </w:pPr>
    <w:rPr>
      <w:rFonts w:asciiTheme="majorHAnsi" w:eastAsiaTheme="majorEastAsia" w:hAnsiTheme="majorHAnsi" w:cstheme="majorBidi"/>
      <w:iCs/>
      <w:color w:val="002664"/>
      <w:sz w:val="24"/>
      <w:szCs w:val="22"/>
      <w:lang w:eastAsia="zh-CN"/>
    </w:rPr>
  </w:style>
  <w:style w:type="paragraph" w:customStyle="1" w:styleId="Descriptor">
    <w:name w:val="Descriptor"/>
    <w:next w:val="Title"/>
    <w:uiPriority w:val="1"/>
    <w:rsid w:val="00FF4871"/>
    <w:pPr>
      <w:tabs>
        <w:tab w:val="right" w:pos="10206"/>
      </w:tabs>
      <w:suppressAutoHyphens/>
      <w:contextualSpacing/>
    </w:pPr>
    <w:rPr>
      <w:rFonts w:asciiTheme="majorHAnsi" w:eastAsiaTheme="minorEastAsia" w:hAnsiTheme="majorHAnsi" w:cstheme="minorBidi"/>
      <w:color w:val="FFFFFF" w:themeColor="background1"/>
      <w:sz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484670">
      <w:bodyDiv w:val="1"/>
      <w:marLeft w:val="0"/>
      <w:marRight w:val="0"/>
      <w:marTop w:val="0"/>
      <w:marBottom w:val="0"/>
      <w:divBdr>
        <w:top w:val="none" w:sz="0" w:space="0" w:color="auto"/>
        <w:left w:val="none" w:sz="0" w:space="0" w:color="auto"/>
        <w:bottom w:val="none" w:sz="0" w:space="0" w:color="auto"/>
        <w:right w:val="none" w:sz="0" w:space="0" w:color="auto"/>
      </w:divBdr>
    </w:div>
    <w:div w:id="276764740">
      <w:bodyDiv w:val="1"/>
      <w:marLeft w:val="0"/>
      <w:marRight w:val="0"/>
      <w:marTop w:val="0"/>
      <w:marBottom w:val="0"/>
      <w:divBdr>
        <w:top w:val="none" w:sz="0" w:space="0" w:color="auto"/>
        <w:left w:val="none" w:sz="0" w:space="0" w:color="auto"/>
        <w:bottom w:val="none" w:sz="0" w:space="0" w:color="auto"/>
        <w:right w:val="none" w:sz="0" w:space="0" w:color="auto"/>
      </w:divBdr>
    </w:div>
    <w:div w:id="348913994">
      <w:bodyDiv w:val="1"/>
      <w:marLeft w:val="0"/>
      <w:marRight w:val="0"/>
      <w:marTop w:val="0"/>
      <w:marBottom w:val="0"/>
      <w:divBdr>
        <w:top w:val="none" w:sz="0" w:space="0" w:color="auto"/>
        <w:left w:val="none" w:sz="0" w:space="0" w:color="auto"/>
        <w:bottom w:val="none" w:sz="0" w:space="0" w:color="auto"/>
        <w:right w:val="none" w:sz="0" w:space="0" w:color="auto"/>
      </w:divBdr>
    </w:div>
    <w:div w:id="430048101">
      <w:bodyDiv w:val="1"/>
      <w:marLeft w:val="0"/>
      <w:marRight w:val="0"/>
      <w:marTop w:val="0"/>
      <w:marBottom w:val="0"/>
      <w:divBdr>
        <w:top w:val="none" w:sz="0" w:space="0" w:color="auto"/>
        <w:left w:val="none" w:sz="0" w:space="0" w:color="auto"/>
        <w:bottom w:val="none" w:sz="0" w:space="0" w:color="auto"/>
        <w:right w:val="none" w:sz="0" w:space="0" w:color="auto"/>
      </w:divBdr>
    </w:div>
    <w:div w:id="520359742">
      <w:bodyDiv w:val="1"/>
      <w:marLeft w:val="0"/>
      <w:marRight w:val="0"/>
      <w:marTop w:val="0"/>
      <w:marBottom w:val="0"/>
      <w:divBdr>
        <w:top w:val="none" w:sz="0" w:space="0" w:color="auto"/>
        <w:left w:val="none" w:sz="0" w:space="0" w:color="auto"/>
        <w:bottom w:val="none" w:sz="0" w:space="0" w:color="auto"/>
        <w:right w:val="none" w:sz="0" w:space="0" w:color="auto"/>
      </w:divBdr>
    </w:div>
    <w:div w:id="643464991">
      <w:bodyDiv w:val="1"/>
      <w:marLeft w:val="0"/>
      <w:marRight w:val="0"/>
      <w:marTop w:val="0"/>
      <w:marBottom w:val="0"/>
      <w:divBdr>
        <w:top w:val="none" w:sz="0" w:space="0" w:color="auto"/>
        <w:left w:val="none" w:sz="0" w:space="0" w:color="auto"/>
        <w:bottom w:val="none" w:sz="0" w:space="0" w:color="auto"/>
        <w:right w:val="none" w:sz="0" w:space="0" w:color="auto"/>
      </w:divBdr>
    </w:div>
    <w:div w:id="665745759">
      <w:bodyDiv w:val="1"/>
      <w:marLeft w:val="0"/>
      <w:marRight w:val="0"/>
      <w:marTop w:val="0"/>
      <w:marBottom w:val="0"/>
      <w:divBdr>
        <w:top w:val="none" w:sz="0" w:space="0" w:color="auto"/>
        <w:left w:val="none" w:sz="0" w:space="0" w:color="auto"/>
        <w:bottom w:val="none" w:sz="0" w:space="0" w:color="auto"/>
        <w:right w:val="none" w:sz="0" w:space="0" w:color="auto"/>
      </w:divBdr>
    </w:div>
    <w:div w:id="682826065">
      <w:bodyDiv w:val="1"/>
      <w:marLeft w:val="0"/>
      <w:marRight w:val="0"/>
      <w:marTop w:val="0"/>
      <w:marBottom w:val="0"/>
      <w:divBdr>
        <w:top w:val="none" w:sz="0" w:space="0" w:color="auto"/>
        <w:left w:val="none" w:sz="0" w:space="0" w:color="auto"/>
        <w:bottom w:val="none" w:sz="0" w:space="0" w:color="auto"/>
        <w:right w:val="none" w:sz="0" w:space="0" w:color="auto"/>
      </w:divBdr>
    </w:div>
    <w:div w:id="809134543">
      <w:bodyDiv w:val="1"/>
      <w:marLeft w:val="0"/>
      <w:marRight w:val="0"/>
      <w:marTop w:val="0"/>
      <w:marBottom w:val="0"/>
      <w:divBdr>
        <w:top w:val="none" w:sz="0" w:space="0" w:color="auto"/>
        <w:left w:val="none" w:sz="0" w:space="0" w:color="auto"/>
        <w:bottom w:val="none" w:sz="0" w:space="0" w:color="auto"/>
        <w:right w:val="none" w:sz="0" w:space="0" w:color="auto"/>
      </w:divBdr>
    </w:div>
    <w:div w:id="863598576">
      <w:bodyDiv w:val="1"/>
      <w:marLeft w:val="0"/>
      <w:marRight w:val="0"/>
      <w:marTop w:val="0"/>
      <w:marBottom w:val="0"/>
      <w:divBdr>
        <w:top w:val="none" w:sz="0" w:space="0" w:color="auto"/>
        <w:left w:val="none" w:sz="0" w:space="0" w:color="auto"/>
        <w:bottom w:val="none" w:sz="0" w:space="0" w:color="auto"/>
        <w:right w:val="none" w:sz="0" w:space="0" w:color="auto"/>
      </w:divBdr>
    </w:div>
    <w:div w:id="1097822764">
      <w:bodyDiv w:val="1"/>
      <w:marLeft w:val="0"/>
      <w:marRight w:val="0"/>
      <w:marTop w:val="0"/>
      <w:marBottom w:val="0"/>
      <w:divBdr>
        <w:top w:val="none" w:sz="0" w:space="0" w:color="auto"/>
        <w:left w:val="none" w:sz="0" w:space="0" w:color="auto"/>
        <w:bottom w:val="none" w:sz="0" w:space="0" w:color="auto"/>
        <w:right w:val="none" w:sz="0" w:space="0" w:color="auto"/>
      </w:divBdr>
    </w:div>
    <w:div w:id="1234201480">
      <w:bodyDiv w:val="1"/>
      <w:marLeft w:val="0"/>
      <w:marRight w:val="0"/>
      <w:marTop w:val="0"/>
      <w:marBottom w:val="0"/>
      <w:divBdr>
        <w:top w:val="none" w:sz="0" w:space="0" w:color="auto"/>
        <w:left w:val="none" w:sz="0" w:space="0" w:color="auto"/>
        <w:bottom w:val="none" w:sz="0" w:space="0" w:color="auto"/>
        <w:right w:val="none" w:sz="0" w:space="0" w:color="auto"/>
      </w:divBdr>
    </w:div>
    <w:div w:id="1322346894">
      <w:bodyDiv w:val="1"/>
      <w:marLeft w:val="0"/>
      <w:marRight w:val="0"/>
      <w:marTop w:val="0"/>
      <w:marBottom w:val="0"/>
      <w:divBdr>
        <w:top w:val="none" w:sz="0" w:space="0" w:color="auto"/>
        <w:left w:val="none" w:sz="0" w:space="0" w:color="auto"/>
        <w:bottom w:val="none" w:sz="0" w:space="0" w:color="auto"/>
        <w:right w:val="none" w:sz="0" w:space="0" w:color="auto"/>
      </w:divBdr>
    </w:div>
    <w:div w:id="1611549248">
      <w:bodyDiv w:val="1"/>
      <w:marLeft w:val="0"/>
      <w:marRight w:val="0"/>
      <w:marTop w:val="0"/>
      <w:marBottom w:val="0"/>
      <w:divBdr>
        <w:top w:val="none" w:sz="0" w:space="0" w:color="auto"/>
        <w:left w:val="none" w:sz="0" w:space="0" w:color="auto"/>
        <w:bottom w:val="none" w:sz="0" w:space="0" w:color="auto"/>
        <w:right w:val="none" w:sz="0" w:space="0" w:color="auto"/>
      </w:divBdr>
      <w:divsChild>
        <w:div w:id="962735510">
          <w:marLeft w:val="0"/>
          <w:marRight w:val="0"/>
          <w:marTop w:val="0"/>
          <w:marBottom w:val="0"/>
          <w:divBdr>
            <w:top w:val="none" w:sz="0" w:space="0" w:color="auto"/>
            <w:left w:val="none" w:sz="0" w:space="0" w:color="auto"/>
            <w:bottom w:val="none" w:sz="0" w:space="0" w:color="auto"/>
            <w:right w:val="none" w:sz="0" w:space="0" w:color="auto"/>
          </w:divBdr>
        </w:div>
      </w:divsChild>
    </w:div>
    <w:div w:id="1793673396">
      <w:bodyDiv w:val="1"/>
      <w:marLeft w:val="0"/>
      <w:marRight w:val="0"/>
      <w:marTop w:val="0"/>
      <w:marBottom w:val="0"/>
      <w:divBdr>
        <w:top w:val="none" w:sz="0" w:space="0" w:color="auto"/>
        <w:left w:val="none" w:sz="0" w:space="0" w:color="auto"/>
        <w:bottom w:val="none" w:sz="0" w:space="0" w:color="auto"/>
        <w:right w:val="none" w:sz="0" w:space="0" w:color="auto"/>
      </w:divBdr>
    </w:div>
    <w:div w:id="2007005135">
      <w:bodyDiv w:val="1"/>
      <w:marLeft w:val="0"/>
      <w:marRight w:val="0"/>
      <w:marTop w:val="0"/>
      <w:marBottom w:val="0"/>
      <w:divBdr>
        <w:top w:val="none" w:sz="0" w:space="0" w:color="auto"/>
        <w:left w:val="none" w:sz="0" w:space="0" w:color="auto"/>
        <w:bottom w:val="none" w:sz="0" w:space="0" w:color="auto"/>
        <w:right w:val="none" w:sz="0" w:space="0" w:color="auto"/>
      </w:divBdr>
      <w:divsChild>
        <w:div w:id="805928872">
          <w:marLeft w:val="0"/>
          <w:marRight w:val="0"/>
          <w:marTop w:val="0"/>
          <w:marBottom w:val="0"/>
          <w:divBdr>
            <w:top w:val="none" w:sz="0" w:space="0" w:color="auto"/>
            <w:left w:val="none" w:sz="0" w:space="0" w:color="auto"/>
            <w:bottom w:val="none" w:sz="0" w:space="0" w:color="auto"/>
            <w:right w:val="none" w:sz="0" w:space="0" w:color="auto"/>
          </w:divBdr>
        </w:div>
      </w:divsChild>
    </w:div>
    <w:div w:id="2013605942">
      <w:bodyDiv w:val="1"/>
      <w:marLeft w:val="0"/>
      <w:marRight w:val="0"/>
      <w:marTop w:val="0"/>
      <w:marBottom w:val="0"/>
      <w:divBdr>
        <w:top w:val="none" w:sz="0" w:space="0" w:color="auto"/>
        <w:left w:val="none" w:sz="0" w:space="0" w:color="auto"/>
        <w:bottom w:val="none" w:sz="0" w:space="0" w:color="auto"/>
        <w:right w:val="none" w:sz="0" w:space="0" w:color="auto"/>
      </w:divBdr>
    </w:div>
    <w:div w:id="2052682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surveys.dcj.nsw.gov.au/jfe/form/SV_cSlmfz33q4L8KYm" TargetMode="Externa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lawreform.nsw.gov.au/current-projects/anti-discrimination-act-review.html" TargetMode="External"/><Relationship Id="rId34" Type="http://schemas.openxmlformats.org/officeDocument/2006/relationships/hyperlink" Target="https://www7.austlii.edu.au/cgi-bin/viewdoc/au/legis/cth/consol_act/fwa2009114/s12.html" TargetMode="External"/><Relationship Id="rId42"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jwaugh0\CMDATA\Offline%20Records%20(OT)\CP1%20-%20current%20chapter%20drafts\www.lawreform.nsw.gov.au" TargetMode="External"/><Relationship Id="rId25" Type="http://schemas.openxmlformats.org/officeDocument/2006/relationships/hyperlink" Target="https://lawreform.nsw.gov.au/about-us/policy-documents/privacy-information-management.html" TargetMode="External"/><Relationship Id="rId33" Type="http://schemas.openxmlformats.org/officeDocument/2006/relationships/hyperlink" Target="https://www7.austlii.edu.au/cgi-bin/viewdoc/au/legis/cth/consol_act/fwa2009114/s12.html" TargetMode="Externa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mailto:nsw-lrc@dcj.nsw.gov.au" TargetMode="External"/><Relationship Id="rId20" Type="http://schemas.openxmlformats.org/officeDocument/2006/relationships/footer" Target="footer6.xml"/><Relationship Id="rId29" Type="http://schemas.openxmlformats.org/officeDocument/2006/relationships/header" Target="header2.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awreform.nsw.gov.au/contribute-to-law-reform/submission.html" TargetMode="External"/><Relationship Id="rId32" Type="http://schemas.openxmlformats.org/officeDocument/2006/relationships/hyperlink" Target="https://www7.austlii.edu.au/cgi-bin/viewdoc/au/legis/cth/consol_act/fwa2009114/s12.html" TargetMode="External"/><Relationship Id="rId37" Type="http://schemas.openxmlformats.org/officeDocument/2006/relationships/header" Target="header6.xm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mailto:nsw-lrc@dcj.nsw.gov.au" TargetMode="External"/><Relationship Id="rId23" Type="http://schemas.openxmlformats.org/officeDocument/2006/relationships/hyperlink" Target="mailto:adareview@dcj.nsw.gov.au" TargetMode="External"/><Relationship Id="rId28" Type="http://schemas.openxmlformats.org/officeDocument/2006/relationships/hyperlink" Target="https://lawreform.nsw.gov.au/about-us/what-we-do.html" TargetMode="External"/><Relationship Id="rId36" Type="http://schemas.openxmlformats.org/officeDocument/2006/relationships/header" Target="header5.xml"/><Relationship Id="rId10" Type="http://schemas.openxmlformats.org/officeDocument/2006/relationships/package" Target="embeddings/Microsoft_Word_Document1.docx"/><Relationship Id="rId19" Type="http://schemas.openxmlformats.org/officeDocument/2006/relationships/footer" Target="footer5.xml"/><Relationship Id="rId31" Type="http://schemas.openxmlformats.org/officeDocument/2006/relationships/hyperlink" Target="https://www7.austlii.edu.au/cgi-bin/viewdoc/au/legis/cth/consol_act/fwa2009114/s12.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3.xml"/><Relationship Id="rId22" Type="http://schemas.openxmlformats.org/officeDocument/2006/relationships/hyperlink" Target="https://surveys.dcj.nsw.gov.au/jfe/form/SV_cSlmfz33q4L8KYm" TargetMode="External"/><Relationship Id="rId27" Type="http://schemas.openxmlformats.org/officeDocument/2006/relationships/hyperlink" Target="mailto:adareview@dcj.nsw.gov.au" TargetMode="External"/><Relationship Id="rId30" Type="http://schemas.openxmlformats.org/officeDocument/2006/relationships/header" Target="header3.xml"/><Relationship Id="rId35" Type="http://schemas.openxmlformats.org/officeDocument/2006/relationships/header" Target="header4.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file:///\\INTERNAL\AGDept\CENTRAL\sydhnd-spb\Workgroup\Secretariat\LRC\reference\13.84%20-%20Anti-Discrimination%20Act\Consultation%20papers\Compare\www.ombo.nsw.gov.au\complaints\complaints-we-can-help-you-with" TargetMode="External"/><Relationship Id="rId13" Type="http://schemas.openxmlformats.org/officeDocument/2006/relationships/hyperlink" Target="https://statements.qld.gov.au/statements/102168" TargetMode="External"/><Relationship Id="rId18" Type="http://schemas.openxmlformats.org/officeDocument/2006/relationships/hyperlink" Target="http://www.liquorandgaming.nsw.gov.au/resources/licensed-premises-data" TargetMode="External"/><Relationship Id="rId3" Type="http://schemas.openxmlformats.org/officeDocument/2006/relationships/hyperlink" Target="https://lawreform.nsw.gov.au/current-projects/anti-discrimination-act-review.html" TargetMode="External"/><Relationship Id="rId21" Type="http://schemas.openxmlformats.org/officeDocument/2006/relationships/hyperlink" Target="file:///\\INTERNAL\AGDept\CENTRAL\sydhnd-spb\Workgroup\Secretariat\LRC\reference\13.84%20-%20Anti-Discrimination%20Act\Consultation%20papers\Compare\www.nsw.gov.au\ministerial-releases\review-into-hate-speech-protections-for-vulnerable-communities" TargetMode="External"/><Relationship Id="rId7" Type="http://schemas.openxmlformats.org/officeDocument/2006/relationships/hyperlink" Target="https://lawreform.nsw.gov.au/about-us/what-we-do.html" TargetMode="External"/><Relationship Id="rId12" Type="http://schemas.openxmlformats.org/officeDocument/2006/relationships/hyperlink" Target="https://statements.qld.gov.au/statements/102168" TargetMode="External"/><Relationship Id="rId17" Type="http://schemas.openxmlformats.org/officeDocument/2006/relationships/hyperlink" Target="http://www.fairwork.gov.au/find-help-for/independent-contractors/regulated-workers/employee-like-workers" TargetMode="External"/><Relationship Id="rId25" Type="http://schemas.openxmlformats.org/officeDocument/2006/relationships/hyperlink" Target="https://antidiscrimination.nsw.gov.au/anti-discrimination-nsw/organisations-and-community-groups/exemptions-and-certifications/current-exemptions.html" TargetMode="External"/><Relationship Id="rId2" Type="http://schemas.openxmlformats.org/officeDocument/2006/relationships/hyperlink" Target="https://statements.qld.gov.au/statements/102168" TargetMode="External"/><Relationship Id="rId16" Type="http://schemas.openxmlformats.org/officeDocument/2006/relationships/hyperlink" Target="https://statements.qld.gov.au/statements/102168" TargetMode="External"/><Relationship Id="rId20" Type="http://schemas.openxmlformats.org/officeDocument/2006/relationships/hyperlink" Target="http://www.abc.net.au/news/2025-03-02/nt-anti-discrimination-hate-speech-laws-repealed/104991288" TargetMode="External"/><Relationship Id="rId1" Type="http://schemas.openxmlformats.org/officeDocument/2006/relationships/hyperlink" Target="http://www.abc.net.au/news/2025-03-02/nt-anti-discrimination-hate-speech-laws-repealed/104991288" TargetMode="External"/><Relationship Id="rId6" Type="http://schemas.openxmlformats.org/officeDocument/2006/relationships/hyperlink" Target="https://lawreform.nsw.gov.au/about-us/what-we-do.html" TargetMode="External"/><Relationship Id="rId11" Type="http://schemas.openxmlformats.org/officeDocument/2006/relationships/hyperlink" Target="file:///\\INTERNAL\AGDept\CENTRAL\sydhnd-spb\Workgroup\Secretariat\LRC\reference\13.84%20-%20Anti-Discrimination%20Act\Consultation%20papers\Compare\www.genderequalitycommission.vic.gov.au\applying-intersectionality" TargetMode="External"/><Relationship Id="rId24" Type="http://schemas.openxmlformats.org/officeDocument/2006/relationships/hyperlink" Target="https://antidiscrimination.nsw.gov.au/anti-discrimination-nsw/organisations-and-community-groups/exemptions-and-certifications.html/" TargetMode="External"/><Relationship Id="rId5" Type="http://schemas.openxmlformats.org/officeDocument/2006/relationships/hyperlink" Target="https://lawreform.nsw.gov.au/about-us/policy-documents/privacy-information-management.html" TargetMode="External"/><Relationship Id="rId15" Type="http://schemas.openxmlformats.org/officeDocument/2006/relationships/hyperlink" Target="http://www.who.int/standards/classifications/international-classification-of-functioning-disability-and-health" TargetMode="External"/><Relationship Id="rId23" Type="http://schemas.openxmlformats.org/officeDocument/2006/relationships/hyperlink" Target="file:///\\INTERNAL\AGDept\CENTRAL\sydhnd-spb\Workgroup\Secretariat\LRC\reference\13.84%20-%20Anti-Discrimination%20Act\Consultation%20papers\Compare\statements.qld.gov.au\statements\102168" TargetMode="External"/><Relationship Id="rId10" Type="http://schemas.openxmlformats.org/officeDocument/2006/relationships/hyperlink" Target="https://statements.qld.gov.au/statements/102168" TargetMode="External"/><Relationship Id="rId19" Type="http://schemas.openxmlformats.org/officeDocument/2006/relationships/hyperlink" Target="https://agd.nt.gov.au/law-reform-reviews/law-reforms/modernising-the-anti-discrimination-act-1992" TargetMode="External"/><Relationship Id="rId4" Type="http://schemas.openxmlformats.org/officeDocument/2006/relationships/hyperlink" Target="https://lawreform.nsw.gov.au/contribute-to-law-reform/submission.html" TargetMode="External"/><Relationship Id="rId9" Type="http://schemas.openxmlformats.org/officeDocument/2006/relationships/hyperlink" Target="https://statements.qld.gov.au/statements/102168" TargetMode="External"/><Relationship Id="rId14" Type="http://schemas.openxmlformats.org/officeDocument/2006/relationships/hyperlink" Target="file://\\internal\AGDept\CENTRAL\sydhnd-spb\Workgroup\Secretariat\LRC\reference\13.84%20-%20Anti-Discrimination%20Act\Consultation%20papers\Compare\www.abs.gov.au\statistics\detailed-methodology-information\concepts-sources-methods\personal-safety-survey-user-guide\2021-22\disability" TargetMode="External"/><Relationship Id="rId22" Type="http://schemas.openxmlformats.org/officeDocument/2006/relationships/hyperlink" Target="file:///\\INTERNAL\AGDept\CENTRAL\sydhnd-spb\Workgroup\Secretariat\LRC\reference\13.84%20-%20Anti-Discrimination%20Act\Consultation%20papers\Compare\www.abc.net.au\news\2025-03-02\nt-anti-discrimination-hate-speech-laws-repealed\104991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2A752-DC7D-4DC8-99CB-2CE13705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269</Pages>
  <Words>66370</Words>
  <Characters>389123</Characters>
  <Application>Microsoft Office Word</Application>
  <DocSecurity>0</DocSecurity>
  <Lines>3242</Lines>
  <Paragraphs>909</Paragraphs>
  <ScaleCrop>false</ScaleCrop>
  <HeadingPairs>
    <vt:vector size="2" baseType="variant">
      <vt:variant>
        <vt:lpstr>Title</vt:lpstr>
      </vt:variant>
      <vt:variant>
        <vt:i4>1</vt:i4>
      </vt:variant>
    </vt:vector>
  </HeadingPairs>
  <TitlesOfParts>
    <vt:vector size="1" baseType="lpstr">
      <vt:lpstr>Anti-Discrimination Act review: Consultation Paper on Unlawful Conduct</vt:lpstr>
    </vt:vector>
  </TitlesOfParts>
  <Company/>
  <LinksUpToDate>false</LinksUpToDate>
  <CharactersWithSpaces>454584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Anti-Discrimination Act review: Consultation Paper on Unlawful Conduct</dc:title>
  <dc:subject/>
  <dc:creator/>
  <cp:keywords/>
  <cp:lastModifiedBy/>
  <cp:revision>1</cp:revision>
  <dcterms:created xsi:type="dcterms:W3CDTF">2025-05-19T05:19:00Z</dcterms:created>
  <dcterms:modified xsi:type="dcterms:W3CDTF">2025-05-20T05:40:00Z</dcterms:modified>
  <cp:contentStatus/>
</cp:coreProperties>
</file>