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56" w:rsidRDefault="00D33B88" w:rsidP="00360556">
      <w:bookmarkStart w:id="0" w:name="_GoBack"/>
      <w:bookmarkEnd w:id="0"/>
      <w:r>
        <w:rPr>
          <w:noProof/>
          <w:lang w:eastAsia="en-AU"/>
        </w:rPr>
        <w:drawing>
          <wp:inline distT="0" distB="0" distL="0" distR="0">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875B52" w:rsidRPr="00056DD2" w:rsidRDefault="00875B52" w:rsidP="00875B52">
      <w:pPr>
        <w:pStyle w:val="Prelimtitle"/>
      </w:pPr>
      <w:r w:rsidRPr="00056DD2">
        <w:t>New South Wales</w:t>
      </w:r>
    </w:p>
    <w:p w:rsidR="00875B52" w:rsidRDefault="00875B52" w:rsidP="00875B52">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FE3C3C" w:rsidTr="00FE3C3C">
        <w:trPr>
          <w:trHeight w:val="4820"/>
        </w:trPr>
        <w:tc>
          <w:tcPr>
            <w:tcW w:w="5954" w:type="dxa"/>
            <w:shd w:val="clear" w:color="auto" w:fill="B8CCE4"/>
          </w:tcPr>
          <w:p w:rsidR="00FE3C3C" w:rsidRDefault="00DD020D" w:rsidP="00FE3C3C">
            <w:pPr>
              <w:pStyle w:val="Title"/>
              <w:jc w:val="left"/>
            </w:pPr>
            <w:r>
              <w:t>Review of the Guardianship Act 1987</w:t>
            </w:r>
          </w:p>
          <w:p w:rsidR="00FE3C3C" w:rsidRDefault="00DD020D" w:rsidP="00FE3C3C">
            <w:pPr>
              <w:pStyle w:val="Title"/>
              <w:jc w:val="left"/>
            </w:pPr>
            <w:r>
              <w:br/>
            </w:r>
            <w:r>
              <w:br/>
            </w:r>
            <w:r>
              <w:br/>
              <w:t>Background Paper</w:t>
            </w:r>
          </w:p>
          <w:p w:rsidR="00DD020D" w:rsidRPr="00DD020D" w:rsidRDefault="00DD020D" w:rsidP="00DD020D"/>
        </w:tc>
      </w:tr>
      <w:tr w:rsidR="00FE3C3C" w:rsidTr="00FE3C3C">
        <w:trPr>
          <w:trHeight w:val="1134"/>
        </w:trPr>
        <w:tc>
          <w:tcPr>
            <w:tcW w:w="5954" w:type="dxa"/>
            <w:shd w:val="clear" w:color="auto" w:fill="B8CCE4"/>
          </w:tcPr>
          <w:p w:rsidR="00FE3C3C" w:rsidRPr="00056DD2" w:rsidRDefault="00DD020D" w:rsidP="00FE3C3C">
            <w:pPr>
              <w:pStyle w:val="Prelimtitlesmall"/>
            </w:pPr>
            <w:r>
              <w:t>June 2016</w:t>
            </w:r>
          </w:p>
          <w:p w:rsidR="00FE3C3C" w:rsidRDefault="00135167" w:rsidP="00135167">
            <w:pPr>
              <w:pStyle w:val="Prelimtitlesmall"/>
            </w:pPr>
            <w:r>
              <w:t>www.lawreform.justice.nsw.gov.au</w:t>
            </w:r>
          </w:p>
        </w:tc>
      </w:tr>
    </w:tbl>
    <w:p w:rsidR="00360556" w:rsidRDefault="00360556" w:rsidP="00875B52">
      <w:pPr>
        <w:pStyle w:val="Prelimtitlenumber"/>
      </w:pPr>
    </w:p>
    <w:p w:rsidR="006635C5" w:rsidRPr="00A769A7" w:rsidRDefault="00FE3C3C" w:rsidP="006635C5">
      <w:pPr>
        <w:pStyle w:val="Copyrightnormal"/>
      </w:pPr>
      <w:r>
        <w:br w:type="page"/>
      </w:r>
      <w:r w:rsidR="006635C5" w:rsidRPr="00A769A7">
        <w:lastRenderedPageBreak/>
        <w:t>©</w:t>
      </w:r>
      <w:r w:rsidR="006635C5" w:rsidRPr="00A769A7">
        <w:tab/>
        <w:t>New South Wales Law</w:t>
      </w:r>
      <w:r w:rsidR="00EC394C">
        <w:t> Reform Commission, Sydney, 2016</w:t>
      </w:r>
    </w:p>
    <w:p w:rsidR="006635C5" w:rsidRPr="00A769A7" w:rsidRDefault="006635C5" w:rsidP="006635C5">
      <w:pPr>
        <w:pStyle w:val="Copyrightheading"/>
      </w:pPr>
      <w:bookmarkStart w:id="1" w:name="_Toc269893555"/>
      <w:bookmarkStart w:id="2" w:name="_Toc248895358"/>
      <w:bookmarkStart w:id="3" w:name="_Toc240773042"/>
      <w:r w:rsidRPr="00A769A7">
        <w:t>Copyright permissions</w:t>
      </w:r>
      <w:bookmarkEnd w:id="1"/>
      <w:bookmarkEnd w:id="2"/>
      <w:bookmarkEnd w:id="3"/>
    </w:p>
    <w:p w:rsidR="006635C5" w:rsidRPr="00A769A7" w:rsidRDefault="006635C5" w:rsidP="006635C5">
      <w:pPr>
        <w:pStyle w:val="Copyrightnormal"/>
      </w:pPr>
      <w:r w:rsidRPr="00A769A7">
        <w:t xml:space="preserve">This publication </w:t>
      </w:r>
      <w:proofErr w:type="gramStart"/>
      <w:r w:rsidRPr="00A769A7">
        <w:t>may be copied, distributed, displayed, downloaded and otherwise freely dealt with for any personal or non-commercial purpose, on condition that proper acknowledgment is included on all uses</w:t>
      </w:r>
      <w:proofErr w:type="gramEnd"/>
      <w:r w:rsidRPr="00A769A7">
        <w:t xml:space="preserve">. </w:t>
      </w:r>
    </w:p>
    <w:p w:rsidR="006635C5" w:rsidRPr="00A769A7" w:rsidRDefault="006635C5" w:rsidP="006635C5">
      <w:pPr>
        <w:pStyle w:val="Copyrightnormal"/>
      </w:pPr>
      <w:r w:rsidRPr="00A769A7">
        <w:t xml:space="preserve">However, you must obtain permission from the NSW Law Reform Commission if you wish to: </w:t>
      </w:r>
    </w:p>
    <w:p w:rsidR="006635C5" w:rsidRPr="00A769A7" w:rsidRDefault="006635C5" w:rsidP="006635C5">
      <w:pPr>
        <w:pStyle w:val="Copyrightbullet"/>
      </w:pPr>
      <w:r w:rsidRPr="00A769A7">
        <w:t>charge others for access to the publication (other than at cost);</w:t>
      </w:r>
    </w:p>
    <w:p w:rsidR="006635C5" w:rsidRPr="00A769A7" w:rsidRDefault="006635C5" w:rsidP="006635C5">
      <w:pPr>
        <w:pStyle w:val="Copyrightbullet"/>
      </w:pPr>
      <w:r w:rsidRPr="00A769A7">
        <w:t xml:space="preserve">include all or part of the publication in advertising or a product for sale; or </w:t>
      </w:r>
    </w:p>
    <w:p w:rsidR="006635C5" w:rsidRPr="00A769A7" w:rsidRDefault="006635C5" w:rsidP="006635C5">
      <w:pPr>
        <w:pStyle w:val="Copyrightbullet"/>
      </w:pPr>
      <w:proofErr w:type="gramStart"/>
      <w:r w:rsidRPr="00A769A7">
        <w:t>modify</w:t>
      </w:r>
      <w:proofErr w:type="gramEnd"/>
      <w:r w:rsidRPr="00A769A7">
        <w:t xml:space="preserve"> the publication.</w:t>
      </w:r>
    </w:p>
    <w:p w:rsidR="006635C5" w:rsidRPr="00A769A7" w:rsidRDefault="006635C5" w:rsidP="006635C5">
      <w:pPr>
        <w:pStyle w:val="Copyrightheading"/>
      </w:pPr>
      <w:bookmarkStart w:id="4" w:name="_Toc269893556"/>
      <w:bookmarkStart w:id="5" w:name="_Toc248895359"/>
      <w:bookmarkStart w:id="6" w:name="_Toc240773043"/>
      <w:r w:rsidRPr="00A769A7">
        <w:t>Disclaimer</w:t>
      </w:r>
      <w:bookmarkEnd w:id="4"/>
      <w:bookmarkEnd w:id="5"/>
      <w:bookmarkEnd w:id="6"/>
    </w:p>
    <w:p w:rsidR="006635C5" w:rsidRPr="00A769A7" w:rsidRDefault="006635C5" w:rsidP="006635C5">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6635C5" w:rsidRPr="00A769A7" w:rsidRDefault="006635C5" w:rsidP="006635C5">
      <w:pPr>
        <w:pStyle w:val="Copyrightnormal"/>
      </w:pPr>
      <w:r w:rsidRPr="00A769A7">
        <w:t>This publication deals with the law at the time it was first published and may not necessarily represent the current law.</w:t>
      </w:r>
    </w:p>
    <w:p w:rsidR="006635C5" w:rsidRPr="00A769A7" w:rsidRDefault="006635C5" w:rsidP="006635C5">
      <w:pPr>
        <w:pStyle w:val="Copyrightnormal"/>
      </w:pPr>
      <w:r w:rsidRPr="00A769A7">
        <w:t>Readers are responsible for making their own assessment of this publication and should verify all relevant representations, statements and information with their own professional advisers.</w:t>
      </w:r>
    </w:p>
    <w:p w:rsidR="006635C5" w:rsidRPr="00A769A7" w:rsidRDefault="006635C5" w:rsidP="006635C5">
      <w:pPr>
        <w:pStyle w:val="Copyrightheading"/>
      </w:pPr>
      <w:bookmarkStart w:id="7" w:name="_Toc269893557"/>
      <w:bookmarkStart w:id="8" w:name="_Toc248895360"/>
      <w:bookmarkStart w:id="9" w:name="_Toc240773044"/>
      <w:r w:rsidRPr="00A769A7">
        <w:t>Other publication formats</w:t>
      </w:r>
      <w:bookmarkEnd w:id="7"/>
      <w:bookmarkEnd w:id="8"/>
      <w:bookmarkEnd w:id="9"/>
    </w:p>
    <w:p w:rsidR="006635C5" w:rsidRPr="00A769A7" w:rsidRDefault="006635C5" w:rsidP="006635C5">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6635C5" w:rsidRPr="00A769A7" w:rsidRDefault="006635C5" w:rsidP="006635C5">
      <w:pPr>
        <w:pStyle w:val="Copyrightnormal"/>
      </w:pPr>
      <w:r w:rsidRPr="00A769A7">
        <w:t>This publication is available in alternative formats. If you require assistance, please contact the Commission (details on back cover).</w:t>
      </w:r>
    </w:p>
    <w:p w:rsidR="006635C5" w:rsidRPr="00A769A7" w:rsidRDefault="006635C5" w:rsidP="006635C5">
      <w:pPr>
        <w:pStyle w:val="Copyrightheading"/>
      </w:pPr>
      <w:bookmarkStart w:id="10" w:name="_Toc269893558"/>
      <w:bookmarkStart w:id="11" w:name="_Toc248895361"/>
      <w:bookmarkStart w:id="12" w:name="_Toc240773045"/>
      <w:r w:rsidRPr="00A769A7">
        <w:t>Cataloguing-in-publication</w:t>
      </w:r>
      <w:bookmarkEnd w:id="10"/>
      <w:bookmarkEnd w:id="11"/>
      <w:bookmarkEnd w:id="12"/>
    </w:p>
    <w:p w:rsidR="006635C5" w:rsidRPr="00A769A7" w:rsidRDefault="006635C5" w:rsidP="006635C5">
      <w:pPr>
        <w:pStyle w:val="Copyrightnormal"/>
      </w:pPr>
      <w:r w:rsidRPr="00A769A7">
        <w:t xml:space="preserve">Cataloguing-in-publication data is available from the National Library of Australia. </w:t>
      </w:r>
    </w:p>
    <w:p w:rsidR="00EC394C" w:rsidRPr="00A769A7" w:rsidRDefault="001F1C08" w:rsidP="00EC394C">
      <w:pPr>
        <w:pStyle w:val="Copyrightnormal"/>
      </w:pPr>
      <w:r w:rsidRPr="005D0554">
        <w:t>ISBN 978-1-922254-14-6</w:t>
      </w:r>
    </w:p>
    <w:p w:rsidR="00E16CB1" w:rsidRDefault="00E16CB1" w:rsidP="00D9009D">
      <w:pPr>
        <w:pStyle w:val="Blank"/>
      </w:pPr>
    </w:p>
    <w:p w:rsidR="00D9365D" w:rsidRDefault="00D9365D" w:rsidP="00B97890">
      <w:pPr>
        <w:pStyle w:val="AppendixHeading"/>
        <w:sectPr w:rsidR="00D9365D" w:rsidSect="00D9365D">
          <w:headerReference w:type="even" r:id="rId10"/>
          <w:headerReference w:type="default" r:id="rId11"/>
          <w:footerReference w:type="even" r:id="rId12"/>
          <w:footerReference w:type="default" r:id="rId13"/>
          <w:footnotePr>
            <w:numRestart w:val="eachSect"/>
          </w:footnotePr>
          <w:type w:val="oddPage"/>
          <w:pgSz w:w="11906" w:h="16838"/>
          <w:pgMar w:top="1134" w:right="1320" w:bottom="1134" w:left="1680" w:header="567" w:footer="284" w:gutter="0"/>
          <w:pgNumType w:fmt="lowerRoman"/>
          <w:cols w:space="708"/>
          <w:titlePg/>
          <w:docGrid w:linePitch="360"/>
        </w:sectPr>
      </w:pPr>
      <w:bookmarkStart w:id="13" w:name="_Toc340762997"/>
      <w:bookmarkStart w:id="14" w:name="_Toc340852878"/>
      <w:bookmarkStart w:id="15" w:name="_Toc341100964"/>
      <w:bookmarkStart w:id="16" w:name="_Toc341431076"/>
      <w:bookmarkStart w:id="17" w:name="_Toc353539101"/>
      <w:bookmarkStart w:id="18" w:name="_Toc360185600"/>
      <w:bookmarkStart w:id="19" w:name="_Toc360806928"/>
      <w:bookmarkStart w:id="20" w:name="_Toc361235358"/>
    </w:p>
    <w:p w:rsidR="004A1921" w:rsidRPr="00012918" w:rsidRDefault="00233438" w:rsidP="00012918">
      <w:pPr>
        <w:pStyle w:val="TOCHeading"/>
      </w:pPr>
      <w:r w:rsidRPr="00233438">
        <w:lastRenderedPageBreak/>
        <w:t>Table of contents</w:t>
      </w:r>
      <w:bookmarkEnd w:id="13"/>
      <w:bookmarkEnd w:id="14"/>
      <w:bookmarkEnd w:id="15"/>
      <w:bookmarkEnd w:id="16"/>
      <w:bookmarkEnd w:id="17"/>
      <w:bookmarkEnd w:id="18"/>
      <w:bookmarkEnd w:id="19"/>
      <w:bookmarkEnd w:id="20"/>
    </w:p>
    <w:p w:rsidR="005C3E11" w:rsidRDefault="0006000C" w:rsidP="005C3E11">
      <w:pPr>
        <w:pStyle w:val="TOC1"/>
        <w:tabs>
          <w:tab w:val="right" w:leader="dot" w:pos="8896"/>
        </w:tabs>
        <w:rPr>
          <w:rFonts w:asciiTheme="minorHAnsi" w:eastAsiaTheme="minorEastAsia" w:hAnsiTheme="minorHAnsi" w:cstheme="minorBidi"/>
          <w:b w:val="0"/>
          <w:noProof/>
          <w:color w:val="auto"/>
          <w:sz w:val="22"/>
          <w:szCs w:val="22"/>
          <w:lang w:eastAsia="en-AU"/>
        </w:rPr>
      </w:pPr>
      <w:r>
        <w:fldChar w:fldCharType="begin"/>
      </w:r>
      <w:r w:rsidR="00733CD2">
        <w:instrText xml:space="preserve"> TOC \h \z \t "</w:instrText>
      </w:r>
      <w:r w:rsidR="00E86519" w:rsidRPr="00E86519">
        <w:instrText>Chapter Heading</w:instrText>
      </w:r>
      <w:r w:rsidR="00E86519">
        <w:instrText>,1</w:instrText>
      </w:r>
      <w:r w:rsidR="000C46E8">
        <w:instrText>,Appendix Heading,1,</w:instrText>
      </w:r>
      <w:r w:rsidR="000C46E8" w:rsidRPr="000C46E8">
        <w:instrText xml:space="preserve"> </w:instrText>
      </w:r>
      <w:r w:rsidR="000C46E8">
        <w:instrText>Heading default,1</w:instrText>
      </w:r>
      <w:r w:rsidR="00E86519">
        <w:instrText>,</w:instrText>
      </w:r>
      <w:r w:rsidR="00733CD2" w:rsidRPr="00733CD2">
        <w:instrText>Heading - Major</w:instrText>
      </w:r>
      <w:r w:rsidR="00733CD2">
        <w:instrText>,1,</w:instrText>
      </w:r>
      <w:r w:rsidR="00733CD2" w:rsidRPr="00733CD2">
        <w:instrText xml:space="preserve"> Heading - Minor</w:instrText>
      </w:r>
      <w:r w:rsidR="00733CD2">
        <w:instrText>,2,Heading 1,2</w:instrText>
      </w:r>
      <w:r w:rsidR="002B513E">
        <w:instrText>,Heading 2,3</w:instrText>
      </w:r>
      <w:r w:rsidR="00733CD2">
        <w:instrText>"</w:instrText>
      </w:r>
      <w:r>
        <w:instrText xml:space="preserve"> </w:instrText>
      </w:r>
      <w:r>
        <w:fldChar w:fldCharType="separate"/>
      </w:r>
      <w:hyperlink w:anchor="_Toc454202763" w:history="1">
        <w:r w:rsidR="005C3E11" w:rsidRPr="00682F63">
          <w:rPr>
            <w:rStyle w:val="Hyperlink"/>
            <w:noProof/>
          </w:rPr>
          <w:t>Participants</w:t>
        </w:r>
        <w:r w:rsidR="005C3E11">
          <w:rPr>
            <w:noProof/>
            <w:webHidden/>
          </w:rPr>
          <w:tab/>
        </w:r>
        <w:r w:rsidR="005C3E11">
          <w:rPr>
            <w:noProof/>
            <w:webHidden/>
          </w:rPr>
          <w:fldChar w:fldCharType="begin"/>
        </w:r>
        <w:r w:rsidR="005C3E11">
          <w:rPr>
            <w:noProof/>
            <w:webHidden/>
          </w:rPr>
          <w:instrText xml:space="preserve"> PAGEREF _Toc454202763 \h </w:instrText>
        </w:r>
        <w:r w:rsidR="005C3E11">
          <w:rPr>
            <w:noProof/>
            <w:webHidden/>
          </w:rPr>
        </w:r>
        <w:r w:rsidR="005C3E11">
          <w:rPr>
            <w:noProof/>
            <w:webHidden/>
          </w:rPr>
          <w:fldChar w:fldCharType="separate"/>
        </w:r>
        <w:r w:rsidR="001F1C08">
          <w:rPr>
            <w:noProof/>
            <w:webHidden/>
          </w:rPr>
          <w:t>iv</w:t>
        </w:r>
        <w:r w:rsidR="005C3E11">
          <w:rPr>
            <w:noProof/>
            <w:webHidden/>
          </w:rPr>
          <w:fldChar w:fldCharType="end"/>
        </w:r>
      </w:hyperlink>
    </w:p>
    <w:p w:rsidR="005C3E11" w:rsidRDefault="00B02B41">
      <w:pPr>
        <w:pStyle w:val="TOC1"/>
        <w:tabs>
          <w:tab w:val="right" w:leader="dot" w:pos="8896"/>
        </w:tabs>
        <w:rPr>
          <w:rFonts w:asciiTheme="minorHAnsi" w:eastAsiaTheme="minorEastAsia" w:hAnsiTheme="minorHAnsi" w:cstheme="minorBidi"/>
          <w:b w:val="0"/>
          <w:noProof/>
          <w:color w:val="auto"/>
          <w:sz w:val="22"/>
          <w:szCs w:val="22"/>
          <w:lang w:eastAsia="en-AU"/>
        </w:rPr>
      </w:pPr>
      <w:hyperlink w:anchor="_Toc454202766" w:history="1">
        <w:r w:rsidR="005C3E11" w:rsidRPr="00682F63">
          <w:rPr>
            <w:rStyle w:val="Hyperlink"/>
            <w:noProof/>
          </w:rPr>
          <w:t>Terms of reference</w:t>
        </w:r>
        <w:r w:rsidR="005C3E11">
          <w:rPr>
            <w:noProof/>
            <w:webHidden/>
          </w:rPr>
          <w:tab/>
        </w:r>
        <w:r w:rsidR="005C3E11">
          <w:rPr>
            <w:noProof/>
            <w:webHidden/>
          </w:rPr>
          <w:fldChar w:fldCharType="begin"/>
        </w:r>
        <w:r w:rsidR="005C3E11">
          <w:rPr>
            <w:noProof/>
            <w:webHidden/>
          </w:rPr>
          <w:instrText xml:space="preserve"> PAGEREF _Toc454202766 \h </w:instrText>
        </w:r>
        <w:r w:rsidR="005C3E11">
          <w:rPr>
            <w:noProof/>
            <w:webHidden/>
          </w:rPr>
        </w:r>
        <w:r w:rsidR="005C3E11">
          <w:rPr>
            <w:noProof/>
            <w:webHidden/>
          </w:rPr>
          <w:fldChar w:fldCharType="separate"/>
        </w:r>
        <w:r w:rsidR="001F1C08">
          <w:rPr>
            <w:noProof/>
            <w:webHidden/>
          </w:rPr>
          <w:t>v</w:t>
        </w:r>
        <w:r w:rsidR="005C3E11">
          <w:rPr>
            <w:noProof/>
            <w:webHidden/>
          </w:rPr>
          <w:fldChar w:fldCharType="end"/>
        </w:r>
      </w:hyperlink>
    </w:p>
    <w:p w:rsidR="005C3E11" w:rsidRDefault="00B02B41" w:rsidP="005C3E11">
      <w:pPr>
        <w:pStyle w:val="TOC1"/>
        <w:tabs>
          <w:tab w:val="left" w:pos="1083"/>
          <w:tab w:val="right" w:leader="dot" w:pos="8896"/>
        </w:tabs>
        <w:rPr>
          <w:rFonts w:asciiTheme="minorHAnsi" w:eastAsiaTheme="minorEastAsia" w:hAnsiTheme="minorHAnsi" w:cstheme="minorBidi"/>
          <w:b w:val="0"/>
          <w:noProof/>
          <w:color w:val="auto"/>
          <w:sz w:val="22"/>
          <w:szCs w:val="22"/>
          <w:lang w:eastAsia="en-AU"/>
        </w:rPr>
      </w:pPr>
      <w:hyperlink w:anchor="_Toc454202767" w:history="1">
        <w:r w:rsidR="005C3E11" w:rsidRPr="00682F63">
          <w:rPr>
            <w:rStyle w:val="Hyperlink"/>
            <w:rFonts w:ascii="Arial Bold" w:hAnsi="Arial Bold"/>
            <w:noProof/>
          </w:rPr>
          <w:t>1.</w:t>
        </w:r>
        <w:r w:rsidR="005C3E11">
          <w:rPr>
            <w:rFonts w:asciiTheme="minorHAnsi" w:eastAsiaTheme="minorEastAsia" w:hAnsiTheme="minorHAnsi" w:cstheme="minorBidi"/>
            <w:b w:val="0"/>
            <w:noProof/>
            <w:color w:val="auto"/>
            <w:sz w:val="22"/>
            <w:szCs w:val="22"/>
            <w:lang w:eastAsia="en-AU"/>
          </w:rPr>
          <w:tab/>
        </w:r>
        <w:r w:rsidR="005C3E11" w:rsidRPr="00682F63">
          <w:rPr>
            <w:rStyle w:val="Hyperlink"/>
            <w:noProof/>
          </w:rPr>
          <w:t>Introduction</w:t>
        </w:r>
        <w:r w:rsidR="005C3E11">
          <w:rPr>
            <w:noProof/>
            <w:webHidden/>
          </w:rPr>
          <w:tab/>
        </w:r>
        <w:r w:rsidR="005C3E11">
          <w:rPr>
            <w:noProof/>
            <w:webHidden/>
          </w:rPr>
          <w:fldChar w:fldCharType="begin"/>
        </w:r>
        <w:r w:rsidR="005C3E11">
          <w:rPr>
            <w:noProof/>
            <w:webHidden/>
          </w:rPr>
          <w:instrText xml:space="preserve"> PAGEREF _Toc454202767 \h </w:instrText>
        </w:r>
        <w:r w:rsidR="005C3E11">
          <w:rPr>
            <w:noProof/>
            <w:webHidden/>
          </w:rPr>
        </w:r>
        <w:r w:rsidR="005C3E11">
          <w:rPr>
            <w:noProof/>
            <w:webHidden/>
          </w:rPr>
          <w:fldChar w:fldCharType="separate"/>
        </w:r>
        <w:r w:rsidR="001F1C08">
          <w:rPr>
            <w:noProof/>
            <w:webHidden/>
          </w:rPr>
          <w:t>1</w:t>
        </w:r>
        <w:r w:rsidR="005C3E11">
          <w:rPr>
            <w:noProof/>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69" w:history="1">
        <w:r w:rsidR="005C3E11" w:rsidRPr="00682F63">
          <w:rPr>
            <w:rStyle w:val="Hyperlink"/>
          </w:rPr>
          <w:t>Our approach</w:t>
        </w:r>
        <w:r w:rsidR="005C3E11">
          <w:rPr>
            <w:webHidden/>
          </w:rPr>
          <w:tab/>
        </w:r>
        <w:r w:rsidR="005C3E11">
          <w:rPr>
            <w:webHidden/>
          </w:rPr>
          <w:fldChar w:fldCharType="begin"/>
        </w:r>
        <w:r w:rsidR="005C3E11">
          <w:rPr>
            <w:webHidden/>
          </w:rPr>
          <w:instrText xml:space="preserve"> PAGEREF _Toc454202769 \h </w:instrText>
        </w:r>
        <w:r w:rsidR="005C3E11">
          <w:rPr>
            <w:webHidden/>
          </w:rPr>
        </w:r>
        <w:r w:rsidR="005C3E11">
          <w:rPr>
            <w:webHidden/>
          </w:rPr>
          <w:fldChar w:fldCharType="separate"/>
        </w:r>
        <w:r w:rsidR="001F1C08">
          <w:rPr>
            <w:webHidden/>
          </w:rPr>
          <w:t>1</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0" w:history="1">
        <w:r w:rsidR="005C3E11" w:rsidRPr="00682F63">
          <w:rPr>
            <w:rStyle w:val="Hyperlink"/>
          </w:rPr>
          <w:t>A review among many</w:t>
        </w:r>
        <w:r w:rsidR="005C3E11">
          <w:rPr>
            <w:webHidden/>
          </w:rPr>
          <w:tab/>
        </w:r>
        <w:r w:rsidR="005C3E11">
          <w:rPr>
            <w:webHidden/>
          </w:rPr>
          <w:fldChar w:fldCharType="begin"/>
        </w:r>
        <w:r w:rsidR="005C3E11">
          <w:rPr>
            <w:webHidden/>
          </w:rPr>
          <w:instrText xml:space="preserve"> PAGEREF _Toc454202770 \h </w:instrText>
        </w:r>
        <w:r w:rsidR="005C3E11">
          <w:rPr>
            <w:webHidden/>
          </w:rPr>
        </w:r>
        <w:r w:rsidR="005C3E11">
          <w:rPr>
            <w:webHidden/>
          </w:rPr>
          <w:fldChar w:fldCharType="separate"/>
        </w:r>
        <w:r w:rsidR="001F1C08">
          <w:rPr>
            <w:webHidden/>
          </w:rPr>
          <w:t>1</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1" w:history="1">
        <w:r w:rsidR="005C3E11" w:rsidRPr="00682F63">
          <w:rPr>
            <w:rStyle w:val="Hyperlink"/>
          </w:rPr>
          <w:t>A series of consultation papers</w:t>
        </w:r>
        <w:r w:rsidR="005C3E11">
          <w:rPr>
            <w:webHidden/>
          </w:rPr>
          <w:tab/>
        </w:r>
        <w:r w:rsidR="005C3E11">
          <w:rPr>
            <w:webHidden/>
          </w:rPr>
          <w:fldChar w:fldCharType="begin"/>
        </w:r>
        <w:r w:rsidR="005C3E11">
          <w:rPr>
            <w:webHidden/>
          </w:rPr>
          <w:instrText xml:space="preserve"> PAGEREF _Toc454202771 \h </w:instrText>
        </w:r>
        <w:r w:rsidR="005C3E11">
          <w:rPr>
            <w:webHidden/>
          </w:rPr>
        </w:r>
        <w:r w:rsidR="005C3E11">
          <w:rPr>
            <w:webHidden/>
          </w:rPr>
          <w:fldChar w:fldCharType="separate"/>
        </w:r>
        <w:r w:rsidR="001F1C08">
          <w:rPr>
            <w:webHidden/>
          </w:rPr>
          <w:t>1</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2" w:history="1">
        <w:r w:rsidR="005C3E11" w:rsidRPr="00682F63">
          <w:rPr>
            <w:rStyle w:val="Hyperlink"/>
          </w:rPr>
          <w:t>Other formats and consultation methods</w:t>
        </w:r>
        <w:r w:rsidR="005C3E11">
          <w:rPr>
            <w:webHidden/>
          </w:rPr>
          <w:tab/>
        </w:r>
        <w:r w:rsidR="005C3E11">
          <w:rPr>
            <w:webHidden/>
          </w:rPr>
          <w:fldChar w:fldCharType="begin"/>
        </w:r>
        <w:r w:rsidR="005C3E11">
          <w:rPr>
            <w:webHidden/>
          </w:rPr>
          <w:instrText xml:space="preserve"> PAGEREF _Toc454202772 \h </w:instrText>
        </w:r>
        <w:r w:rsidR="005C3E11">
          <w:rPr>
            <w:webHidden/>
          </w:rPr>
        </w:r>
        <w:r w:rsidR="005C3E11">
          <w:rPr>
            <w:webHidden/>
          </w:rPr>
          <w:fldChar w:fldCharType="separate"/>
        </w:r>
        <w:r w:rsidR="001F1C08">
          <w:rPr>
            <w:webHidden/>
          </w:rPr>
          <w:t>2</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3" w:history="1">
        <w:r w:rsidR="005C3E11" w:rsidRPr="00682F63">
          <w:rPr>
            <w:rStyle w:val="Hyperlink"/>
          </w:rPr>
          <w:t>Scope of review</w:t>
        </w:r>
        <w:r w:rsidR="005C3E11">
          <w:rPr>
            <w:webHidden/>
          </w:rPr>
          <w:tab/>
        </w:r>
        <w:r w:rsidR="005C3E11">
          <w:rPr>
            <w:webHidden/>
          </w:rPr>
          <w:fldChar w:fldCharType="begin"/>
        </w:r>
        <w:r w:rsidR="005C3E11">
          <w:rPr>
            <w:webHidden/>
          </w:rPr>
          <w:instrText xml:space="preserve"> PAGEREF _Toc454202773 \h </w:instrText>
        </w:r>
        <w:r w:rsidR="005C3E11">
          <w:rPr>
            <w:webHidden/>
          </w:rPr>
        </w:r>
        <w:r w:rsidR="005C3E11">
          <w:rPr>
            <w:webHidden/>
          </w:rPr>
          <w:fldChar w:fldCharType="separate"/>
        </w:r>
        <w:r w:rsidR="001F1C08">
          <w:rPr>
            <w:webHidden/>
          </w:rPr>
          <w:t>3</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4" w:history="1">
        <w:r w:rsidR="005C3E11" w:rsidRPr="00682F63">
          <w:rPr>
            <w:rStyle w:val="Hyperlink"/>
          </w:rPr>
          <w:t>Preliminary submissions and consultations</w:t>
        </w:r>
        <w:r w:rsidR="005C3E11">
          <w:rPr>
            <w:webHidden/>
          </w:rPr>
          <w:tab/>
        </w:r>
        <w:r w:rsidR="005C3E11">
          <w:rPr>
            <w:webHidden/>
          </w:rPr>
          <w:fldChar w:fldCharType="begin"/>
        </w:r>
        <w:r w:rsidR="005C3E11">
          <w:rPr>
            <w:webHidden/>
          </w:rPr>
          <w:instrText xml:space="preserve"> PAGEREF _Toc454202774 \h </w:instrText>
        </w:r>
        <w:r w:rsidR="005C3E11">
          <w:rPr>
            <w:webHidden/>
          </w:rPr>
        </w:r>
        <w:r w:rsidR="005C3E11">
          <w:rPr>
            <w:webHidden/>
          </w:rPr>
          <w:fldChar w:fldCharType="separate"/>
        </w:r>
        <w:r w:rsidR="001F1C08">
          <w:rPr>
            <w:webHidden/>
          </w:rPr>
          <w:t>3</w:t>
        </w:r>
        <w:r w:rsidR="005C3E11">
          <w:rPr>
            <w:webHidden/>
          </w:rPr>
          <w:fldChar w:fldCharType="end"/>
        </w:r>
      </w:hyperlink>
    </w:p>
    <w:p w:rsidR="005C3E11" w:rsidRDefault="00B02B41">
      <w:pPr>
        <w:pStyle w:val="TOC1"/>
        <w:tabs>
          <w:tab w:val="left" w:pos="1083"/>
          <w:tab w:val="right" w:leader="dot" w:pos="8896"/>
        </w:tabs>
        <w:rPr>
          <w:rFonts w:asciiTheme="minorHAnsi" w:eastAsiaTheme="minorEastAsia" w:hAnsiTheme="minorHAnsi" w:cstheme="minorBidi"/>
          <w:b w:val="0"/>
          <w:noProof/>
          <w:color w:val="auto"/>
          <w:sz w:val="22"/>
          <w:szCs w:val="22"/>
          <w:lang w:eastAsia="en-AU"/>
        </w:rPr>
      </w:pPr>
      <w:hyperlink w:anchor="_Toc454202775" w:history="1">
        <w:r w:rsidR="005C3E11" w:rsidRPr="00682F63">
          <w:rPr>
            <w:rStyle w:val="Hyperlink"/>
            <w:rFonts w:ascii="Arial Bold" w:hAnsi="Arial Bold"/>
            <w:noProof/>
          </w:rPr>
          <w:t>2.</w:t>
        </w:r>
        <w:r w:rsidR="005C3E11">
          <w:rPr>
            <w:rFonts w:asciiTheme="minorHAnsi" w:eastAsiaTheme="minorEastAsia" w:hAnsiTheme="minorHAnsi" w:cstheme="minorBidi"/>
            <w:b w:val="0"/>
            <w:noProof/>
            <w:color w:val="auto"/>
            <w:sz w:val="22"/>
            <w:szCs w:val="22"/>
            <w:lang w:eastAsia="en-AU"/>
          </w:rPr>
          <w:tab/>
        </w:r>
        <w:r w:rsidR="005C3E11" w:rsidRPr="00682F63">
          <w:rPr>
            <w:rStyle w:val="Hyperlink"/>
            <w:noProof/>
          </w:rPr>
          <w:t>The Guardianship Act 1987</w:t>
        </w:r>
        <w:r w:rsidR="005C3E11">
          <w:rPr>
            <w:noProof/>
            <w:webHidden/>
          </w:rPr>
          <w:tab/>
        </w:r>
        <w:r w:rsidR="005C3E11">
          <w:rPr>
            <w:noProof/>
            <w:webHidden/>
          </w:rPr>
          <w:fldChar w:fldCharType="begin"/>
        </w:r>
        <w:r w:rsidR="005C3E11">
          <w:rPr>
            <w:noProof/>
            <w:webHidden/>
          </w:rPr>
          <w:instrText xml:space="preserve"> PAGEREF _Toc454202775 \h </w:instrText>
        </w:r>
        <w:r w:rsidR="005C3E11">
          <w:rPr>
            <w:noProof/>
            <w:webHidden/>
          </w:rPr>
        </w:r>
        <w:r w:rsidR="005C3E11">
          <w:rPr>
            <w:noProof/>
            <w:webHidden/>
          </w:rPr>
          <w:fldChar w:fldCharType="separate"/>
        </w:r>
        <w:r w:rsidR="001F1C08">
          <w:rPr>
            <w:noProof/>
            <w:webHidden/>
          </w:rPr>
          <w:t>5</w:t>
        </w:r>
        <w:r w:rsidR="005C3E11">
          <w:rPr>
            <w:noProof/>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76" w:history="1">
        <w:r w:rsidR="005C3E11" w:rsidRPr="00682F63">
          <w:rPr>
            <w:rStyle w:val="Hyperlink"/>
          </w:rPr>
          <w:t>History of the Act</w:t>
        </w:r>
        <w:r w:rsidR="005C3E11">
          <w:rPr>
            <w:webHidden/>
          </w:rPr>
          <w:tab/>
        </w:r>
        <w:r w:rsidR="005C3E11">
          <w:rPr>
            <w:webHidden/>
          </w:rPr>
          <w:fldChar w:fldCharType="begin"/>
        </w:r>
        <w:r w:rsidR="005C3E11">
          <w:rPr>
            <w:webHidden/>
          </w:rPr>
          <w:instrText xml:space="preserve"> PAGEREF _Toc454202776 \h </w:instrText>
        </w:r>
        <w:r w:rsidR="005C3E11">
          <w:rPr>
            <w:webHidden/>
          </w:rPr>
        </w:r>
        <w:r w:rsidR="005C3E11">
          <w:rPr>
            <w:webHidden/>
          </w:rPr>
          <w:fldChar w:fldCharType="separate"/>
        </w:r>
        <w:r w:rsidR="001F1C08">
          <w:rPr>
            <w:webHidden/>
          </w:rPr>
          <w:t>5</w:t>
        </w:r>
        <w:r w:rsidR="005C3E11">
          <w:rPr>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77" w:history="1">
        <w:r w:rsidR="005C3E11" w:rsidRPr="00682F63">
          <w:rPr>
            <w:rStyle w:val="Hyperlink"/>
          </w:rPr>
          <w:t>Legislative overview</w:t>
        </w:r>
        <w:r w:rsidR="005C3E11">
          <w:rPr>
            <w:webHidden/>
          </w:rPr>
          <w:tab/>
        </w:r>
        <w:r w:rsidR="005C3E11">
          <w:rPr>
            <w:webHidden/>
          </w:rPr>
          <w:fldChar w:fldCharType="begin"/>
        </w:r>
        <w:r w:rsidR="005C3E11">
          <w:rPr>
            <w:webHidden/>
          </w:rPr>
          <w:instrText xml:space="preserve"> PAGEREF _Toc454202777 \h </w:instrText>
        </w:r>
        <w:r w:rsidR="005C3E11">
          <w:rPr>
            <w:webHidden/>
          </w:rPr>
        </w:r>
        <w:r w:rsidR="005C3E11">
          <w:rPr>
            <w:webHidden/>
          </w:rPr>
          <w:fldChar w:fldCharType="separate"/>
        </w:r>
        <w:r w:rsidR="001F1C08">
          <w:rPr>
            <w:webHidden/>
          </w:rPr>
          <w:t>6</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8" w:history="1">
        <w:r w:rsidR="005C3E11" w:rsidRPr="00682F63">
          <w:rPr>
            <w:rStyle w:val="Hyperlink"/>
          </w:rPr>
          <w:t>General principles (section 4)</w:t>
        </w:r>
        <w:r w:rsidR="005C3E11">
          <w:rPr>
            <w:webHidden/>
          </w:rPr>
          <w:tab/>
        </w:r>
        <w:r w:rsidR="005C3E11">
          <w:rPr>
            <w:webHidden/>
          </w:rPr>
          <w:fldChar w:fldCharType="begin"/>
        </w:r>
        <w:r w:rsidR="005C3E11">
          <w:rPr>
            <w:webHidden/>
          </w:rPr>
          <w:instrText xml:space="preserve"> PAGEREF _Toc454202778 \h </w:instrText>
        </w:r>
        <w:r w:rsidR="005C3E11">
          <w:rPr>
            <w:webHidden/>
          </w:rPr>
        </w:r>
        <w:r w:rsidR="005C3E11">
          <w:rPr>
            <w:webHidden/>
          </w:rPr>
          <w:fldChar w:fldCharType="separate"/>
        </w:r>
        <w:r w:rsidR="001F1C08">
          <w:rPr>
            <w:webHidden/>
          </w:rPr>
          <w:t>6</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79" w:history="1">
        <w:r w:rsidR="005C3E11" w:rsidRPr="00682F63">
          <w:rPr>
            <w:rStyle w:val="Hyperlink"/>
          </w:rPr>
          <w:t>Enduring guardians (Part 2)</w:t>
        </w:r>
        <w:r w:rsidR="005C3E11">
          <w:rPr>
            <w:webHidden/>
          </w:rPr>
          <w:tab/>
        </w:r>
        <w:r w:rsidR="005C3E11">
          <w:rPr>
            <w:webHidden/>
          </w:rPr>
          <w:fldChar w:fldCharType="begin"/>
        </w:r>
        <w:r w:rsidR="005C3E11">
          <w:rPr>
            <w:webHidden/>
          </w:rPr>
          <w:instrText xml:space="preserve"> PAGEREF _Toc454202779 \h </w:instrText>
        </w:r>
        <w:r w:rsidR="005C3E11">
          <w:rPr>
            <w:webHidden/>
          </w:rPr>
        </w:r>
        <w:r w:rsidR="005C3E11">
          <w:rPr>
            <w:webHidden/>
          </w:rPr>
          <w:fldChar w:fldCharType="separate"/>
        </w:r>
        <w:r w:rsidR="001F1C08">
          <w:rPr>
            <w:webHidden/>
          </w:rPr>
          <w:t>7</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80" w:history="1">
        <w:r w:rsidR="005C3E11" w:rsidRPr="00682F63">
          <w:rPr>
            <w:rStyle w:val="Hyperlink"/>
          </w:rPr>
          <w:t>Guardianship orders (Part 3)</w:t>
        </w:r>
        <w:r w:rsidR="005C3E11">
          <w:rPr>
            <w:webHidden/>
          </w:rPr>
          <w:tab/>
        </w:r>
        <w:r w:rsidR="005C3E11">
          <w:rPr>
            <w:webHidden/>
          </w:rPr>
          <w:fldChar w:fldCharType="begin"/>
        </w:r>
        <w:r w:rsidR="005C3E11">
          <w:rPr>
            <w:webHidden/>
          </w:rPr>
          <w:instrText xml:space="preserve"> PAGEREF _Toc454202780 \h </w:instrText>
        </w:r>
        <w:r w:rsidR="005C3E11">
          <w:rPr>
            <w:webHidden/>
          </w:rPr>
        </w:r>
        <w:r w:rsidR="005C3E11">
          <w:rPr>
            <w:webHidden/>
          </w:rPr>
          <w:fldChar w:fldCharType="separate"/>
        </w:r>
        <w:r w:rsidR="001F1C08">
          <w:rPr>
            <w:webHidden/>
          </w:rPr>
          <w:t>7</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81" w:history="1">
        <w:r w:rsidR="005C3E11" w:rsidRPr="00682F63">
          <w:rPr>
            <w:rStyle w:val="Hyperlink"/>
          </w:rPr>
          <w:t>Financial management (Part 3A)</w:t>
        </w:r>
        <w:r w:rsidR="005C3E11">
          <w:rPr>
            <w:webHidden/>
          </w:rPr>
          <w:tab/>
        </w:r>
        <w:r w:rsidR="005C3E11">
          <w:rPr>
            <w:webHidden/>
          </w:rPr>
          <w:fldChar w:fldCharType="begin"/>
        </w:r>
        <w:r w:rsidR="005C3E11">
          <w:rPr>
            <w:webHidden/>
          </w:rPr>
          <w:instrText xml:space="preserve"> PAGEREF _Toc454202781 \h </w:instrText>
        </w:r>
        <w:r w:rsidR="005C3E11">
          <w:rPr>
            <w:webHidden/>
          </w:rPr>
        </w:r>
        <w:r w:rsidR="005C3E11">
          <w:rPr>
            <w:webHidden/>
          </w:rPr>
          <w:fldChar w:fldCharType="separate"/>
        </w:r>
        <w:r w:rsidR="001F1C08">
          <w:rPr>
            <w:webHidden/>
          </w:rPr>
          <w:t>9</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82" w:history="1">
        <w:r w:rsidR="005C3E11" w:rsidRPr="00682F63">
          <w:rPr>
            <w:rStyle w:val="Hyperlink"/>
            <w:shd w:val="clear" w:color="auto" w:fill="FFFFFF"/>
          </w:rPr>
          <w:t>Medical and dental treatment (Part 5)</w:t>
        </w:r>
        <w:r w:rsidR="005C3E11">
          <w:rPr>
            <w:webHidden/>
          </w:rPr>
          <w:tab/>
        </w:r>
        <w:r w:rsidR="005C3E11">
          <w:rPr>
            <w:webHidden/>
          </w:rPr>
          <w:fldChar w:fldCharType="begin"/>
        </w:r>
        <w:r w:rsidR="005C3E11">
          <w:rPr>
            <w:webHidden/>
          </w:rPr>
          <w:instrText xml:space="preserve"> PAGEREF _Toc454202782 \h </w:instrText>
        </w:r>
        <w:r w:rsidR="005C3E11">
          <w:rPr>
            <w:webHidden/>
          </w:rPr>
        </w:r>
        <w:r w:rsidR="005C3E11">
          <w:rPr>
            <w:webHidden/>
          </w:rPr>
          <w:fldChar w:fldCharType="separate"/>
        </w:r>
        <w:r w:rsidR="001F1C08">
          <w:rPr>
            <w:webHidden/>
          </w:rPr>
          <w:t>10</w:t>
        </w:r>
        <w:r w:rsidR="005C3E11">
          <w:rPr>
            <w:webHidden/>
          </w:rPr>
          <w:fldChar w:fldCharType="end"/>
        </w:r>
      </w:hyperlink>
    </w:p>
    <w:p w:rsidR="005C3E11" w:rsidRDefault="00B02B41">
      <w:pPr>
        <w:pStyle w:val="TOC1"/>
        <w:tabs>
          <w:tab w:val="left" w:pos="1083"/>
          <w:tab w:val="right" w:leader="dot" w:pos="8896"/>
        </w:tabs>
        <w:rPr>
          <w:rFonts w:asciiTheme="minorHAnsi" w:eastAsiaTheme="minorEastAsia" w:hAnsiTheme="minorHAnsi" w:cstheme="minorBidi"/>
          <w:b w:val="0"/>
          <w:noProof/>
          <w:color w:val="auto"/>
          <w:sz w:val="22"/>
          <w:szCs w:val="22"/>
          <w:lang w:eastAsia="en-AU"/>
        </w:rPr>
      </w:pPr>
      <w:hyperlink w:anchor="_Toc454202783" w:history="1">
        <w:r w:rsidR="005C3E11" w:rsidRPr="00682F63">
          <w:rPr>
            <w:rStyle w:val="Hyperlink"/>
            <w:rFonts w:ascii="Arial Bold" w:hAnsi="Arial Bold"/>
            <w:noProof/>
          </w:rPr>
          <w:t>3.</w:t>
        </w:r>
        <w:r w:rsidR="005C3E11">
          <w:rPr>
            <w:rFonts w:asciiTheme="minorHAnsi" w:eastAsiaTheme="minorEastAsia" w:hAnsiTheme="minorHAnsi" w:cstheme="minorBidi"/>
            <w:b w:val="0"/>
            <w:noProof/>
            <w:color w:val="auto"/>
            <w:sz w:val="22"/>
            <w:szCs w:val="22"/>
            <w:lang w:eastAsia="en-AU"/>
          </w:rPr>
          <w:tab/>
        </w:r>
        <w:r w:rsidR="005C3E11" w:rsidRPr="00682F63">
          <w:rPr>
            <w:rStyle w:val="Hyperlink"/>
            <w:noProof/>
          </w:rPr>
          <w:t>A changing environment</w:t>
        </w:r>
        <w:r w:rsidR="005C3E11">
          <w:rPr>
            <w:noProof/>
            <w:webHidden/>
          </w:rPr>
          <w:tab/>
        </w:r>
        <w:r w:rsidR="005C3E11">
          <w:rPr>
            <w:noProof/>
            <w:webHidden/>
          </w:rPr>
          <w:fldChar w:fldCharType="begin"/>
        </w:r>
        <w:r w:rsidR="005C3E11">
          <w:rPr>
            <w:noProof/>
            <w:webHidden/>
          </w:rPr>
          <w:instrText xml:space="preserve"> PAGEREF _Toc454202783 \h </w:instrText>
        </w:r>
        <w:r w:rsidR="005C3E11">
          <w:rPr>
            <w:noProof/>
            <w:webHidden/>
          </w:rPr>
        </w:r>
        <w:r w:rsidR="005C3E11">
          <w:rPr>
            <w:noProof/>
            <w:webHidden/>
          </w:rPr>
          <w:fldChar w:fldCharType="separate"/>
        </w:r>
        <w:r w:rsidR="001F1C08">
          <w:rPr>
            <w:noProof/>
            <w:webHidden/>
          </w:rPr>
          <w:t>13</w:t>
        </w:r>
        <w:r w:rsidR="005C3E11">
          <w:rPr>
            <w:noProof/>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84" w:history="1">
        <w:r w:rsidR="005C3E11" w:rsidRPr="00682F63">
          <w:rPr>
            <w:rStyle w:val="Hyperlink"/>
          </w:rPr>
          <w:t>A changing population</w:t>
        </w:r>
        <w:r w:rsidR="005C3E11">
          <w:rPr>
            <w:webHidden/>
          </w:rPr>
          <w:tab/>
        </w:r>
        <w:r w:rsidR="005C3E11">
          <w:rPr>
            <w:webHidden/>
          </w:rPr>
          <w:fldChar w:fldCharType="begin"/>
        </w:r>
        <w:r w:rsidR="005C3E11">
          <w:rPr>
            <w:webHidden/>
          </w:rPr>
          <w:instrText xml:space="preserve"> PAGEREF _Toc454202784 \h </w:instrText>
        </w:r>
        <w:r w:rsidR="005C3E11">
          <w:rPr>
            <w:webHidden/>
          </w:rPr>
        </w:r>
        <w:r w:rsidR="005C3E11">
          <w:rPr>
            <w:webHidden/>
          </w:rPr>
          <w:fldChar w:fldCharType="separate"/>
        </w:r>
        <w:r w:rsidR="001F1C08">
          <w:rPr>
            <w:webHidden/>
          </w:rPr>
          <w:t>13</w:t>
        </w:r>
        <w:r w:rsidR="005C3E11">
          <w:rPr>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85" w:history="1">
        <w:r w:rsidR="005C3E11" w:rsidRPr="00682F63">
          <w:rPr>
            <w:rStyle w:val="Hyperlink"/>
          </w:rPr>
          <w:t>United Nations Convention and the ‘social model’ of disability</w:t>
        </w:r>
        <w:r w:rsidR="005C3E11">
          <w:rPr>
            <w:webHidden/>
          </w:rPr>
          <w:tab/>
        </w:r>
        <w:r w:rsidR="005C3E11">
          <w:rPr>
            <w:webHidden/>
          </w:rPr>
          <w:fldChar w:fldCharType="begin"/>
        </w:r>
        <w:r w:rsidR="005C3E11">
          <w:rPr>
            <w:webHidden/>
          </w:rPr>
          <w:instrText xml:space="preserve"> PAGEREF _Toc454202785 \h </w:instrText>
        </w:r>
        <w:r w:rsidR="005C3E11">
          <w:rPr>
            <w:webHidden/>
          </w:rPr>
        </w:r>
        <w:r w:rsidR="005C3E11">
          <w:rPr>
            <w:webHidden/>
          </w:rPr>
          <w:fldChar w:fldCharType="separate"/>
        </w:r>
        <w:r w:rsidR="001F1C08">
          <w:rPr>
            <w:webHidden/>
          </w:rPr>
          <w:t>14</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86" w:history="1">
        <w:r w:rsidR="005C3E11" w:rsidRPr="00682F63">
          <w:rPr>
            <w:rStyle w:val="Hyperlink"/>
          </w:rPr>
          <w:t>A new way of thinking about disability</w:t>
        </w:r>
        <w:r w:rsidR="005C3E11">
          <w:rPr>
            <w:webHidden/>
          </w:rPr>
          <w:tab/>
        </w:r>
        <w:r w:rsidR="005C3E11">
          <w:rPr>
            <w:webHidden/>
          </w:rPr>
          <w:fldChar w:fldCharType="begin"/>
        </w:r>
        <w:r w:rsidR="005C3E11">
          <w:rPr>
            <w:webHidden/>
          </w:rPr>
          <w:instrText xml:space="preserve"> PAGEREF _Toc454202786 \h </w:instrText>
        </w:r>
        <w:r w:rsidR="005C3E11">
          <w:rPr>
            <w:webHidden/>
          </w:rPr>
        </w:r>
        <w:r w:rsidR="005C3E11">
          <w:rPr>
            <w:webHidden/>
          </w:rPr>
          <w:fldChar w:fldCharType="separate"/>
        </w:r>
        <w:r w:rsidR="001F1C08">
          <w:rPr>
            <w:webHidden/>
          </w:rPr>
          <w:t>14</w:t>
        </w:r>
        <w:r w:rsidR="005C3E11">
          <w:rPr>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87" w:history="1">
        <w:r w:rsidR="005C3E11" w:rsidRPr="00682F63">
          <w:rPr>
            <w:rStyle w:val="Hyperlink"/>
          </w:rPr>
          <w:t>The current state of guardianship law and the momentum for change</w:t>
        </w:r>
        <w:r w:rsidR="005C3E11">
          <w:rPr>
            <w:webHidden/>
          </w:rPr>
          <w:tab/>
        </w:r>
        <w:r w:rsidR="005C3E11">
          <w:rPr>
            <w:webHidden/>
          </w:rPr>
          <w:fldChar w:fldCharType="begin"/>
        </w:r>
        <w:r w:rsidR="005C3E11">
          <w:rPr>
            <w:webHidden/>
          </w:rPr>
          <w:instrText xml:space="preserve"> PAGEREF _Toc454202787 \h </w:instrText>
        </w:r>
        <w:r w:rsidR="005C3E11">
          <w:rPr>
            <w:webHidden/>
          </w:rPr>
        </w:r>
        <w:r w:rsidR="005C3E11">
          <w:rPr>
            <w:webHidden/>
          </w:rPr>
          <w:fldChar w:fldCharType="separate"/>
        </w:r>
        <w:r w:rsidR="001F1C08">
          <w:rPr>
            <w:webHidden/>
          </w:rPr>
          <w:t>16</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88" w:history="1">
        <w:r w:rsidR="005C3E11" w:rsidRPr="00682F63">
          <w:rPr>
            <w:rStyle w:val="Hyperlink"/>
          </w:rPr>
          <w:t>New South Wales</w:t>
        </w:r>
        <w:r w:rsidR="005C3E11">
          <w:rPr>
            <w:webHidden/>
          </w:rPr>
          <w:tab/>
        </w:r>
        <w:r w:rsidR="005C3E11">
          <w:rPr>
            <w:webHidden/>
          </w:rPr>
          <w:fldChar w:fldCharType="begin"/>
        </w:r>
        <w:r w:rsidR="005C3E11">
          <w:rPr>
            <w:webHidden/>
          </w:rPr>
          <w:instrText xml:space="preserve"> PAGEREF _Toc454202788 \h </w:instrText>
        </w:r>
        <w:r w:rsidR="005C3E11">
          <w:rPr>
            <w:webHidden/>
          </w:rPr>
        </w:r>
        <w:r w:rsidR="005C3E11">
          <w:rPr>
            <w:webHidden/>
          </w:rPr>
          <w:fldChar w:fldCharType="separate"/>
        </w:r>
        <w:r w:rsidR="001F1C08">
          <w:rPr>
            <w:webHidden/>
          </w:rPr>
          <w:t>16</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89" w:history="1">
        <w:r w:rsidR="005C3E11" w:rsidRPr="00682F63">
          <w:rPr>
            <w:rStyle w:val="Hyperlink"/>
          </w:rPr>
          <w:t>Other jurisdictions within Australia</w:t>
        </w:r>
        <w:r w:rsidR="005C3E11">
          <w:rPr>
            <w:webHidden/>
          </w:rPr>
          <w:tab/>
        </w:r>
        <w:r w:rsidR="005C3E11">
          <w:rPr>
            <w:webHidden/>
          </w:rPr>
          <w:fldChar w:fldCharType="begin"/>
        </w:r>
        <w:r w:rsidR="005C3E11">
          <w:rPr>
            <w:webHidden/>
          </w:rPr>
          <w:instrText xml:space="preserve"> PAGEREF _Toc454202789 \h </w:instrText>
        </w:r>
        <w:r w:rsidR="005C3E11">
          <w:rPr>
            <w:webHidden/>
          </w:rPr>
        </w:r>
        <w:r w:rsidR="005C3E11">
          <w:rPr>
            <w:webHidden/>
          </w:rPr>
          <w:fldChar w:fldCharType="separate"/>
        </w:r>
        <w:r w:rsidR="001F1C08">
          <w:rPr>
            <w:webHidden/>
          </w:rPr>
          <w:t>19</w:t>
        </w:r>
        <w:r w:rsidR="005C3E11">
          <w:rPr>
            <w:webHidden/>
          </w:rPr>
          <w:fldChar w:fldCharType="end"/>
        </w:r>
      </w:hyperlink>
    </w:p>
    <w:p w:rsidR="005C3E11" w:rsidRDefault="00B02B41">
      <w:pPr>
        <w:pStyle w:val="TOC3"/>
        <w:rPr>
          <w:rFonts w:asciiTheme="minorHAnsi" w:eastAsiaTheme="minorEastAsia" w:hAnsiTheme="minorHAnsi" w:cstheme="minorBidi"/>
          <w:b w:val="0"/>
          <w:color w:val="auto"/>
          <w:sz w:val="22"/>
          <w:szCs w:val="22"/>
          <w:lang w:eastAsia="en-AU"/>
        </w:rPr>
      </w:pPr>
      <w:hyperlink w:anchor="_Toc454202790" w:history="1">
        <w:r w:rsidR="005C3E11" w:rsidRPr="00682F63">
          <w:rPr>
            <w:rStyle w:val="Hyperlink"/>
          </w:rPr>
          <w:t>Other jurisdictions overseas</w:t>
        </w:r>
        <w:r w:rsidR="005C3E11">
          <w:rPr>
            <w:webHidden/>
          </w:rPr>
          <w:tab/>
        </w:r>
        <w:r w:rsidR="005C3E11">
          <w:rPr>
            <w:webHidden/>
          </w:rPr>
          <w:fldChar w:fldCharType="begin"/>
        </w:r>
        <w:r w:rsidR="005C3E11">
          <w:rPr>
            <w:webHidden/>
          </w:rPr>
          <w:instrText xml:space="preserve"> PAGEREF _Toc454202790 \h </w:instrText>
        </w:r>
        <w:r w:rsidR="005C3E11">
          <w:rPr>
            <w:webHidden/>
          </w:rPr>
        </w:r>
        <w:r w:rsidR="005C3E11">
          <w:rPr>
            <w:webHidden/>
          </w:rPr>
          <w:fldChar w:fldCharType="separate"/>
        </w:r>
        <w:r w:rsidR="001F1C08">
          <w:rPr>
            <w:webHidden/>
          </w:rPr>
          <w:t>21</w:t>
        </w:r>
        <w:r w:rsidR="005C3E11">
          <w:rPr>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91" w:history="1">
        <w:r w:rsidR="005C3E11" w:rsidRPr="00682F63">
          <w:rPr>
            <w:rStyle w:val="Hyperlink"/>
            <w:shd w:val="clear" w:color="auto" w:fill="FFFFFF"/>
          </w:rPr>
          <w:t>Non-legislative developments</w:t>
        </w:r>
        <w:r w:rsidR="005C3E11">
          <w:rPr>
            <w:webHidden/>
          </w:rPr>
          <w:tab/>
        </w:r>
        <w:r w:rsidR="005C3E11">
          <w:rPr>
            <w:webHidden/>
          </w:rPr>
          <w:fldChar w:fldCharType="begin"/>
        </w:r>
        <w:r w:rsidR="005C3E11">
          <w:rPr>
            <w:webHidden/>
          </w:rPr>
          <w:instrText xml:space="preserve"> PAGEREF _Toc454202791 \h </w:instrText>
        </w:r>
        <w:r w:rsidR="005C3E11">
          <w:rPr>
            <w:webHidden/>
          </w:rPr>
        </w:r>
        <w:r w:rsidR="005C3E11">
          <w:rPr>
            <w:webHidden/>
          </w:rPr>
          <w:fldChar w:fldCharType="separate"/>
        </w:r>
        <w:r w:rsidR="001F1C08">
          <w:rPr>
            <w:webHidden/>
          </w:rPr>
          <w:t>21</w:t>
        </w:r>
        <w:r w:rsidR="005C3E11">
          <w:rPr>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92" w:history="1">
        <w:r w:rsidR="005C3E11" w:rsidRPr="00682F63">
          <w:rPr>
            <w:rStyle w:val="Hyperlink"/>
          </w:rPr>
          <w:t>National Disability Insurance Scheme</w:t>
        </w:r>
        <w:r w:rsidR="005C3E11">
          <w:rPr>
            <w:webHidden/>
          </w:rPr>
          <w:tab/>
        </w:r>
        <w:r w:rsidR="005C3E11">
          <w:rPr>
            <w:webHidden/>
          </w:rPr>
          <w:fldChar w:fldCharType="begin"/>
        </w:r>
        <w:r w:rsidR="005C3E11">
          <w:rPr>
            <w:webHidden/>
          </w:rPr>
          <w:instrText xml:space="preserve"> PAGEREF _Toc454202792 \h </w:instrText>
        </w:r>
        <w:r w:rsidR="005C3E11">
          <w:rPr>
            <w:webHidden/>
          </w:rPr>
        </w:r>
        <w:r w:rsidR="005C3E11">
          <w:rPr>
            <w:webHidden/>
          </w:rPr>
          <w:fldChar w:fldCharType="separate"/>
        </w:r>
        <w:r w:rsidR="001F1C08">
          <w:rPr>
            <w:webHidden/>
          </w:rPr>
          <w:t>22</w:t>
        </w:r>
        <w:r w:rsidR="005C3E11">
          <w:rPr>
            <w:webHidden/>
          </w:rPr>
          <w:fldChar w:fldCharType="end"/>
        </w:r>
      </w:hyperlink>
    </w:p>
    <w:p w:rsidR="005C3E11" w:rsidRDefault="00B02B41">
      <w:pPr>
        <w:pStyle w:val="TOC2"/>
        <w:rPr>
          <w:rFonts w:asciiTheme="minorHAnsi" w:eastAsiaTheme="minorEastAsia" w:hAnsiTheme="minorHAnsi" w:cstheme="minorBidi"/>
          <w:b w:val="0"/>
          <w:color w:val="auto"/>
          <w:sz w:val="22"/>
          <w:szCs w:val="22"/>
          <w:lang w:eastAsia="en-AU"/>
        </w:rPr>
      </w:pPr>
      <w:hyperlink w:anchor="_Toc454202793" w:history="1">
        <w:r w:rsidR="005C3E11" w:rsidRPr="00682F63">
          <w:rPr>
            <w:rStyle w:val="Hyperlink"/>
          </w:rPr>
          <w:t>The case for uniformity</w:t>
        </w:r>
        <w:r w:rsidR="005C3E11">
          <w:rPr>
            <w:webHidden/>
          </w:rPr>
          <w:tab/>
        </w:r>
        <w:r w:rsidR="005C3E11">
          <w:rPr>
            <w:webHidden/>
          </w:rPr>
          <w:fldChar w:fldCharType="begin"/>
        </w:r>
        <w:r w:rsidR="005C3E11">
          <w:rPr>
            <w:webHidden/>
          </w:rPr>
          <w:instrText xml:space="preserve"> PAGEREF _Toc454202793 \h </w:instrText>
        </w:r>
        <w:r w:rsidR="005C3E11">
          <w:rPr>
            <w:webHidden/>
          </w:rPr>
        </w:r>
        <w:r w:rsidR="005C3E11">
          <w:rPr>
            <w:webHidden/>
          </w:rPr>
          <w:fldChar w:fldCharType="separate"/>
        </w:r>
        <w:r w:rsidR="001F1C08">
          <w:rPr>
            <w:webHidden/>
          </w:rPr>
          <w:t>24</w:t>
        </w:r>
        <w:r w:rsidR="005C3E11">
          <w:rPr>
            <w:webHidden/>
          </w:rPr>
          <w:fldChar w:fldCharType="end"/>
        </w:r>
      </w:hyperlink>
    </w:p>
    <w:p w:rsidR="005C3E11" w:rsidRDefault="00B02B41">
      <w:pPr>
        <w:pStyle w:val="TOC1"/>
        <w:tabs>
          <w:tab w:val="right" w:leader="dot" w:pos="8896"/>
        </w:tabs>
        <w:rPr>
          <w:rFonts w:asciiTheme="minorHAnsi" w:eastAsiaTheme="minorEastAsia" w:hAnsiTheme="minorHAnsi" w:cstheme="minorBidi"/>
          <w:b w:val="0"/>
          <w:noProof/>
          <w:color w:val="auto"/>
          <w:sz w:val="22"/>
          <w:szCs w:val="22"/>
          <w:lang w:eastAsia="en-AU"/>
        </w:rPr>
      </w:pPr>
      <w:hyperlink w:anchor="_Toc454202794" w:history="1">
        <w:r w:rsidR="005C3E11" w:rsidRPr="00682F63">
          <w:rPr>
            <w:rStyle w:val="Hyperlink"/>
            <w:noProof/>
          </w:rPr>
          <w:t xml:space="preserve"> Appendix A Preliminary submissions</w:t>
        </w:r>
        <w:r w:rsidR="005C3E11">
          <w:rPr>
            <w:noProof/>
            <w:webHidden/>
          </w:rPr>
          <w:tab/>
        </w:r>
        <w:r w:rsidR="005C3E11">
          <w:rPr>
            <w:noProof/>
            <w:webHidden/>
          </w:rPr>
          <w:fldChar w:fldCharType="begin"/>
        </w:r>
        <w:r w:rsidR="005C3E11">
          <w:rPr>
            <w:noProof/>
            <w:webHidden/>
          </w:rPr>
          <w:instrText xml:space="preserve"> PAGEREF _Toc454202794 \h </w:instrText>
        </w:r>
        <w:r w:rsidR="005C3E11">
          <w:rPr>
            <w:noProof/>
            <w:webHidden/>
          </w:rPr>
        </w:r>
        <w:r w:rsidR="005C3E11">
          <w:rPr>
            <w:noProof/>
            <w:webHidden/>
          </w:rPr>
          <w:fldChar w:fldCharType="separate"/>
        </w:r>
        <w:r w:rsidR="001F1C08">
          <w:rPr>
            <w:noProof/>
            <w:webHidden/>
          </w:rPr>
          <w:t>25</w:t>
        </w:r>
        <w:r w:rsidR="005C3E11">
          <w:rPr>
            <w:noProof/>
            <w:webHidden/>
          </w:rPr>
          <w:fldChar w:fldCharType="end"/>
        </w:r>
      </w:hyperlink>
    </w:p>
    <w:p w:rsidR="005C3E11" w:rsidRDefault="00B02B41" w:rsidP="005C3E11">
      <w:pPr>
        <w:pStyle w:val="TOC1"/>
        <w:tabs>
          <w:tab w:val="right" w:leader="dot" w:pos="8896"/>
        </w:tabs>
        <w:rPr>
          <w:rFonts w:asciiTheme="minorHAnsi" w:eastAsiaTheme="minorEastAsia" w:hAnsiTheme="minorHAnsi" w:cstheme="minorBidi"/>
          <w:b w:val="0"/>
          <w:noProof/>
          <w:color w:val="auto"/>
          <w:sz w:val="22"/>
          <w:szCs w:val="22"/>
          <w:lang w:eastAsia="en-AU"/>
        </w:rPr>
      </w:pPr>
      <w:hyperlink w:anchor="_Toc454202795" w:history="1">
        <w:r w:rsidR="005C3E11" w:rsidRPr="00682F63">
          <w:rPr>
            <w:rStyle w:val="Hyperlink"/>
            <w:noProof/>
          </w:rPr>
          <w:t xml:space="preserve"> Appendix B Preliminary consultations</w:t>
        </w:r>
        <w:r w:rsidR="005C3E11">
          <w:rPr>
            <w:noProof/>
            <w:webHidden/>
          </w:rPr>
          <w:tab/>
        </w:r>
        <w:r w:rsidR="005C3E11">
          <w:rPr>
            <w:noProof/>
            <w:webHidden/>
          </w:rPr>
          <w:fldChar w:fldCharType="begin"/>
        </w:r>
        <w:r w:rsidR="005C3E11">
          <w:rPr>
            <w:noProof/>
            <w:webHidden/>
          </w:rPr>
          <w:instrText xml:space="preserve"> PAGEREF _Toc454202795 \h </w:instrText>
        </w:r>
        <w:r w:rsidR="005C3E11">
          <w:rPr>
            <w:noProof/>
            <w:webHidden/>
          </w:rPr>
        </w:r>
        <w:r w:rsidR="005C3E11">
          <w:rPr>
            <w:noProof/>
            <w:webHidden/>
          </w:rPr>
          <w:fldChar w:fldCharType="separate"/>
        </w:r>
        <w:r w:rsidR="001F1C08">
          <w:rPr>
            <w:noProof/>
            <w:webHidden/>
          </w:rPr>
          <w:t>27</w:t>
        </w:r>
        <w:r w:rsidR="005C3E11">
          <w:rPr>
            <w:noProof/>
            <w:webHidden/>
          </w:rPr>
          <w:fldChar w:fldCharType="end"/>
        </w:r>
      </w:hyperlink>
    </w:p>
    <w:p w:rsidR="00701039" w:rsidRDefault="0006000C" w:rsidP="00B97890">
      <w:pPr>
        <w:pStyle w:val="NormalText"/>
      </w:pPr>
      <w:r>
        <w:fldChar w:fldCharType="end"/>
      </w:r>
    </w:p>
    <w:p w:rsidR="006C20FA" w:rsidRDefault="006C20FA" w:rsidP="00147977">
      <w:pPr>
        <w:pStyle w:val="Headingdefault"/>
        <w:sectPr w:rsidR="006C20FA" w:rsidSect="00D9365D">
          <w:headerReference w:type="first" r:id="rId14"/>
          <w:footerReference w:type="first" r:id="rId15"/>
          <w:footnotePr>
            <w:numRestart w:val="eachSect"/>
          </w:footnotePr>
          <w:pgSz w:w="11906" w:h="16838"/>
          <w:pgMar w:top="1134" w:right="1320" w:bottom="1134" w:left="1680" w:header="567" w:footer="284" w:gutter="0"/>
          <w:pgNumType w:fmt="lowerRoman"/>
          <w:cols w:space="708"/>
          <w:titlePg/>
          <w:docGrid w:linePitch="360"/>
        </w:sectPr>
      </w:pPr>
      <w:bookmarkStart w:id="21" w:name="_Toc422238157"/>
    </w:p>
    <w:p w:rsidR="006B6900" w:rsidRDefault="006B6900" w:rsidP="00147977">
      <w:pPr>
        <w:pStyle w:val="Headingdefault"/>
      </w:pPr>
      <w:r>
        <w:lastRenderedPageBreak/>
        <w:tab/>
      </w:r>
      <w:bookmarkStart w:id="22" w:name="_Toc454202763"/>
      <w:r>
        <w:t>Participants</w:t>
      </w:r>
      <w:bookmarkEnd w:id="22"/>
    </w:p>
    <w:p w:rsidR="006B6900" w:rsidRDefault="006B6900" w:rsidP="0087265C">
      <w:pPr>
        <w:pStyle w:val="Heading2"/>
      </w:pPr>
      <w:bookmarkStart w:id="23" w:name="_Toc454202764"/>
      <w:r>
        <w:t>Commissioners</w:t>
      </w:r>
      <w:bookmarkEnd w:id="23"/>
    </w:p>
    <w:p w:rsidR="006B6900" w:rsidRDefault="006B6900" w:rsidP="00DC6FAF">
      <w:pPr>
        <w:pStyle w:val="Normalsinglelist"/>
      </w:pPr>
      <w:r>
        <w:t>Mr Alan Cameron AO (Chairperson)</w:t>
      </w:r>
    </w:p>
    <w:p w:rsidR="00DC6FAF" w:rsidRDefault="0031141F" w:rsidP="00DC6FAF">
      <w:pPr>
        <w:pStyle w:val="Normalsinglelist"/>
      </w:pPr>
      <w:r w:rsidRPr="0031141F">
        <w:t>The Hon Justice Paul Brereton AM, RFD</w:t>
      </w:r>
    </w:p>
    <w:p w:rsidR="00DC6FAF" w:rsidRDefault="00DC6FAF" w:rsidP="00DC6FAF">
      <w:pPr>
        <w:pStyle w:val="Normalsinglelist"/>
      </w:pPr>
      <w:r>
        <w:t>Ms Tracy Howe</w:t>
      </w:r>
    </w:p>
    <w:p w:rsidR="00DC6FAF" w:rsidRDefault="00DC6FAF" w:rsidP="0031141F">
      <w:pPr>
        <w:pStyle w:val="NormalText"/>
      </w:pPr>
    </w:p>
    <w:p w:rsidR="006B6900" w:rsidRDefault="0031141F" w:rsidP="0031141F">
      <w:pPr>
        <w:pStyle w:val="Heading2"/>
      </w:pPr>
      <w:bookmarkStart w:id="24" w:name="_Toc454202765"/>
      <w:r>
        <w:t>Law Reform and Sentencing Council Secretariat</w:t>
      </w:r>
      <w:bookmarkEnd w:id="24"/>
    </w:p>
    <w:p w:rsidR="0031141F" w:rsidRDefault="0031141F" w:rsidP="0031141F">
      <w:pPr>
        <w:pStyle w:val="Normalsinglelist"/>
      </w:pPr>
      <w:r>
        <w:t>Ms Erin Gough, Policy Manager</w:t>
      </w:r>
    </w:p>
    <w:p w:rsidR="0031141F" w:rsidRDefault="0031141F" w:rsidP="0031141F">
      <w:pPr>
        <w:pStyle w:val="Normalsinglelist"/>
      </w:pPr>
      <w:r>
        <w:t>Mr Joseph Waugh PSM, Senior Policy Officer</w:t>
      </w:r>
    </w:p>
    <w:p w:rsidR="0031141F" w:rsidRDefault="0031141F" w:rsidP="0031141F">
      <w:pPr>
        <w:pStyle w:val="Normalsinglelist"/>
      </w:pPr>
      <w:r>
        <w:t>Mr James Hume, Policy Officer</w:t>
      </w:r>
    </w:p>
    <w:p w:rsidR="0031141F" w:rsidRPr="0031141F" w:rsidRDefault="0031141F" w:rsidP="0031141F">
      <w:pPr>
        <w:pStyle w:val="Normalsinglelist"/>
      </w:pPr>
      <w:r>
        <w:t>Ms Anna Williams, Librarian</w:t>
      </w:r>
    </w:p>
    <w:p w:rsidR="0031141F" w:rsidRPr="006B6900" w:rsidRDefault="0031141F" w:rsidP="006B6900">
      <w:pPr>
        <w:pStyle w:val="NormalText"/>
      </w:pPr>
    </w:p>
    <w:p w:rsidR="006B6900" w:rsidRPr="006B6900" w:rsidRDefault="006B6900" w:rsidP="006B6900">
      <w:pPr>
        <w:pStyle w:val="ChapterHeading"/>
        <w:sectPr w:rsidR="006B6900" w:rsidRPr="006B6900" w:rsidSect="006C20FA">
          <w:footnotePr>
            <w:numRestart w:val="eachSect"/>
          </w:footnotePr>
          <w:pgSz w:w="11906" w:h="16838"/>
          <w:pgMar w:top="1134" w:right="1321" w:bottom="1134" w:left="1678" w:header="567" w:footer="284" w:gutter="0"/>
          <w:pgNumType w:fmt="lowerRoman"/>
          <w:cols w:space="708"/>
          <w:docGrid w:linePitch="360"/>
        </w:sectPr>
      </w:pPr>
    </w:p>
    <w:p w:rsidR="00AE53A3" w:rsidRDefault="00EC394C" w:rsidP="00147977">
      <w:pPr>
        <w:pStyle w:val="Headingdefault"/>
      </w:pPr>
      <w:r>
        <w:lastRenderedPageBreak/>
        <w:tab/>
      </w:r>
      <w:bookmarkStart w:id="25" w:name="_Toc454202766"/>
      <w:r w:rsidR="00CA5276" w:rsidRPr="00375B0F">
        <w:t xml:space="preserve">Terms of </w:t>
      </w:r>
      <w:r w:rsidR="00CA5276" w:rsidRPr="00147977">
        <w:t>reference</w:t>
      </w:r>
      <w:bookmarkEnd w:id="21"/>
      <w:bookmarkEnd w:id="25"/>
    </w:p>
    <w:p w:rsidR="006C20FA" w:rsidRDefault="006C20FA" w:rsidP="006C20FA">
      <w:pPr>
        <w:pStyle w:val="NormalText"/>
      </w:pPr>
      <w:r>
        <w:t xml:space="preserve">Pursuant to section 10 of the Law Reform Commission Act 1967, the NSW Law Reform Commission is asked to review and report on the desirability of changes to the </w:t>
      </w:r>
      <w:r w:rsidRPr="006C20FA">
        <w:rPr>
          <w:i/>
        </w:rPr>
        <w:t>Guardianship Act 1987</w:t>
      </w:r>
      <w:r>
        <w:t xml:space="preserve"> (NSW) having regard to:</w:t>
      </w:r>
    </w:p>
    <w:p w:rsidR="006C20FA" w:rsidRDefault="006C20FA" w:rsidP="006C20FA">
      <w:pPr>
        <w:pStyle w:val="Normalhanging1"/>
      </w:pPr>
      <w:r>
        <w:t>1.</w:t>
      </w:r>
      <w:r>
        <w:tab/>
        <w:t xml:space="preserve">The relationship between the </w:t>
      </w:r>
      <w:r w:rsidRPr="006C20FA">
        <w:rPr>
          <w:i/>
        </w:rPr>
        <w:t>Guardianship Act 1987</w:t>
      </w:r>
      <w:r>
        <w:t xml:space="preserve"> (NSW) and</w:t>
      </w:r>
    </w:p>
    <w:p w:rsidR="006C20FA" w:rsidRDefault="006C20FA" w:rsidP="006C20FA">
      <w:pPr>
        <w:pStyle w:val="Normalhanginga"/>
      </w:pPr>
      <w:r>
        <w:t>-</w:t>
      </w:r>
      <w:r>
        <w:tab/>
        <w:t xml:space="preserve">The </w:t>
      </w:r>
      <w:r w:rsidRPr="006C20FA">
        <w:rPr>
          <w:i/>
        </w:rPr>
        <w:t>NSW Trustee and Guardian Act 2009</w:t>
      </w:r>
      <w:r>
        <w:t xml:space="preserve"> (NSW)</w:t>
      </w:r>
    </w:p>
    <w:p w:rsidR="006C20FA" w:rsidRDefault="006C20FA" w:rsidP="006C20FA">
      <w:pPr>
        <w:pStyle w:val="Normalhanginga"/>
      </w:pPr>
      <w:r>
        <w:t>-</w:t>
      </w:r>
      <w:r>
        <w:tab/>
        <w:t xml:space="preserve">The </w:t>
      </w:r>
      <w:r w:rsidRPr="006C20FA">
        <w:rPr>
          <w:i/>
        </w:rPr>
        <w:t>Powers of Attorney Act 2003</w:t>
      </w:r>
      <w:r>
        <w:t xml:space="preserve"> (NSW)</w:t>
      </w:r>
    </w:p>
    <w:p w:rsidR="006C20FA" w:rsidRDefault="006C20FA" w:rsidP="006C20FA">
      <w:pPr>
        <w:pStyle w:val="Normalhanginga"/>
      </w:pPr>
      <w:r>
        <w:t>-</w:t>
      </w:r>
      <w:r>
        <w:tab/>
        <w:t xml:space="preserve">The </w:t>
      </w:r>
      <w:r w:rsidRPr="006C20FA">
        <w:rPr>
          <w:i/>
        </w:rPr>
        <w:t>Mental Health Act 2007</w:t>
      </w:r>
      <w:r>
        <w:t xml:space="preserve"> (NSW)</w:t>
      </w:r>
    </w:p>
    <w:p w:rsidR="006C20FA" w:rsidRDefault="006C20FA" w:rsidP="006C20FA">
      <w:pPr>
        <w:pStyle w:val="Normalhanginga"/>
      </w:pPr>
      <w:r>
        <w:t>-</w:t>
      </w:r>
      <w:r>
        <w:tab/>
      </w:r>
      <w:proofErr w:type="gramStart"/>
      <w:r>
        <w:t>other</w:t>
      </w:r>
      <w:proofErr w:type="gramEnd"/>
      <w:r>
        <w:t xml:space="preserve"> relevant legislation.</w:t>
      </w:r>
    </w:p>
    <w:p w:rsidR="006C20FA" w:rsidRDefault="006C20FA" w:rsidP="006C20FA">
      <w:pPr>
        <w:pStyle w:val="Normalhanging1"/>
      </w:pPr>
      <w:proofErr w:type="gramStart"/>
      <w:r>
        <w:t>2.</w:t>
      </w:r>
      <w:r>
        <w:tab/>
        <w:t>Recent relevant developments in law, policy and practice by the Commonwealth, in other States and Territories of Australia and overseas.</w:t>
      </w:r>
      <w:proofErr w:type="gramEnd"/>
    </w:p>
    <w:p w:rsidR="006C20FA" w:rsidRDefault="006C20FA" w:rsidP="006C20FA">
      <w:pPr>
        <w:pStyle w:val="Normalhanging1"/>
      </w:pPr>
      <w:proofErr w:type="gramStart"/>
      <w:r>
        <w:t>3.</w:t>
      </w:r>
      <w:r>
        <w:tab/>
        <w:t>The report of the 2014 ALRC Equality, Capacity and Disability in Commonwealth Laws.</w:t>
      </w:r>
      <w:proofErr w:type="gramEnd"/>
    </w:p>
    <w:p w:rsidR="006C20FA" w:rsidRDefault="006C20FA" w:rsidP="006C20FA">
      <w:pPr>
        <w:pStyle w:val="Normalhanging1"/>
      </w:pPr>
      <w:proofErr w:type="gramStart"/>
      <w:r>
        <w:t>4.</w:t>
      </w:r>
      <w:r>
        <w:tab/>
        <w:t>The UN Convention on the Rights of Persons with Disabilities.</w:t>
      </w:r>
      <w:proofErr w:type="gramEnd"/>
    </w:p>
    <w:p w:rsidR="006C20FA" w:rsidRDefault="006C20FA" w:rsidP="006C20FA">
      <w:pPr>
        <w:pStyle w:val="Normalhanging1"/>
      </w:pPr>
      <w:proofErr w:type="gramStart"/>
      <w:r>
        <w:t>5.</w:t>
      </w:r>
      <w:r>
        <w:tab/>
        <w:t>The demographics of NSW and in particular the increase in the ageing population.</w:t>
      </w:r>
      <w:proofErr w:type="gramEnd"/>
    </w:p>
    <w:p w:rsidR="006C20FA" w:rsidRDefault="006C20FA" w:rsidP="006C20FA">
      <w:pPr>
        <w:pStyle w:val="NormalText"/>
      </w:pPr>
      <w:r>
        <w:t>In particular, the Commission is to consider:</w:t>
      </w:r>
    </w:p>
    <w:p w:rsidR="006C20FA" w:rsidRDefault="006C20FA" w:rsidP="006C20FA">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6C20FA" w:rsidRDefault="006C20FA" w:rsidP="006C20FA">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6C20FA" w:rsidRDefault="006C20FA" w:rsidP="006C20FA">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6C20FA" w:rsidRDefault="006C20FA" w:rsidP="006C20FA">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6C20FA" w:rsidRDefault="006C20FA" w:rsidP="006C20FA">
      <w:pPr>
        <w:pStyle w:val="Normalhanging1"/>
      </w:pPr>
      <w:r>
        <w:t>5.</w:t>
      </w:r>
      <w:r>
        <w:tab/>
        <w:t>Whether the language of 'disability' is the appropriate conceptual language for the guardianship and financial management regime and to what extent 'decision making capacity' is more appropriate.</w:t>
      </w:r>
    </w:p>
    <w:p w:rsidR="006C20FA" w:rsidRDefault="006C20FA" w:rsidP="006C20FA">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6C20FA" w:rsidRDefault="006C20FA" w:rsidP="006C20FA">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6C20FA" w:rsidRDefault="006C20FA" w:rsidP="006C20FA">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A01AC7" w:rsidRDefault="006C20FA" w:rsidP="006C20FA">
      <w:pPr>
        <w:pStyle w:val="Normalhanging1"/>
      </w:pPr>
      <w:r>
        <w:t>9.</w:t>
      </w:r>
      <w:r>
        <w:tab/>
        <w:t>Any other matters the NSW Law Reform Commission considers relevant to the Terms of Reference.</w:t>
      </w:r>
    </w:p>
    <w:p w:rsidR="00EC394C" w:rsidRDefault="00EC394C">
      <w:pPr>
        <w:sectPr w:rsidR="00EC394C" w:rsidSect="006B6900">
          <w:footnotePr>
            <w:numRestart w:val="eachSect"/>
          </w:footnotePr>
          <w:pgSz w:w="11906" w:h="16838"/>
          <w:pgMar w:top="1134" w:right="1321" w:bottom="1134" w:left="1678" w:header="567" w:footer="284" w:gutter="0"/>
          <w:pgNumType w:fmt="lowerRoman"/>
          <w:cols w:space="708"/>
          <w:titlePg/>
          <w:docGrid w:linePitch="360"/>
        </w:sectPr>
      </w:pPr>
    </w:p>
    <w:p w:rsidR="00B25B2D" w:rsidRDefault="00B25B2D" w:rsidP="00B25B2D">
      <w:pPr>
        <w:pStyle w:val="ChapterHeading"/>
      </w:pPr>
      <w:bookmarkStart w:id="26" w:name="_Toc454202767"/>
      <w:bookmarkStart w:id="27" w:name="_Toc447714089"/>
      <w:r>
        <w:lastRenderedPageBreak/>
        <w:t>Introduction</w:t>
      </w:r>
      <w:bookmarkEnd w:id="26"/>
    </w:p>
    <w:p w:rsidR="00B25B2D" w:rsidRPr="00B25B2D" w:rsidRDefault="00B25B2D" w:rsidP="00F16C2B">
      <w:pPr>
        <w:pStyle w:val="TOC2"/>
        <w:rPr>
          <w:rFonts w:ascii="Calibri" w:hAnsi="Calibri"/>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450206517" w:history="1">
        <w:r w:rsidRPr="00EC1B12">
          <w:rPr>
            <w:rStyle w:val="Hyperlink"/>
          </w:rPr>
          <w:t>Our approach</w:t>
        </w:r>
        <w:r>
          <w:rPr>
            <w:webHidden/>
          </w:rPr>
          <w:tab/>
        </w:r>
        <w:r>
          <w:rPr>
            <w:webHidden/>
          </w:rPr>
          <w:fldChar w:fldCharType="begin"/>
        </w:r>
        <w:r>
          <w:rPr>
            <w:webHidden/>
          </w:rPr>
          <w:instrText xml:space="preserve"> PAGEREF _Toc450206517 \h </w:instrText>
        </w:r>
        <w:r>
          <w:rPr>
            <w:webHidden/>
          </w:rPr>
        </w:r>
        <w:r>
          <w:rPr>
            <w:webHidden/>
          </w:rPr>
          <w:fldChar w:fldCharType="separate"/>
        </w:r>
        <w:r w:rsidR="001F1C08">
          <w:rPr>
            <w:webHidden/>
          </w:rPr>
          <w:t>1</w:t>
        </w:r>
        <w:r>
          <w:rPr>
            <w:webHidden/>
          </w:rPr>
          <w:fldChar w:fldCharType="end"/>
        </w:r>
      </w:hyperlink>
    </w:p>
    <w:p w:rsidR="00B25B2D" w:rsidRPr="00B25B2D" w:rsidRDefault="00B02B41" w:rsidP="00F16C2B">
      <w:pPr>
        <w:pStyle w:val="TOC3"/>
        <w:rPr>
          <w:rFonts w:ascii="Calibri" w:hAnsi="Calibri"/>
          <w:color w:val="auto"/>
          <w:sz w:val="22"/>
          <w:szCs w:val="22"/>
          <w:lang w:eastAsia="en-AU"/>
        </w:rPr>
      </w:pPr>
      <w:hyperlink w:anchor="_Toc450206518" w:history="1">
        <w:r w:rsidR="00B25B2D" w:rsidRPr="00EC1B12">
          <w:rPr>
            <w:rStyle w:val="Hyperlink"/>
          </w:rPr>
          <w:t>A review among many</w:t>
        </w:r>
        <w:r w:rsidR="00B25B2D">
          <w:rPr>
            <w:webHidden/>
          </w:rPr>
          <w:tab/>
        </w:r>
        <w:r w:rsidR="00B25B2D">
          <w:rPr>
            <w:webHidden/>
          </w:rPr>
          <w:fldChar w:fldCharType="begin"/>
        </w:r>
        <w:r w:rsidR="00B25B2D">
          <w:rPr>
            <w:webHidden/>
          </w:rPr>
          <w:instrText xml:space="preserve"> PAGEREF _Toc450206518 \h </w:instrText>
        </w:r>
        <w:r w:rsidR="00B25B2D">
          <w:rPr>
            <w:webHidden/>
          </w:rPr>
        </w:r>
        <w:r w:rsidR="00B25B2D">
          <w:rPr>
            <w:webHidden/>
          </w:rPr>
          <w:fldChar w:fldCharType="separate"/>
        </w:r>
        <w:r w:rsidR="001F1C08">
          <w:rPr>
            <w:webHidden/>
          </w:rPr>
          <w:t>1</w:t>
        </w:r>
        <w:r w:rsidR="00B25B2D">
          <w:rPr>
            <w:webHidden/>
          </w:rPr>
          <w:fldChar w:fldCharType="end"/>
        </w:r>
      </w:hyperlink>
    </w:p>
    <w:p w:rsidR="00B25B2D" w:rsidRPr="00B25B2D" w:rsidRDefault="00B02B41" w:rsidP="00F16C2B">
      <w:pPr>
        <w:pStyle w:val="TOC3"/>
        <w:rPr>
          <w:rFonts w:ascii="Calibri" w:hAnsi="Calibri"/>
          <w:color w:val="auto"/>
          <w:sz w:val="22"/>
          <w:szCs w:val="22"/>
          <w:lang w:eastAsia="en-AU"/>
        </w:rPr>
      </w:pPr>
      <w:hyperlink w:anchor="_Toc450206519" w:history="1">
        <w:r w:rsidR="00B25B2D" w:rsidRPr="00EC1B12">
          <w:rPr>
            <w:rStyle w:val="Hyperlink"/>
          </w:rPr>
          <w:t>A series of consultation papers</w:t>
        </w:r>
        <w:r w:rsidR="00B25B2D">
          <w:rPr>
            <w:webHidden/>
          </w:rPr>
          <w:tab/>
        </w:r>
        <w:r w:rsidR="00B25B2D">
          <w:rPr>
            <w:webHidden/>
          </w:rPr>
          <w:fldChar w:fldCharType="begin"/>
        </w:r>
        <w:r w:rsidR="00B25B2D">
          <w:rPr>
            <w:webHidden/>
          </w:rPr>
          <w:instrText xml:space="preserve"> PAGEREF _Toc450206519 \h </w:instrText>
        </w:r>
        <w:r w:rsidR="00B25B2D">
          <w:rPr>
            <w:webHidden/>
          </w:rPr>
        </w:r>
        <w:r w:rsidR="00B25B2D">
          <w:rPr>
            <w:webHidden/>
          </w:rPr>
          <w:fldChar w:fldCharType="separate"/>
        </w:r>
        <w:r w:rsidR="001F1C08">
          <w:rPr>
            <w:webHidden/>
          </w:rPr>
          <w:t>1</w:t>
        </w:r>
        <w:r w:rsidR="00B25B2D">
          <w:rPr>
            <w:webHidden/>
          </w:rPr>
          <w:fldChar w:fldCharType="end"/>
        </w:r>
      </w:hyperlink>
    </w:p>
    <w:p w:rsidR="00B25B2D" w:rsidRPr="00B25B2D" w:rsidRDefault="00B02B41" w:rsidP="00F16C2B">
      <w:pPr>
        <w:pStyle w:val="TOC3"/>
        <w:rPr>
          <w:rFonts w:ascii="Calibri" w:hAnsi="Calibri"/>
          <w:color w:val="auto"/>
          <w:sz w:val="22"/>
          <w:szCs w:val="22"/>
          <w:lang w:eastAsia="en-AU"/>
        </w:rPr>
      </w:pPr>
      <w:hyperlink w:anchor="_Toc450206520" w:history="1">
        <w:r w:rsidR="00B25B2D" w:rsidRPr="00EC1B12">
          <w:rPr>
            <w:rStyle w:val="Hyperlink"/>
          </w:rPr>
          <w:t>Other formats and consultation methods</w:t>
        </w:r>
        <w:r w:rsidR="00B25B2D">
          <w:rPr>
            <w:webHidden/>
          </w:rPr>
          <w:tab/>
        </w:r>
        <w:r w:rsidR="00B25B2D">
          <w:rPr>
            <w:webHidden/>
          </w:rPr>
          <w:fldChar w:fldCharType="begin"/>
        </w:r>
        <w:r w:rsidR="00B25B2D">
          <w:rPr>
            <w:webHidden/>
          </w:rPr>
          <w:instrText xml:space="preserve"> PAGEREF _Toc450206520 \h </w:instrText>
        </w:r>
        <w:r w:rsidR="00B25B2D">
          <w:rPr>
            <w:webHidden/>
          </w:rPr>
        </w:r>
        <w:r w:rsidR="00B25B2D">
          <w:rPr>
            <w:webHidden/>
          </w:rPr>
          <w:fldChar w:fldCharType="separate"/>
        </w:r>
        <w:r w:rsidR="001F1C08">
          <w:rPr>
            <w:webHidden/>
          </w:rPr>
          <w:t>2</w:t>
        </w:r>
        <w:r w:rsidR="00B25B2D">
          <w:rPr>
            <w:webHidden/>
          </w:rPr>
          <w:fldChar w:fldCharType="end"/>
        </w:r>
      </w:hyperlink>
    </w:p>
    <w:p w:rsidR="00B25B2D" w:rsidRPr="00B25B2D" w:rsidRDefault="00B02B41" w:rsidP="00F16C2B">
      <w:pPr>
        <w:pStyle w:val="TOC3"/>
        <w:rPr>
          <w:rFonts w:ascii="Calibri" w:hAnsi="Calibri"/>
          <w:color w:val="auto"/>
          <w:sz w:val="22"/>
          <w:szCs w:val="22"/>
          <w:lang w:eastAsia="en-AU"/>
        </w:rPr>
      </w:pPr>
      <w:hyperlink w:anchor="_Toc450206521" w:history="1">
        <w:r w:rsidR="00B25B2D" w:rsidRPr="00EC1B12">
          <w:rPr>
            <w:rStyle w:val="Hyperlink"/>
          </w:rPr>
          <w:t>Scope of review</w:t>
        </w:r>
        <w:r w:rsidR="00B25B2D">
          <w:rPr>
            <w:webHidden/>
          </w:rPr>
          <w:tab/>
        </w:r>
        <w:r w:rsidR="00B25B2D">
          <w:rPr>
            <w:webHidden/>
          </w:rPr>
          <w:fldChar w:fldCharType="begin"/>
        </w:r>
        <w:r w:rsidR="00B25B2D">
          <w:rPr>
            <w:webHidden/>
          </w:rPr>
          <w:instrText xml:space="preserve"> PAGEREF _Toc450206521 \h </w:instrText>
        </w:r>
        <w:r w:rsidR="00B25B2D">
          <w:rPr>
            <w:webHidden/>
          </w:rPr>
        </w:r>
        <w:r w:rsidR="00B25B2D">
          <w:rPr>
            <w:webHidden/>
          </w:rPr>
          <w:fldChar w:fldCharType="separate"/>
        </w:r>
        <w:r w:rsidR="001F1C08">
          <w:rPr>
            <w:webHidden/>
          </w:rPr>
          <w:t>3</w:t>
        </w:r>
        <w:r w:rsidR="00B25B2D">
          <w:rPr>
            <w:webHidden/>
          </w:rPr>
          <w:fldChar w:fldCharType="end"/>
        </w:r>
      </w:hyperlink>
    </w:p>
    <w:p w:rsidR="00B25B2D" w:rsidRPr="00B25B2D" w:rsidRDefault="00B02B41" w:rsidP="00F16C2B">
      <w:pPr>
        <w:pStyle w:val="TOC3"/>
        <w:rPr>
          <w:rFonts w:ascii="Calibri" w:hAnsi="Calibri"/>
          <w:color w:val="auto"/>
          <w:sz w:val="22"/>
          <w:szCs w:val="22"/>
          <w:lang w:eastAsia="en-AU"/>
        </w:rPr>
      </w:pPr>
      <w:hyperlink w:anchor="_Toc450206522" w:history="1">
        <w:r w:rsidR="00B25B2D" w:rsidRPr="00EC1B12">
          <w:rPr>
            <w:rStyle w:val="Hyperlink"/>
          </w:rPr>
          <w:t>Preliminary submissions and consultations</w:t>
        </w:r>
        <w:r w:rsidR="00B25B2D">
          <w:rPr>
            <w:webHidden/>
          </w:rPr>
          <w:tab/>
        </w:r>
        <w:r w:rsidR="00B25B2D">
          <w:rPr>
            <w:webHidden/>
          </w:rPr>
          <w:fldChar w:fldCharType="begin"/>
        </w:r>
        <w:r w:rsidR="00B25B2D">
          <w:rPr>
            <w:webHidden/>
          </w:rPr>
          <w:instrText xml:space="preserve"> PAGEREF _Toc450206522 \h </w:instrText>
        </w:r>
        <w:r w:rsidR="00B25B2D">
          <w:rPr>
            <w:webHidden/>
          </w:rPr>
        </w:r>
        <w:r w:rsidR="00B25B2D">
          <w:rPr>
            <w:webHidden/>
          </w:rPr>
          <w:fldChar w:fldCharType="separate"/>
        </w:r>
        <w:r w:rsidR="001F1C08">
          <w:rPr>
            <w:webHidden/>
          </w:rPr>
          <w:t>3</w:t>
        </w:r>
        <w:r w:rsidR="00B25B2D">
          <w:rPr>
            <w:webHidden/>
          </w:rPr>
          <w:fldChar w:fldCharType="end"/>
        </w:r>
      </w:hyperlink>
    </w:p>
    <w:p w:rsidR="00B25B2D" w:rsidRDefault="00B25B2D" w:rsidP="00B25B2D">
      <w:pPr>
        <w:pStyle w:val="NormalText"/>
      </w:pPr>
      <w:r>
        <w:fldChar w:fldCharType="end"/>
      </w:r>
    </w:p>
    <w:p w:rsidR="00B25B2D" w:rsidRDefault="00B25B2D" w:rsidP="00B25B2D">
      <w:pPr>
        <w:pStyle w:val="Normalautonumbered"/>
        <w:numPr>
          <w:ilvl w:val="1"/>
          <w:numId w:val="32"/>
        </w:numPr>
      </w:pPr>
      <w:r>
        <w:t xml:space="preserve">The Attorney General has asked us to review and report on the desirability of making changes to the </w:t>
      </w:r>
      <w:r w:rsidRPr="0089527B">
        <w:rPr>
          <w:i/>
        </w:rPr>
        <w:t>Guardianship Act 1987</w:t>
      </w:r>
      <w:r>
        <w:t xml:space="preserve"> (NSW). The Act currently allows a decision-maker to be </w:t>
      </w:r>
      <w:proofErr w:type="gramStart"/>
      <w:r>
        <w:t>identified</w:t>
      </w:r>
      <w:proofErr w:type="gramEnd"/>
      <w:r>
        <w:t xml:space="preserve"> or appointed to make personal, financial and medical decisions for someone who is incapable of making those decisions because of a disability.</w:t>
      </w:r>
    </w:p>
    <w:p w:rsidR="00B25B2D" w:rsidRDefault="00B25B2D" w:rsidP="00B25B2D">
      <w:pPr>
        <w:pStyle w:val="Normalautonumbered"/>
        <w:numPr>
          <w:ilvl w:val="1"/>
          <w:numId w:val="32"/>
        </w:numPr>
      </w:pPr>
      <w:r>
        <w:t>The purpose of this Background Paper is to:</w:t>
      </w:r>
    </w:p>
    <w:p w:rsidR="00B25B2D" w:rsidRDefault="00B25B2D" w:rsidP="00B25B2D">
      <w:pPr>
        <w:pStyle w:val="Normalbullet"/>
      </w:pPr>
      <w:r>
        <w:t>outline the approach we intend to take in conducting the review</w:t>
      </w:r>
    </w:p>
    <w:p w:rsidR="00B25B2D" w:rsidRDefault="00B25B2D" w:rsidP="00B25B2D">
      <w:pPr>
        <w:pStyle w:val="Normalbullet"/>
      </w:pPr>
      <w:r>
        <w:t xml:space="preserve">describe the provisions of the </w:t>
      </w:r>
      <w:r w:rsidRPr="00161B94">
        <w:rPr>
          <w:i/>
        </w:rPr>
        <w:t xml:space="preserve">Guardianship Act 1987 </w:t>
      </w:r>
    </w:p>
    <w:p w:rsidR="00B25B2D" w:rsidRDefault="00B25B2D" w:rsidP="00B25B2D">
      <w:pPr>
        <w:pStyle w:val="Normalbullet"/>
      </w:pPr>
      <w:r>
        <w:t xml:space="preserve">introduce some key concepts </w:t>
      </w:r>
    </w:p>
    <w:p w:rsidR="00B25B2D" w:rsidRDefault="00B25B2D" w:rsidP="00B25B2D">
      <w:pPr>
        <w:pStyle w:val="Normalbullet"/>
      </w:pPr>
      <w:r>
        <w:t>provide an overview of the landscape in which the laws operate</w:t>
      </w:r>
    </w:p>
    <w:p w:rsidR="00B25B2D" w:rsidRDefault="00B25B2D" w:rsidP="00B25B2D">
      <w:pPr>
        <w:pStyle w:val="Normalbullet"/>
      </w:pPr>
      <w:r>
        <w:t xml:space="preserve">describe how that landscape has changed since the </w:t>
      </w:r>
      <w:r w:rsidRPr="0089527B">
        <w:rPr>
          <w:i/>
        </w:rPr>
        <w:t>Guardianship Act 1987</w:t>
      </w:r>
      <w:r>
        <w:t xml:space="preserve"> became law, and</w:t>
      </w:r>
    </w:p>
    <w:p w:rsidR="00B25B2D" w:rsidRDefault="00B25B2D" w:rsidP="00B25B2D">
      <w:pPr>
        <w:pStyle w:val="Normalbullet"/>
      </w:pPr>
      <w:proofErr w:type="gramStart"/>
      <w:r>
        <w:t>outline</w:t>
      </w:r>
      <w:proofErr w:type="gramEnd"/>
      <w:r>
        <w:t xml:space="preserve"> recent reviews of guardianship law as well as recent changes to the law in other jurisdictions. </w:t>
      </w:r>
    </w:p>
    <w:p w:rsidR="00B25B2D" w:rsidRDefault="00B25B2D" w:rsidP="00B25B2D">
      <w:pPr>
        <w:pStyle w:val="Heading1"/>
      </w:pPr>
      <w:bookmarkStart w:id="28" w:name="_Toc450206517"/>
      <w:bookmarkStart w:id="29" w:name="_Toc454202769"/>
      <w:r>
        <w:t>Our approach</w:t>
      </w:r>
      <w:bookmarkEnd w:id="28"/>
      <w:bookmarkEnd w:id="29"/>
    </w:p>
    <w:p w:rsidR="00B25B2D" w:rsidRDefault="00B25B2D" w:rsidP="0087265C">
      <w:pPr>
        <w:pStyle w:val="Heading2"/>
      </w:pPr>
      <w:bookmarkStart w:id="30" w:name="_Toc450206518"/>
      <w:bookmarkStart w:id="31" w:name="_Toc454202770"/>
      <w:r>
        <w:t>A review among many</w:t>
      </w:r>
      <w:bookmarkEnd w:id="30"/>
      <w:bookmarkEnd w:id="31"/>
    </w:p>
    <w:p w:rsidR="00B25B2D" w:rsidRDefault="00B25B2D" w:rsidP="00B25B2D">
      <w:pPr>
        <w:pStyle w:val="Normalautonumbered"/>
        <w:numPr>
          <w:ilvl w:val="1"/>
          <w:numId w:val="32"/>
        </w:numPr>
      </w:pPr>
      <w:r>
        <w:t xml:space="preserve">A number of recent reviews about guardianship law </w:t>
      </w:r>
      <w:proofErr w:type="gramStart"/>
      <w:r>
        <w:t>have been conducted</w:t>
      </w:r>
      <w:proofErr w:type="gramEnd"/>
      <w:r>
        <w:t xml:space="preserve"> both within Australia and overseas. These reviews, all publically available, constitute a significant body of work covering, among other things, the recent development of guardianship law and its variations across different jurisdictions. This material has informed our review but we do not intend to produce a detailed account of developments elsewhere. We will focus our analysis instead on comparing and contrasting possible future directions for guardianship law in NSW. </w:t>
      </w:r>
    </w:p>
    <w:p w:rsidR="00B25B2D" w:rsidRDefault="00B25B2D" w:rsidP="0087265C">
      <w:pPr>
        <w:pStyle w:val="Heading2"/>
      </w:pPr>
      <w:bookmarkStart w:id="32" w:name="_Toc450206519"/>
      <w:bookmarkStart w:id="33" w:name="_Toc454202771"/>
      <w:r>
        <w:t>A series of consultation papers</w:t>
      </w:r>
      <w:bookmarkEnd w:id="32"/>
      <w:bookmarkEnd w:id="33"/>
    </w:p>
    <w:p w:rsidR="00B25B2D" w:rsidRDefault="00B25B2D" w:rsidP="00B25B2D">
      <w:pPr>
        <w:pStyle w:val="Normalautonumbered"/>
        <w:numPr>
          <w:ilvl w:val="1"/>
          <w:numId w:val="32"/>
        </w:numPr>
      </w:pPr>
      <w:r>
        <w:t xml:space="preserve">Guardianship law is broad and complex. Some people have experience with a particular area of guardianship law but not with other areas. With this in mind, rather than publishing a single, longer consultation paper, we will publish separate papers </w:t>
      </w:r>
      <w:r>
        <w:lastRenderedPageBreak/>
        <w:t xml:space="preserve">on the various subject areas we are covering. People with an interest and expertise in a specific area can then focus their attention on the paper dealing with that topic. </w:t>
      </w:r>
    </w:p>
    <w:p w:rsidR="00B25B2D" w:rsidRDefault="00B25B2D" w:rsidP="00B25B2D">
      <w:pPr>
        <w:pStyle w:val="Normalautonumbered"/>
        <w:numPr>
          <w:ilvl w:val="1"/>
          <w:numId w:val="32"/>
        </w:numPr>
      </w:pPr>
      <w:r>
        <w:t>Unlike the question papers that will follow, this Background Paper does not ask any specific questions; rather it is a resource for people to refer to when considering the issues we raise in the other papers. However, if you have any specific comments about the Background Paper please let us know.</w:t>
      </w:r>
    </w:p>
    <w:p w:rsidR="00B25B2D" w:rsidRDefault="00C275FC" w:rsidP="00B25B2D">
      <w:pPr>
        <w:pStyle w:val="Normalautonumbered"/>
        <w:numPr>
          <w:ilvl w:val="1"/>
          <w:numId w:val="32"/>
        </w:numPr>
      </w:pPr>
      <w:r>
        <w:t>This p</w:t>
      </w:r>
      <w:r w:rsidR="00B25B2D">
        <w:t xml:space="preserve">aper is the first in a series of papers </w:t>
      </w:r>
      <w:r>
        <w:t xml:space="preserve">that </w:t>
      </w:r>
      <w:r w:rsidR="00B25B2D">
        <w:t>we will be releasing:</w:t>
      </w:r>
    </w:p>
    <w:p w:rsidR="00B25B2D" w:rsidRDefault="00B25B2D" w:rsidP="00B25B2D">
      <w:pPr>
        <w:pStyle w:val="Normalautonumbered"/>
        <w:numPr>
          <w:ilvl w:val="0"/>
          <w:numId w:val="33"/>
        </w:numPr>
      </w:pPr>
      <w:r w:rsidRPr="006B53C3">
        <w:rPr>
          <w:b/>
        </w:rPr>
        <w:t>Background Paper</w:t>
      </w:r>
      <w:r>
        <w:t>: An overview of guardianship law in NSW</w:t>
      </w:r>
    </w:p>
    <w:p w:rsidR="00B25B2D" w:rsidRDefault="00B25B2D" w:rsidP="00B25B2D">
      <w:pPr>
        <w:pStyle w:val="Normalautonumbered"/>
        <w:numPr>
          <w:ilvl w:val="0"/>
          <w:numId w:val="33"/>
        </w:numPr>
      </w:pPr>
      <w:r>
        <w:rPr>
          <w:b/>
        </w:rPr>
        <w:t>Question Paper 1</w:t>
      </w:r>
      <w:r>
        <w:t>: Conditions for alternative decision-making arrangements</w:t>
      </w:r>
    </w:p>
    <w:p w:rsidR="00B25B2D" w:rsidRDefault="00B25B2D" w:rsidP="00B25B2D">
      <w:pPr>
        <w:pStyle w:val="Normalautonumbered"/>
        <w:numPr>
          <w:ilvl w:val="0"/>
          <w:numId w:val="33"/>
        </w:numPr>
      </w:pPr>
      <w:r>
        <w:rPr>
          <w:b/>
        </w:rPr>
        <w:t>Question Paper 2</w:t>
      </w:r>
      <w:r>
        <w:t>: Decision-making models</w:t>
      </w:r>
    </w:p>
    <w:p w:rsidR="00B25B2D" w:rsidRDefault="00B25B2D" w:rsidP="00B25B2D">
      <w:pPr>
        <w:pStyle w:val="Normalautonumbered"/>
        <w:numPr>
          <w:ilvl w:val="0"/>
          <w:numId w:val="33"/>
        </w:numPr>
      </w:pPr>
      <w:r>
        <w:rPr>
          <w:b/>
        </w:rPr>
        <w:t>Question Paper 3</w:t>
      </w:r>
      <w:r>
        <w:t>: Supporters and decision-makers: appointment, powers, responsibilities and accountability (including, under current arrangements, enduring guardians, guardianship orders, persons responsible, financial managers and informal decision-making arrangements)</w:t>
      </w:r>
    </w:p>
    <w:p w:rsidR="00B25B2D" w:rsidRDefault="00B25B2D" w:rsidP="00B25B2D">
      <w:pPr>
        <w:pStyle w:val="Normalautonumbered"/>
        <w:numPr>
          <w:ilvl w:val="0"/>
          <w:numId w:val="33"/>
        </w:numPr>
      </w:pPr>
      <w:r>
        <w:rPr>
          <w:b/>
        </w:rPr>
        <w:t>Question Paper 4</w:t>
      </w:r>
      <w:r>
        <w:t>: NCAT and key agencies (including the operation of the Guardianship Division of the NSW Civil and Administrative Tribunal, the NSW Public Guardian, the NSW Trustee and Guardian, and the case for a Public Advocate)</w:t>
      </w:r>
    </w:p>
    <w:p w:rsidR="00B25B2D" w:rsidRPr="00161B94" w:rsidRDefault="00B25B2D" w:rsidP="00B25B2D">
      <w:pPr>
        <w:pStyle w:val="Normalautonumbered"/>
        <w:numPr>
          <w:ilvl w:val="0"/>
          <w:numId w:val="33"/>
        </w:numPr>
      </w:pPr>
      <w:r w:rsidRPr="00161B94">
        <w:rPr>
          <w:b/>
        </w:rPr>
        <w:t>Question Paper 5</w:t>
      </w:r>
      <w:r w:rsidRPr="00161B94">
        <w:t xml:space="preserve">: Medical and dental treatment and restrictive practices </w:t>
      </w:r>
    </w:p>
    <w:p w:rsidR="00B25B2D" w:rsidRPr="00510C1A" w:rsidRDefault="00B25B2D" w:rsidP="00B25B2D">
      <w:pPr>
        <w:pStyle w:val="Normalautonumbered"/>
        <w:numPr>
          <w:ilvl w:val="0"/>
          <w:numId w:val="33"/>
        </w:numPr>
      </w:pPr>
      <w:r>
        <w:rPr>
          <w:b/>
        </w:rPr>
        <w:t>Question Paper 6</w:t>
      </w:r>
      <w:r w:rsidRPr="00056A12">
        <w:t>:</w:t>
      </w:r>
      <w:r>
        <w:t xml:space="preserve"> Miscellaneous (terminology and other amendments to the </w:t>
      </w:r>
      <w:r w:rsidRPr="003524C6">
        <w:rPr>
          <w:i/>
        </w:rPr>
        <w:t>Guardianship Act 1987</w:t>
      </w:r>
      <w:r>
        <w:t>)</w:t>
      </w:r>
      <w:r>
        <w:rPr>
          <w:b/>
        </w:rPr>
        <w:t xml:space="preserve"> </w:t>
      </w:r>
    </w:p>
    <w:p w:rsidR="00B25B2D" w:rsidRPr="00D37A54" w:rsidRDefault="00B25B2D" w:rsidP="00B25B2D">
      <w:pPr>
        <w:pStyle w:val="Normalautonumbered"/>
        <w:numPr>
          <w:ilvl w:val="0"/>
          <w:numId w:val="33"/>
        </w:numPr>
      </w:pPr>
      <w:r>
        <w:rPr>
          <w:b/>
        </w:rPr>
        <w:t>Final report</w:t>
      </w:r>
      <w:r>
        <w:t>: Containing our findings and recommendations</w:t>
      </w:r>
    </w:p>
    <w:p w:rsidR="00B25B2D" w:rsidRPr="00D37A54" w:rsidRDefault="00B25B2D" w:rsidP="00B25B2D">
      <w:pPr>
        <w:pStyle w:val="Normalautonumbered"/>
        <w:tabs>
          <w:tab w:val="clear" w:pos="720"/>
        </w:tabs>
        <w:ind w:firstLine="0"/>
      </w:pPr>
      <w:r>
        <w:t xml:space="preserve">The above list is an indication only. As the review progresses, we may decide to vary the breakdown of topics, or what we have chosen to cover in each question paper, depending on further research and stakeholder views. </w:t>
      </w:r>
    </w:p>
    <w:p w:rsidR="00B25B2D" w:rsidRDefault="00B25B2D" w:rsidP="0087265C">
      <w:pPr>
        <w:pStyle w:val="Heading2"/>
      </w:pPr>
      <w:bookmarkStart w:id="34" w:name="_Toc450206520"/>
      <w:bookmarkStart w:id="35" w:name="_Toc454202772"/>
      <w:r>
        <w:t>Other formats and consultation methods</w:t>
      </w:r>
      <w:bookmarkEnd w:id="34"/>
      <w:bookmarkEnd w:id="35"/>
    </w:p>
    <w:p w:rsidR="00B25B2D" w:rsidRDefault="00B25B2D" w:rsidP="00B25B2D">
      <w:pPr>
        <w:pStyle w:val="Normalautonumbered"/>
        <w:numPr>
          <w:ilvl w:val="1"/>
          <w:numId w:val="32"/>
        </w:numPr>
      </w:pPr>
      <w:r>
        <w:t xml:space="preserve">All of the written documents we produce as part of our review, including this Background Paper, will be available in Easy English on our website: </w:t>
      </w:r>
      <w:r w:rsidRPr="0093145F">
        <w:t>http://w</w:t>
      </w:r>
      <w:r>
        <w:t xml:space="preserve">ww.lawreform.justice.nsw.gov.au. We will also be posting surveys </w:t>
      </w:r>
      <w:r w:rsidR="00C275FC">
        <w:t xml:space="preserve">that </w:t>
      </w:r>
      <w:r>
        <w:t xml:space="preserve">you can complete instead of making a formal submission, and videos about the review. </w:t>
      </w:r>
    </w:p>
    <w:p w:rsidR="00B25B2D" w:rsidRDefault="00B25B2D" w:rsidP="00B25B2D">
      <w:pPr>
        <w:pStyle w:val="Normalautonumbered"/>
        <w:numPr>
          <w:ilvl w:val="1"/>
          <w:numId w:val="32"/>
        </w:numPr>
      </w:pPr>
      <w:r>
        <w:t>We will be conducting targeted consultations on various topics with stakeholders.</w:t>
      </w:r>
    </w:p>
    <w:p w:rsidR="00B25B2D" w:rsidRPr="0093145F" w:rsidRDefault="00B25B2D" w:rsidP="00B25B2D">
      <w:pPr>
        <w:pStyle w:val="Normalautonumbered"/>
        <w:numPr>
          <w:ilvl w:val="1"/>
          <w:numId w:val="32"/>
        </w:numPr>
      </w:pPr>
      <w:r>
        <w:t>See our website and follow us on Twitter @</w:t>
      </w:r>
      <w:proofErr w:type="spellStart"/>
      <w:r>
        <w:t>NSWLawReform</w:t>
      </w:r>
      <w:proofErr w:type="spellEnd"/>
      <w:r>
        <w:t xml:space="preserve"> for further information and updates.</w:t>
      </w:r>
    </w:p>
    <w:p w:rsidR="00B25B2D" w:rsidRDefault="00B25B2D" w:rsidP="0087265C">
      <w:pPr>
        <w:pStyle w:val="Heading2"/>
      </w:pPr>
      <w:bookmarkStart w:id="36" w:name="_Toc450206521"/>
      <w:bookmarkStart w:id="37" w:name="_Toc454202773"/>
      <w:r>
        <w:lastRenderedPageBreak/>
        <w:t>Scope of review</w:t>
      </w:r>
      <w:bookmarkEnd w:id="36"/>
      <w:bookmarkEnd w:id="37"/>
    </w:p>
    <w:p w:rsidR="00B25B2D" w:rsidRDefault="00B25B2D" w:rsidP="00B25B2D">
      <w:pPr>
        <w:pStyle w:val="Normalautonumbered"/>
        <w:numPr>
          <w:ilvl w:val="1"/>
          <w:numId w:val="32"/>
        </w:numPr>
      </w:pPr>
      <w:r>
        <w:t xml:space="preserve">A review of NSW guardianship law has the potential to touch upon a number of related topics, some of which are very broad. Elder abuse is one such topic. End-of-life decision-making is another. Both of these topics extend well beyond the subject matter of this review, which is limited to a review of the </w:t>
      </w:r>
      <w:r w:rsidRPr="003524C6">
        <w:rPr>
          <w:i/>
        </w:rPr>
        <w:t>Guardianship Act 1987</w:t>
      </w:r>
      <w:r>
        <w:t xml:space="preserve">, into areas such as wills, succession and estate planning, criminal law, contract law and so on. </w:t>
      </w:r>
    </w:p>
    <w:p w:rsidR="00B25B2D" w:rsidRDefault="00B25B2D" w:rsidP="00B25B2D">
      <w:pPr>
        <w:pStyle w:val="Normalautonumbered"/>
        <w:numPr>
          <w:ilvl w:val="1"/>
          <w:numId w:val="32"/>
        </w:numPr>
      </w:pPr>
      <w:r>
        <w:t xml:space="preserve">Other review bodies </w:t>
      </w:r>
      <w:r w:rsidR="00446BA3">
        <w:t xml:space="preserve">have recently explored or </w:t>
      </w:r>
      <w:r>
        <w:t>are currently exploring elder abuse, notably the NSW Legislative Council General Purpose Standing Committee No 2 with its inquiry into Elder Abuse in New South Wales (</w:t>
      </w:r>
      <w:r w:rsidR="00446BA3">
        <w:t xml:space="preserve">it </w:t>
      </w:r>
      <w:r>
        <w:t>table</w:t>
      </w:r>
      <w:r w:rsidR="00446BA3">
        <w:t>d its report on 24</w:t>
      </w:r>
      <w:r>
        <w:t xml:space="preserve"> June 2016) and the Australian Law Reform Commission (ALRC), with its Inquiry into Elder Abuse (due to report in May 2017). </w:t>
      </w:r>
    </w:p>
    <w:p w:rsidR="00B25B2D" w:rsidRDefault="00B25B2D" w:rsidP="00B25B2D">
      <w:pPr>
        <w:pStyle w:val="Normalautonumbered"/>
        <w:numPr>
          <w:ilvl w:val="1"/>
          <w:numId w:val="32"/>
        </w:numPr>
      </w:pPr>
      <w:r>
        <w:t xml:space="preserve">For these reasons, while our review will likely engage with these topics to some degree, we will only be engaging insofar as they are directly relevant to our terms of reference.   </w:t>
      </w:r>
    </w:p>
    <w:p w:rsidR="00B25B2D" w:rsidRDefault="00B25B2D" w:rsidP="0087265C">
      <w:pPr>
        <w:pStyle w:val="Heading2"/>
      </w:pPr>
      <w:bookmarkStart w:id="38" w:name="_Toc450206522"/>
      <w:bookmarkStart w:id="39" w:name="_Toc454202774"/>
      <w:r>
        <w:t>Preliminary submissions and consultations</w:t>
      </w:r>
      <w:bookmarkEnd w:id="38"/>
      <w:bookmarkEnd w:id="39"/>
    </w:p>
    <w:p w:rsidR="001D14C5" w:rsidRDefault="00B25B2D" w:rsidP="00B25B2D">
      <w:pPr>
        <w:pStyle w:val="Normalautonumbered"/>
        <w:numPr>
          <w:ilvl w:val="1"/>
          <w:numId w:val="32"/>
        </w:numPr>
      </w:pPr>
      <w:r>
        <w:t>To help us identify issues and concerns relevant to the review, we invited preliminary submissions from stakeholders including peak disability bodies, the NSW Civil and Administrative Tribunal (NCAT), agencies such as the NSW Trustee and Guardian, and statutory appointees such as the NSW Public Guardian. We received 54 written submissions. We also held meetings with the NSW Trustee and Guardian, the NSW Public Guardian, NCAT, the Law Society of NSW’s Elder Law and Succession Committee, the ALRC, two former heads of the Guardianship Tribunal (now the</w:t>
      </w:r>
      <w:r w:rsidR="001A3EE0">
        <w:t xml:space="preserve"> Guardianship Division of NCAT), </w:t>
      </w:r>
      <w:r>
        <w:t>the NSW Carers Advisory Council</w:t>
      </w:r>
      <w:r w:rsidR="001A3EE0">
        <w:t xml:space="preserve"> and the Consultative Forum of the Guardianship Division of NCAT</w:t>
      </w:r>
      <w:r>
        <w:t>. We are very grateful for the input we received at this initial stage.</w:t>
      </w:r>
    </w:p>
    <w:p w:rsidR="00B25B2D" w:rsidRDefault="005C3E11" w:rsidP="001D14C5">
      <w:r>
        <w:br w:type="page"/>
      </w:r>
      <w:r w:rsidR="00B25B2D">
        <w:lastRenderedPageBreak/>
        <w:t xml:space="preserve"> </w:t>
      </w:r>
    </w:p>
    <w:p w:rsidR="00B25B2D" w:rsidRDefault="00B25B2D" w:rsidP="00B25B2D">
      <w:pPr>
        <w:pStyle w:val="NormalText"/>
        <w:sectPr w:rsidR="00B25B2D" w:rsidSect="00B25B2D">
          <w:headerReference w:type="default" r:id="rId16"/>
          <w:footerReference w:type="even" r:id="rId17"/>
          <w:footerReference w:type="default" r:id="rId18"/>
          <w:footerReference w:type="first" r:id="rId19"/>
          <w:footnotePr>
            <w:numRestart w:val="eachSect"/>
          </w:footnotePr>
          <w:pgSz w:w="11906" w:h="16838" w:code="9"/>
          <w:pgMar w:top="1134" w:right="1321" w:bottom="1134" w:left="1678" w:header="567" w:footer="284" w:gutter="0"/>
          <w:pgNumType w:start="1"/>
          <w:cols w:space="708"/>
          <w:titlePg/>
          <w:docGrid w:linePitch="360"/>
        </w:sectPr>
      </w:pPr>
    </w:p>
    <w:p w:rsidR="004E082A" w:rsidRDefault="004E082A" w:rsidP="004E082A">
      <w:pPr>
        <w:pStyle w:val="ChapterHeading"/>
        <w:ind w:left="1071" w:hanging="1071"/>
      </w:pPr>
      <w:bookmarkStart w:id="40" w:name="_Toc454202775"/>
      <w:bookmarkEnd w:id="27"/>
      <w:r>
        <w:lastRenderedPageBreak/>
        <w:t>The Guardianship Act 1987</w:t>
      </w:r>
      <w:bookmarkEnd w:id="40"/>
    </w:p>
    <w:p w:rsidR="004E082A" w:rsidRPr="004E082A" w:rsidRDefault="004E082A" w:rsidP="00F16C2B">
      <w:pPr>
        <w:pStyle w:val="TOC2"/>
        <w:rPr>
          <w:rFonts w:ascii="Calibri" w:hAnsi="Calibri"/>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454198801" w:history="1">
        <w:r w:rsidRPr="005919E6">
          <w:rPr>
            <w:rStyle w:val="Hyperlink"/>
          </w:rPr>
          <w:t>History of the Act</w:t>
        </w:r>
        <w:r>
          <w:rPr>
            <w:webHidden/>
          </w:rPr>
          <w:tab/>
        </w:r>
        <w:r>
          <w:rPr>
            <w:webHidden/>
          </w:rPr>
          <w:fldChar w:fldCharType="begin"/>
        </w:r>
        <w:r>
          <w:rPr>
            <w:webHidden/>
          </w:rPr>
          <w:instrText xml:space="preserve"> PAGEREF _Toc454198801 \h </w:instrText>
        </w:r>
        <w:r>
          <w:rPr>
            <w:webHidden/>
          </w:rPr>
        </w:r>
        <w:r>
          <w:rPr>
            <w:webHidden/>
          </w:rPr>
          <w:fldChar w:fldCharType="separate"/>
        </w:r>
        <w:r w:rsidR="001F1C08">
          <w:rPr>
            <w:webHidden/>
          </w:rPr>
          <w:t>5</w:t>
        </w:r>
        <w:r>
          <w:rPr>
            <w:webHidden/>
          </w:rPr>
          <w:fldChar w:fldCharType="end"/>
        </w:r>
      </w:hyperlink>
    </w:p>
    <w:p w:rsidR="004E082A" w:rsidRPr="004E082A" w:rsidRDefault="00B02B41" w:rsidP="00F16C2B">
      <w:pPr>
        <w:pStyle w:val="TOC2"/>
        <w:rPr>
          <w:rFonts w:ascii="Calibri" w:hAnsi="Calibri"/>
          <w:color w:val="auto"/>
          <w:sz w:val="22"/>
          <w:szCs w:val="22"/>
          <w:lang w:eastAsia="en-AU"/>
        </w:rPr>
      </w:pPr>
      <w:hyperlink w:anchor="_Toc454198802" w:history="1">
        <w:r w:rsidR="004E082A" w:rsidRPr="005919E6">
          <w:rPr>
            <w:rStyle w:val="Hyperlink"/>
          </w:rPr>
          <w:t>Legislative overview</w:t>
        </w:r>
        <w:r w:rsidR="004E082A">
          <w:rPr>
            <w:webHidden/>
          </w:rPr>
          <w:tab/>
        </w:r>
        <w:r w:rsidR="004E082A">
          <w:rPr>
            <w:webHidden/>
          </w:rPr>
          <w:fldChar w:fldCharType="begin"/>
        </w:r>
        <w:r w:rsidR="004E082A">
          <w:rPr>
            <w:webHidden/>
          </w:rPr>
          <w:instrText xml:space="preserve"> PAGEREF _Toc454198802 \h </w:instrText>
        </w:r>
        <w:r w:rsidR="004E082A">
          <w:rPr>
            <w:webHidden/>
          </w:rPr>
        </w:r>
        <w:r w:rsidR="004E082A">
          <w:rPr>
            <w:webHidden/>
          </w:rPr>
          <w:fldChar w:fldCharType="separate"/>
        </w:r>
        <w:r w:rsidR="001F1C08">
          <w:rPr>
            <w:webHidden/>
          </w:rPr>
          <w:t>6</w:t>
        </w:r>
        <w:r w:rsidR="004E082A">
          <w:rPr>
            <w:webHidden/>
          </w:rPr>
          <w:fldChar w:fldCharType="end"/>
        </w:r>
      </w:hyperlink>
    </w:p>
    <w:p w:rsidR="004E082A" w:rsidRPr="004E082A" w:rsidRDefault="00B02B41" w:rsidP="00F16C2B">
      <w:pPr>
        <w:pStyle w:val="TOC3"/>
        <w:rPr>
          <w:rFonts w:ascii="Calibri" w:hAnsi="Calibri"/>
          <w:color w:val="auto"/>
          <w:sz w:val="22"/>
          <w:szCs w:val="22"/>
          <w:lang w:eastAsia="en-AU"/>
        </w:rPr>
      </w:pPr>
      <w:hyperlink w:anchor="_Toc454198803" w:history="1">
        <w:r w:rsidR="004E082A" w:rsidRPr="005919E6">
          <w:rPr>
            <w:rStyle w:val="Hyperlink"/>
          </w:rPr>
          <w:t>General principles (section 4)</w:t>
        </w:r>
        <w:r w:rsidR="004E082A">
          <w:rPr>
            <w:webHidden/>
          </w:rPr>
          <w:tab/>
        </w:r>
        <w:r w:rsidR="004E082A">
          <w:rPr>
            <w:webHidden/>
          </w:rPr>
          <w:fldChar w:fldCharType="begin"/>
        </w:r>
        <w:r w:rsidR="004E082A">
          <w:rPr>
            <w:webHidden/>
          </w:rPr>
          <w:instrText xml:space="preserve"> PAGEREF _Toc454198803 \h </w:instrText>
        </w:r>
        <w:r w:rsidR="004E082A">
          <w:rPr>
            <w:webHidden/>
          </w:rPr>
        </w:r>
        <w:r w:rsidR="004E082A">
          <w:rPr>
            <w:webHidden/>
          </w:rPr>
          <w:fldChar w:fldCharType="separate"/>
        </w:r>
        <w:r w:rsidR="001F1C08">
          <w:rPr>
            <w:webHidden/>
          </w:rPr>
          <w:t>6</w:t>
        </w:r>
        <w:r w:rsidR="004E082A">
          <w:rPr>
            <w:webHidden/>
          </w:rPr>
          <w:fldChar w:fldCharType="end"/>
        </w:r>
      </w:hyperlink>
    </w:p>
    <w:p w:rsidR="004E082A" w:rsidRPr="004E082A" w:rsidRDefault="00B02B41" w:rsidP="00F16C2B">
      <w:pPr>
        <w:pStyle w:val="TOC3"/>
        <w:rPr>
          <w:rFonts w:ascii="Calibri" w:hAnsi="Calibri"/>
          <w:color w:val="auto"/>
          <w:sz w:val="22"/>
          <w:szCs w:val="22"/>
          <w:lang w:eastAsia="en-AU"/>
        </w:rPr>
      </w:pPr>
      <w:hyperlink w:anchor="_Toc454198804" w:history="1">
        <w:r w:rsidR="004E082A" w:rsidRPr="005919E6">
          <w:rPr>
            <w:rStyle w:val="Hyperlink"/>
          </w:rPr>
          <w:t>Enduring guardians (Part 2)</w:t>
        </w:r>
        <w:r w:rsidR="004E082A">
          <w:rPr>
            <w:webHidden/>
          </w:rPr>
          <w:tab/>
        </w:r>
        <w:r w:rsidR="004E082A">
          <w:rPr>
            <w:webHidden/>
          </w:rPr>
          <w:fldChar w:fldCharType="begin"/>
        </w:r>
        <w:r w:rsidR="004E082A">
          <w:rPr>
            <w:webHidden/>
          </w:rPr>
          <w:instrText xml:space="preserve"> PAGEREF _Toc454198804 \h </w:instrText>
        </w:r>
        <w:r w:rsidR="004E082A">
          <w:rPr>
            <w:webHidden/>
          </w:rPr>
        </w:r>
        <w:r w:rsidR="004E082A">
          <w:rPr>
            <w:webHidden/>
          </w:rPr>
          <w:fldChar w:fldCharType="separate"/>
        </w:r>
        <w:r w:rsidR="001F1C08">
          <w:rPr>
            <w:webHidden/>
          </w:rPr>
          <w:t>7</w:t>
        </w:r>
        <w:r w:rsidR="004E082A">
          <w:rPr>
            <w:webHidden/>
          </w:rPr>
          <w:fldChar w:fldCharType="end"/>
        </w:r>
      </w:hyperlink>
    </w:p>
    <w:p w:rsidR="004E082A" w:rsidRPr="004E082A" w:rsidRDefault="00B02B41" w:rsidP="00F16C2B">
      <w:pPr>
        <w:pStyle w:val="TOC3"/>
        <w:rPr>
          <w:rFonts w:ascii="Calibri" w:hAnsi="Calibri"/>
          <w:color w:val="auto"/>
          <w:sz w:val="22"/>
          <w:szCs w:val="22"/>
          <w:lang w:eastAsia="en-AU"/>
        </w:rPr>
      </w:pPr>
      <w:hyperlink w:anchor="_Toc454198805" w:history="1">
        <w:r w:rsidR="004E082A" w:rsidRPr="005919E6">
          <w:rPr>
            <w:rStyle w:val="Hyperlink"/>
          </w:rPr>
          <w:t>Guardianship orders (Part 3)</w:t>
        </w:r>
        <w:r w:rsidR="004E082A">
          <w:rPr>
            <w:webHidden/>
          </w:rPr>
          <w:tab/>
        </w:r>
        <w:r w:rsidR="004E082A">
          <w:rPr>
            <w:webHidden/>
          </w:rPr>
          <w:fldChar w:fldCharType="begin"/>
        </w:r>
        <w:r w:rsidR="004E082A">
          <w:rPr>
            <w:webHidden/>
          </w:rPr>
          <w:instrText xml:space="preserve"> PAGEREF _Toc454198805 \h </w:instrText>
        </w:r>
        <w:r w:rsidR="004E082A">
          <w:rPr>
            <w:webHidden/>
          </w:rPr>
        </w:r>
        <w:r w:rsidR="004E082A">
          <w:rPr>
            <w:webHidden/>
          </w:rPr>
          <w:fldChar w:fldCharType="separate"/>
        </w:r>
        <w:r w:rsidR="001F1C08">
          <w:rPr>
            <w:webHidden/>
          </w:rPr>
          <w:t>7</w:t>
        </w:r>
        <w:r w:rsidR="004E082A">
          <w:rPr>
            <w:webHidden/>
          </w:rPr>
          <w:fldChar w:fldCharType="end"/>
        </w:r>
      </w:hyperlink>
    </w:p>
    <w:p w:rsidR="004E082A" w:rsidRPr="004E082A" w:rsidRDefault="00B02B41" w:rsidP="00F16C2B">
      <w:pPr>
        <w:pStyle w:val="TOC3"/>
        <w:rPr>
          <w:rFonts w:ascii="Calibri" w:hAnsi="Calibri"/>
          <w:color w:val="auto"/>
          <w:sz w:val="22"/>
          <w:szCs w:val="22"/>
          <w:lang w:eastAsia="en-AU"/>
        </w:rPr>
      </w:pPr>
      <w:hyperlink w:anchor="_Toc454198806" w:history="1">
        <w:r w:rsidR="004E082A" w:rsidRPr="005919E6">
          <w:rPr>
            <w:rStyle w:val="Hyperlink"/>
          </w:rPr>
          <w:t>Financial management (Part 3A)</w:t>
        </w:r>
        <w:r w:rsidR="004E082A">
          <w:rPr>
            <w:webHidden/>
          </w:rPr>
          <w:tab/>
        </w:r>
        <w:r w:rsidR="004E082A">
          <w:rPr>
            <w:webHidden/>
          </w:rPr>
          <w:fldChar w:fldCharType="begin"/>
        </w:r>
        <w:r w:rsidR="004E082A">
          <w:rPr>
            <w:webHidden/>
          </w:rPr>
          <w:instrText xml:space="preserve"> PAGEREF _Toc454198806 \h </w:instrText>
        </w:r>
        <w:r w:rsidR="004E082A">
          <w:rPr>
            <w:webHidden/>
          </w:rPr>
        </w:r>
        <w:r w:rsidR="004E082A">
          <w:rPr>
            <w:webHidden/>
          </w:rPr>
          <w:fldChar w:fldCharType="separate"/>
        </w:r>
        <w:r w:rsidR="001F1C08">
          <w:rPr>
            <w:webHidden/>
          </w:rPr>
          <w:t>9</w:t>
        </w:r>
        <w:r w:rsidR="004E082A">
          <w:rPr>
            <w:webHidden/>
          </w:rPr>
          <w:fldChar w:fldCharType="end"/>
        </w:r>
      </w:hyperlink>
    </w:p>
    <w:p w:rsidR="004E082A" w:rsidRPr="004E082A" w:rsidRDefault="00B02B41" w:rsidP="00F16C2B">
      <w:pPr>
        <w:pStyle w:val="TOC3"/>
        <w:rPr>
          <w:rFonts w:ascii="Calibri" w:hAnsi="Calibri"/>
          <w:color w:val="auto"/>
          <w:sz w:val="22"/>
          <w:szCs w:val="22"/>
          <w:lang w:eastAsia="en-AU"/>
        </w:rPr>
      </w:pPr>
      <w:hyperlink w:anchor="_Toc454198807" w:history="1">
        <w:r w:rsidR="004E082A" w:rsidRPr="005919E6">
          <w:rPr>
            <w:rStyle w:val="Hyperlink"/>
            <w:shd w:val="clear" w:color="auto" w:fill="FFFFFF"/>
          </w:rPr>
          <w:t>Medical and dental treatment (Part 5)</w:t>
        </w:r>
        <w:r w:rsidR="004E082A">
          <w:rPr>
            <w:webHidden/>
          </w:rPr>
          <w:tab/>
        </w:r>
        <w:r w:rsidR="004E082A">
          <w:rPr>
            <w:webHidden/>
          </w:rPr>
          <w:fldChar w:fldCharType="begin"/>
        </w:r>
        <w:r w:rsidR="004E082A">
          <w:rPr>
            <w:webHidden/>
          </w:rPr>
          <w:instrText xml:space="preserve"> PAGEREF _Toc454198807 \h </w:instrText>
        </w:r>
        <w:r w:rsidR="004E082A">
          <w:rPr>
            <w:webHidden/>
          </w:rPr>
        </w:r>
        <w:r w:rsidR="004E082A">
          <w:rPr>
            <w:webHidden/>
          </w:rPr>
          <w:fldChar w:fldCharType="separate"/>
        </w:r>
        <w:r w:rsidR="001F1C08">
          <w:rPr>
            <w:webHidden/>
          </w:rPr>
          <w:t>10</w:t>
        </w:r>
        <w:r w:rsidR="004E082A">
          <w:rPr>
            <w:webHidden/>
          </w:rPr>
          <w:fldChar w:fldCharType="end"/>
        </w:r>
      </w:hyperlink>
    </w:p>
    <w:p w:rsidR="004E082A" w:rsidRDefault="004E082A" w:rsidP="004E082A">
      <w:pPr>
        <w:pStyle w:val="NormalText"/>
      </w:pPr>
      <w:r>
        <w:fldChar w:fldCharType="end"/>
      </w:r>
    </w:p>
    <w:p w:rsidR="004E082A" w:rsidRDefault="004E082A" w:rsidP="004E082A">
      <w:pPr>
        <w:pStyle w:val="NormalAutoChapter"/>
      </w:pPr>
      <w:r>
        <w:t xml:space="preserve">The </w:t>
      </w:r>
      <w:r w:rsidRPr="00DB15D6">
        <w:rPr>
          <w:i/>
        </w:rPr>
        <w:t>Guardianship Act 1987</w:t>
      </w:r>
      <w:r>
        <w:t xml:space="preserve"> (NSW) (the Act) allows a formal decision-maker to be identified or appointed to make personal, financial and medical decisions for someone incapable of making those decisions themselves. </w:t>
      </w:r>
    </w:p>
    <w:p w:rsidR="004E082A" w:rsidRDefault="004E082A" w:rsidP="004E082A">
      <w:pPr>
        <w:pStyle w:val="NormalAutoChapter"/>
      </w:pPr>
      <w:r>
        <w:t xml:space="preserve">Under the legislation, a person with decision-making capacity can appoint a substitute decision-maker for a time when they will no longer have capacity to make decisions.  </w:t>
      </w:r>
    </w:p>
    <w:p w:rsidR="004E082A" w:rsidRDefault="004E082A" w:rsidP="004E082A">
      <w:pPr>
        <w:pStyle w:val="NormalAutoChapter"/>
      </w:pPr>
      <w:r>
        <w:t xml:space="preserve">The Act also enables the Guardianship Division of the NSW Civil and Administrative Tribunal (NCAT) to appoint a substitute decision-maker for someone without decision-making capacity. The </w:t>
      </w:r>
      <w:r w:rsidRPr="00DB15D6">
        <w:rPr>
          <w:rFonts w:eastAsia="HelveticaCYPlain"/>
          <w:lang w:eastAsia="en-AU"/>
        </w:rPr>
        <w:t>NCAT</w:t>
      </w:r>
      <w:r>
        <w:t xml:space="preserve"> is unlikely to appoint a substitute decision-maker if informal arrangements, such as family members making decisions on behalf of a person with impaired capacity, appear to be operating successfully.</w:t>
      </w:r>
    </w:p>
    <w:p w:rsidR="004E082A" w:rsidRDefault="004E082A" w:rsidP="004E082A">
      <w:pPr>
        <w:pStyle w:val="NormalAutoChapter"/>
      </w:pPr>
      <w:r>
        <w:t xml:space="preserve">In addition, the Act identifies the “person responsible” for making decisions about someone’s medical and dental treatment if that person is incapable of making the decision for </w:t>
      </w:r>
      <w:proofErr w:type="gramStart"/>
      <w:r>
        <w:t>themselves</w:t>
      </w:r>
      <w:proofErr w:type="gramEnd"/>
      <w:r>
        <w:t>.</w:t>
      </w:r>
    </w:p>
    <w:p w:rsidR="004E082A" w:rsidRDefault="004E082A" w:rsidP="004E082A">
      <w:pPr>
        <w:pStyle w:val="NormalAutoChapter"/>
      </w:pPr>
      <w:r>
        <w:rPr>
          <w:rFonts w:eastAsia="HelveticaCYPlain"/>
          <w:lang w:eastAsia="en-AU"/>
        </w:rPr>
        <w:t xml:space="preserve">The </w:t>
      </w:r>
      <w:r w:rsidRPr="00D46372">
        <w:rPr>
          <w:rFonts w:eastAsia="HelveticaCYPlain"/>
          <w:lang w:eastAsia="en-AU"/>
        </w:rPr>
        <w:t xml:space="preserve">Act </w:t>
      </w:r>
      <w:r>
        <w:rPr>
          <w:rFonts w:eastAsia="HelveticaCYPlain"/>
          <w:lang w:eastAsia="en-AU"/>
        </w:rPr>
        <w:t xml:space="preserve">is one of a number of NSW statutes that provide for the appointment of substitute decision-makers. Others include the </w:t>
      </w:r>
      <w:r w:rsidRPr="00DC266F">
        <w:rPr>
          <w:rFonts w:eastAsia="HelveticaCYPlain"/>
          <w:i/>
          <w:lang w:eastAsia="en-AU"/>
        </w:rPr>
        <w:t>NSW Trustee and Guardian Act 2009</w:t>
      </w:r>
      <w:r>
        <w:rPr>
          <w:rFonts w:eastAsia="HelveticaCYPlain"/>
          <w:lang w:eastAsia="en-AU"/>
        </w:rPr>
        <w:t xml:space="preserve"> (NSW), the </w:t>
      </w:r>
      <w:r w:rsidRPr="00DC266F">
        <w:rPr>
          <w:rFonts w:eastAsia="HelveticaCYPlain"/>
          <w:i/>
          <w:lang w:eastAsia="en-AU"/>
        </w:rPr>
        <w:t>Powers of Attorney Act 2003</w:t>
      </w:r>
      <w:r>
        <w:rPr>
          <w:rFonts w:eastAsia="HelveticaCYPlain"/>
          <w:lang w:eastAsia="en-AU"/>
        </w:rPr>
        <w:t xml:space="preserve"> (NSW) and the </w:t>
      </w:r>
      <w:r w:rsidRPr="00DC266F">
        <w:rPr>
          <w:rFonts w:eastAsia="HelveticaCYPlain"/>
          <w:i/>
          <w:lang w:eastAsia="en-AU"/>
        </w:rPr>
        <w:t>Mental Health Act 2007</w:t>
      </w:r>
      <w:r>
        <w:rPr>
          <w:rFonts w:eastAsia="HelveticaCYPlain"/>
          <w:lang w:eastAsia="en-AU"/>
        </w:rPr>
        <w:t xml:space="preserve"> (NSW). </w:t>
      </w:r>
    </w:p>
    <w:p w:rsidR="004E082A" w:rsidRDefault="004E082A" w:rsidP="004E082A">
      <w:pPr>
        <w:pStyle w:val="Heading1"/>
      </w:pPr>
      <w:bookmarkStart w:id="41" w:name="_Toc454198801"/>
      <w:bookmarkStart w:id="42" w:name="_Toc454202776"/>
      <w:r>
        <w:t xml:space="preserve">History of the </w:t>
      </w:r>
      <w:r w:rsidRPr="003F0E40">
        <w:t>Act</w:t>
      </w:r>
      <w:bookmarkEnd w:id="41"/>
      <w:bookmarkEnd w:id="42"/>
    </w:p>
    <w:p w:rsidR="004E082A" w:rsidRDefault="004E082A" w:rsidP="004E082A">
      <w:pPr>
        <w:pStyle w:val="NormalAutoChapter"/>
      </w:pPr>
      <w:r>
        <w:t>The Act</w:t>
      </w:r>
      <w:r w:rsidRPr="00DC266F">
        <w:rPr>
          <w:i/>
        </w:rPr>
        <w:t xml:space="preserve"> </w:t>
      </w:r>
      <w:r>
        <w:t xml:space="preserve">developed out of concern with the limited legal mechanisms that existed for protecting and promoting the rights of people with intellectual disabilities. Prior to the Act’s introduction, guardianship matters were chiefly dealt with by the Supreme Court. The model NSW chose to adopt </w:t>
      </w:r>
      <w:proofErr w:type="gramStart"/>
      <w:r>
        <w:t>was influenced</w:t>
      </w:r>
      <w:proofErr w:type="gramEnd"/>
      <w:r>
        <w:t xml:space="preserve"> by equivalent Victorian legislation that came into force in 1987.</w:t>
      </w:r>
      <w:r>
        <w:rPr>
          <w:rStyle w:val="FootnoteReference"/>
        </w:rPr>
        <w:footnoteReference w:id="2"/>
      </w:r>
      <w:r>
        <w:t xml:space="preserve"> The new legislation reflected the growing understanding among policy makers and the public of the different causes of decision-making disabilities and the different needs of people who had these disabilities. There was also a greater awareness of the rights of people with a disability to live as normal lives as possible in the community rather than in an institution.</w:t>
      </w:r>
      <w:r>
        <w:rPr>
          <w:rStyle w:val="FootnoteReference"/>
        </w:rPr>
        <w:footnoteReference w:id="3"/>
      </w:r>
    </w:p>
    <w:p w:rsidR="004E082A" w:rsidRDefault="004E082A" w:rsidP="004E082A">
      <w:pPr>
        <w:pStyle w:val="NormalAutoChapter"/>
      </w:pPr>
      <w:r>
        <w:t>The defining features of the new regime</w:t>
      </w:r>
      <w:r w:rsidRPr="00B94D78">
        <w:rPr>
          <w:i/>
        </w:rPr>
        <w:t xml:space="preserve"> </w:t>
      </w:r>
      <w:r>
        <w:t>included:</w:t>
      </w:r>
    </w:p>
    <w:p w:rsidR="004E082A" w:rsidRDefault="004E082A" w:rsidP="004E082A">
      <w:pPr>
        <w:pStyle w:val="Normalbullet"/>
      </w:pPr>
      <w:r>
        <w:lastRenderedPageBreak/>
        <w:t>The establishment of a multi-disciplinary tribunal, named the Guardianship Board, whose function was to issue guardianship and other orders in respect of a person with a disability.</w:t>
      </w:r>
    </w:p>
    <w:p w:rsidR="004E082A" w:rsidRDefault="004E082A" w:rsidP="004E082A">
      <w:pPr>
        <w:pStyle w:val="Normalbullet"/>
      </w:pPr>
      <w:r>
        <w:t>The establishment of the Office of the Public Guardian, which performed certain guardianship functions for people with disabilities who did not have any other person to act as guardian. The Protective Commissioner held the position of Public Guardian.</w:t>
      </w:r>
    </w:p>
    <w:p w:rsidR="004E082A" w:rsidRDefault="004E082A" w:rsidP="004E082A">
      <w:pPr>
        <w:pStyle w:val="Normalbullet"/>
      </w:pPr>
      <w:r>
        <w:t>The Supreme Court retained its powers to issue financial management orders. The Guardianship Board could also make a financial order, but only if the applicant applied for a guardianship order at the same time.</w:t>
      </w:r>
      <w:r>
        <w:rPr>
          <w:rStyle w:val="FootnoteReference"/>
        </w:rPr>
        <w:footnoteReference w:id="4"/>
      </w:r>
    </w:p>
    <w:p w:rsidR="004E082A" w:rsidRPr="007A21CE" w:rsidRDefault="004E082A" w:rsidP="004E082A">
      <w:pPr>
        <w:pStyle w:val="NormalAutoChapter"/>
      </w:pPr>
      <w:r>
        <w:t xml:space="preserve">In 1993 the </w:t>
      </w:r>
      <w:r w:rsidRPr="00EB4071">
        <w:rPr>
          <w:i/>
        </w:rPr>
        <w:t>Disability Services and Guardianship Act 1987</w:t>
      </w:r>
      <w:r>
        <w:t xml:space="preserve"> was renamed the </w:t>
      </w:r>
      <w:r w:rsidRPr="00EB4071">
        <w:rPr>
          <w:i/>
        </w:rPr>
        <w:t>Guardianship Act</w:t>
      </w:r>
      <w:r>
        <w:rPr>
          <w:i/>
        </w:rPr>
        <w:t xml:space="preserve"> 1987. </w:t>
      </w:r>
      <w:r>
        <w:t xml:space="preserve">In </w:t>
      </w:r>
      <w:proofErr w:type="gramStart"/>
      <w:r>
        <w:t>1998</w:t>
      </w:r>
      <w:proofErr w:type="gramEnd"/>
      <w:r>
        <w:t xml:space="preserve"> the Guardianship Board became the Guardianship Tribunal, which in 2013 became the Guardianship Division of NCAT. In 1999 </w:t>
      </w:r>
      <w:proofErr w:type="gramStart"/>
      <w:r>
        <w:t>the Protective Commissioner and Public Trustee were replaced by a statutory corporation, the NSW Trustee and Guardian</w:t>
      </w:r>
      <w:proofErr w:type="gramEnd"/>
      <w:r>
        <w:t>.</w:t>
      </w:r>
      <w:r w:rsidR="001D14C5">
        <w:t xml:space="preserve"> The Public Guardian is a statutory office within that corporation.</w:t>
      </w:r>
    </w:p>
    <w:p w:rsidR="004E082A" w:rsidRDefault="004E082A" w:rsidP="004E082A">
      <w:pPr>
        <w:pStyle w:val="Heading1"/>
      </w:pPr>
      <w:bookmarkStart w:id="43" w:name="_Toc454198802"/>
      <w:bookmarkStart w:id="44" w:name="_Toc454202777"/>
      <w:r>
        <w:t>Legislative overview</w:t>
      </w:r>
      <w:bookmarkEnd w:id="43"/>
      <w:bookmarkEnd w:id="44"/>
    </w:p>
    <w:p w:rsidR="004E082A" w:rsidRDefault="004E082A" w:rsidP="004E082A">
      <w:pPr>
        <w:pStyle w:val="NormalAutoChapter"/>
      </w:pPr>
      <w:r>
        <w:t xml:space="preserve">Below we outline the key provisions of the </w:t>
      </w:r>
      <w:r w:rsidRPr="00DC266F">
        <w:rPr>
          <w:i/>
        </w:rPr>
        <w:t>Guardianship Act 1987</w:t>
      </w:r>
      <w:r>
        <w:t xml:space="preserve"> (NSW).</w:t>
      </w:r>
    </w:p>
    <w:p w:rsidR="004E082A" w:rsidRDefault="004E082A" w:rsidP="0087265C">
      <w:pPr>
        <w:pStyle w:val="Heading2"/>
      </w:pPr>
      <w:bookmarkStart w:id="45" w:name="_Toc454198803"/>
      <w:bookmarkStart w:id="46" w:name="_Toc454202778"/>
      <w:r>
        <w:t>General principles (section 4)</w:t>
      </w:r>
      <w:bookmarkEnd w:id="45"/>
      <w:bookmarkEnd w:id="46"/>
    </w:p>
    <w:p w:rsidR="004E082A" w:rsidRDefault="004E082A" w:rsidP="004E082A">
      <w:pPr>
        <w:pStyle w:val="Quotationnormal"/>
      </w:pPr>
      <w:proofErr w:type="gramStart"/>
      <w:r>
        <w:t>It is the duty of everyone exercising functions under this Act with respect to persons who have disabilities to observe the following principles:</w:t>
      </w:r>
      <w:proofErr w:type="gramEnd"/>
    </w:p>
    <w:p w:rsidR="004E082A" w:rsidRDefault="004E082A" w:rsidP="004E082A">
      <w:pPr>
        <w:pStyle w:val="Quotation1hanging"/>
      </w:pPr>
      <w:r>
        <w:t>(a)</w:t>
      </w:r>
      <w:r>
        <w:tab/>
      </w:r>
      <w:proofErr w:type="gramStart"/>
      <w:r>
        <w:t>the</w:t>
      </w:r>
      <w:proofErr w:type="gramEnd"/>
      <w:r>
        <w:t xml:space="preserve"> welfare and interests of such persons should be given paramount consideration,</w:t>
      </w:r>
    </w:p>
    <w:p w:rsidR="004E082A" w:rsidRDefault="004E082A" w:rsidP="004E082A">
      <w:pPr>
        <w:pStyle w:val="Quotation1hanging"/>
      </w:pPr>
      <w:r>
        <w:t>(b)</w:t>
      </w:r>
      <w:r>
        <w:tab/>
      </w:r>
      <w:proofErr w:type="gramStart"/>
      <w:r>
        <w:t>the</w:t>
      </w:r>
      <w:proofErr w:type="gramEnd"/>
      <w:r>
        <w:t xml:space="preserve"> freedom of decision and freedom of action of such persons should be restricted as little as possible,</w:t>
      </w:r>
    </w:p>
    <w:p w:rsidR="004E082A" w:rsidRDefault="004E082A" w:rsidP="004E082A">
      <w:pPr>
        <w:pStyle w:val="Quotation1hanging"/>
      </w:pPr>
      <w:r>
        <w:t>(c)</w:t>
      </w:r>
      <w:r>
        <w:tab/>
      </w:r>
      <w:proofErr w:type="gramStart"/>
      <w:r>
        <w:t>such</w:t>
      </w:r>
      <w:proofErr w:type="gramEnd"/>
      <w:r>
        <w:t xml:space="preserve"> persons should be encouraged, as far as possible, to live a normal life in the community,</w:t>
      </w:r>
    </w:p>
    <w:p w:rsidR="004E082A" w:rsidRDefault="004E082A" w:rsidP="004E082A">
      <w:pPr>
        <w:pStyle w:val="Quotation1hanging"/>
      </w:pPr>
      <w:r>
        <w:t>(d)</w:t>
      </w:r>
      <w:r>
        <w:tab/>
      </w:r>
      <w:proofErr w:type="gramStart"/>
      <w:r>
        <w:t>the</w:t>
      </w:r>
      <w:proofErr w:type="gramEnd"/>
      <w:r>
        <w:t xml:space="preserve"> views of such persons in relation to the exercise of those functions should be taken into consideration,</w:t>
      </w:r>
    </w:p>
    <w:p w:rsidR="004E082A" w:rsidRDefault="004E082A" w:rsidP="004E082A">
      <w:pPr>
        <w:pStyle w:val="Quotation1hanging"/>
      </w:pPr>
      <w:r>
        <w:t>(e)</w:t>
      </w:r>
      <w:r>
        <w:tab/>
      </w:r>
      <w:proofErr w:type="gramStart"/>
      <w:r>
        <w:t>the</w:t>
      </w:r>
      <w:proofErr w:type="gramEnd"/>
      <w:r>
        <w:t xml:space="preserve"> importance of preserving the family relationships and the cultural and linguistic environments of such persons should be recognised,</w:t>
      </w:r>
    </w:p>
    <w:p w:rsidR="004E082A" w:rsidRDefault="004E082A" w:rsidP="004E082A">
      <w:pPr>
        <w:pStyle w:val="Quotation1hanging"/>
      </w:pPr>
      <w:r>
        <w:t>(f)</w:t>
      </w:r>
      <w:r>
        <w:tab/>
      </w:r>
      <w:proofErr w:type="gramStart"/>
      <w:r>
        <w:t>such</w:t>
      </w:r>
      <w:proofErr w:type="gramEnd"/>
      <w:r>
        <w:t xml:space="preserve"> persons should be encouraged, as far as possible, to be self-reliant in matters relating to their personal, domestic and financial affairs,</w:t>
      </w:r>
    </w:p>
    <w:p w:rsidR="004E082A" w:rsidRDefault="004E082A" w:rsidP="004E082A">
      <w:pPr>
        <w:pStyle w:val="Quotation1hanging"/>
      </w:pPr>
      <w:r>
        <w:t>(g)</w:t>
      </w:r>
      <w:r>
        <w:tab/>
      </w:r>
      <w:proofErr w:type="gramStart"/>
      <w:r>
        <w:t>such</w:t>
      </w:r>
      <w:proofErr w:type="gramEnd"/>
      <w:r>
        <w:t xml:space="preserve"> persons should be protected from neglect, abuse and exploitation,</w:t>
      </w:r>
    </w:p>
    <w:p w:rsidR="004E082A" w:rsidRPr="00B559A6" w:rsidRDefault="004E082A" w:rsidP="004E082A">
      <w:pPr>
        <w:pStyle w:val="Quotation1hanging"/>
      </w:pPr>
      <w:r>
        <w:t>(h)</w:t>
      </w:r>
      <w:r>
        <w:tab/>
      </w:r>
      <w:proofErr w:type="gramStart"/>
      <w:r>
        <w:t>the</w:t>
      </w:r>
      <w:proofErr w:type="gramEnd"/>
      <w:r>
        <w:t xml:space="preserve"> community should be encouraged to apply and promote these principles.</w:t>
      </w:r>
    </w:p>
    <w:p w:rsidR="004E082A" w:rsidRDefault="004E082A" w:rsidP="0087265C">
      <w:pPr>
        <w:pStyle w:val="Heading2"/>
      </w:pPr>
      <w:bookmarkStart w:id="47" w:name="_Toc454198804"/>
      <w:bookmarkStart w:id="48" w:name="_Toc454202779"/>
      <w:r>
        <w:lastRenderedPageBreak/>
        <w:t>Enduring guardians (Part 2)</w:t>
      </w:r>
      <w:bookmarkEnd w:id="47"/>
      <w:bookmarkEnd w:id="48"/>
    </w:p>
    <w:p w:rsidR="004E082A" w:rsidRPr="00B157E0" w:rsidRDefault="004E082A" w:rsidP="004E082A">
      <w:pPr>
        <w:pStyle w:val="NormalAutoChapter"/>
      </w:pPr>
      <w:r>
        <w:rPr>
          <w:shd w:val="clear" w:color="auto" w:fill="FFFFFF"/>
        </w:rPr>
        <w:t xml:space="preserve">A person who is 18 years or older with the mental capacity to do so may appoint another adult (or adults) to make personal decisions for them when they lose the capacity to make those decisions for themselves. These people are called enduring guardians. </w:t>
      </w:r>
    </w:p>
    <w:p w:rsidR="004E082A" w:rsidRDefault="004E082A" w:rsidP="004E082A">
      <w:pPr>
        <w:pStyle w:val="NormalAutoChapter"/>
      </w:pPr>
      <w:r>
        <w:t>An enduring guardian can make any lifestyle and health decisions that the appointer has approved them to make, such as deciding where the appointer will live; what health care and personal services they will receive; and giving consent to medical or dental treatment.</w:t>
      </w:r>
      <w:r>
        <w:rPr>
          <w:rStyle w:val="FootnoteReference"/>
        </w:rPr>
        <w:footnoteReference w:id="5"/>
      </w:r>
      <w:r>
        <w:t xml:space="preserve"> This is different from the role of someone with general or enduring powers of attorney, </w:t>
      </w:r>
      <w:proofErr w:type="gramStart"/>
      <w:r>
        <w:t>who</w:t>
      </w:r>
      <w:proofErr w:type="gramEnd"/>
      <w:r>
        <w:t xml:space="preserve"> has the authority to manage an appointer’s legal and financial </w:t>
      </w:r>
      <w:r w:rsidRPr="001C53DE">
        <w:t>affairs</w:t>
      </w:r>
      <w:r>
        <w:t>.</w:t>
      </w:r>
      <w:r>
        <w:rPr>
          <w:rStyle w:val="FootnoteReference"/>
        </w:rPr>
        <w:footnoteReference w:id="6"/>
      </w:r>
    </w:p>
    <w:p w:rsidR="004E082A" w:rsidRDefault="004E082A" w:rsidP="004E082A">
      <w:pPr>
        <w:pStyle w:val="NormalAutoChapter"/>
      </w:pPr>
      <w:r w:rsidRPr="001C53DE">
        <w:rPr>
          <w:shd w:val="clear" w:color="auto" w:fill="FFFFFF"/>
        </w:rPr>
        <w:t xml:space="preserve">The </w:t>
      </w:r>
      <w:r>
        <w:rPr>
          <w:shd w:val="clear" w:color="auto" w:fill="FFFFFF"/>
        </w:rPr>
        <w:t xml:space="preserve">Act </w:t>
      </w:r>
      <w:r w:rsidRPr="001C53DE">
        <w:rPr>
          <w:shd w:val="clear" w:color="auto" w:fill="FFFFFF"/>
        </w:rPr>
        <w:t>provides mechanisms for enduring guardians to resign their office</w:t>
      </w:r>
      <w:r>
        <w:rPr>
          <w:rStyle w:val="FootnoteReference"/>
          <w:shd w:val="clear" w:color="auto" w:fill="FFFFFF"/>
        </w:rPr>
        <w:footnoteReference w:id="7"/>
      </w:r>
      <w:r>
        <w:rPr>
          <w:shd w:val="clear" w:color="auto" w:fill="FFFFFF"/>
        </w:rPr>
        <w:t xml:space="preserve"> </w:t>
      </w:r>
      <w:r w:rsidRPr="001C53DE">
        <w:rPr>
          <w:shd w:val="clear" w:color="auto" w:fill="FFFFFF"/>
        </w:rPr>
        <w:t xml:space="preserve">and for NCAT to review and revoke </w:t>
      </w:r>
      <w:r>
        <w:t>the appointment of an enduring guardian if satisfied that it is in the best interests of the person who appointed them.</w:t>
      </w:r>
      <w:r>
        <w:rPr>
          <w:rStyle w:val="FootnoteReference"/>
        </w:rPr>
        <w:footnoteReference w:id="8"/>
      </w:r>
    </w:p>
    <w:p w:rsidR="004E082A" w:rsidRDefault="004E082A" w:rsidP="0087265C">
      <w:pPr>
        <w:pStyle w:val="Heading2"/>
      </w:pPr>
      <w:bookmarkStart w:id="49" w:name="_Toc454198805"/>
      <w:bookmarkStart w:id="50" w:name="_Toc454202780"/>
      <w:r>
        <w:t>Guardianship orders (Part 3)</w:t>
      </w:r>
      <w:bookmarkEnd w:id="49"/>
      <w:bookmarkEnd w:id="50"/>
    </w:p>
    <w:p w:rsidR="004E082A" w:rsidRDefault="004E082A" w:rsidP="004E082A">
      <w:pPr>
        <w:pStyle w:val="NormalAutoChapter"/>
      </w:pPr>
      <w:r>
        <w:rPr>
          <w:shd w:val="clear" w:color="auto" w:fill="FFFFFF"/>
        </w:rPr>
        <w:t>One of the key roles of the Guardianship Division of NCAT is to make guardianship orders for people who are 16 years of age or older.</w:t>
      </w:r>
      <w:r>
        <w:rPr>
          <w:rStyle w:val="FootnoteReference"/>
          <w:shd w:val="clear" w:color="auto" w:fill="FFFFFF"/>
        </w:rPr>
        <w:footnoteReference w:id="9"/>
      </w:r>
      <w:r>
        <w:t xml:space="preserve"> </w:t>
      </w:r>
    </w:p>
    <w:p w:rsidR="004E082A" w:rsidRPr="00DC266F" w:rsidRDefault="004E082A" w:rsidP="004E082A">
      <w:pPr>
        <w:pStyle w:val="NormalAutoChapter"/>
      </w:pPr>
      <w:r w:rsidRPr="003B3D8E">
        <w:rPr>
          <w:shd w:val="clear" w:color="auto" w:fill="FFFFFF"/>
        </w:rPr>
        <w:t xml:space="preserve">Three categories of people can apply for an order: </w:t>
      </w:r>
    </w:p>
    <w:p w:rsidR="004E082A" w:rsidRPr="00DC266F" w:rsidRDefault="004E082A" w:rsidP="004E082A">
      <w:pPr>
        <w:pStyle w:val="Normalbullet"/>
        <w:rPr>
          <w:rStyle w:val="apple-converted-space"/>
        </w:rPr>
      </w:pPr>
      <w:r w:rsidRPr="003B3D8E">
        <w:rPr>
          <w:shd w:val="clear" w:color="auto" w:fill="FFFFFF"/>
        </w:rPr>
        <w:t>the person that the order will relate to</w:t>
      </w:r>
      <w:r>
        <w:rPr>
          <w:shd w:val="clear" w:color="auto" w:fill="FFFFFF"/>
        </w:rPr>
        <w:t xml:space="preserve"> </w:t>
      </w:r>
    </w:p>
    <w:p w:rsidR="004E082A" w:rsidRPr="00DC266F" w:rsidRDefault="004E082A" w:rsidP="004E082A">
      <w:pPr>
        <w:pStyle w:val="Normalbullet"/>
        <w:rPr>
          <w:rStyle w:val="apple-converted-space"/>
        </w:rPr>
      </w:pPr>
      <w:r w:rsidRPr="003B3D8E">
        <w:rPr>
          <w:shd w:val="clear" w:color="auto" w:fill="FFFFFF"/>
        </w:rPr>
        <w:t>the Public Guardian</w:t>
      </w:r>
      <w:r>
        <w:rPr>
          <w:shd w:val="clear" w:color="auto" w:fill="FFFFFF"/>
        </w:rPr>
        <w:t xml:space="preserve"> </w:t>
      </w:r>
      <w:r w:rsidRPr="003B3D8E">
        <w:rPr>
          <w:shd w:val="clear" w:color="auto" w:fill="FFFFFF"/>
        </w:rPr>
        <w:t>(who will generally only make an application as a last resort when no one else will)</w:t>
      </w:r>
      <w:r>
        <w:rPr>
          <w:shd w:val="clear" w:color="auto" w:fill="FFFFFF"/>
        </w:rPr>
        <w:t>,</w:t>
      </w:r>
      <w:r w:rsidRPr="003B3D8E">
        <w:rPr>
          <w:shd w:val="clear" w:color="auto" w:fill="FFFFFF"/>
        </w:rPr>
        <w:t xml:space="preserve"> and</w:t>
      </w:r>
    </w:p>
    <w:p w:rsidR="004E082A" w:rsidRPr="00DC266F" w:rsidRDefault="004E082A" w:rsidP="004E082A">
      <w:pPr>
        <w:pStyle w:val="Normalbullet"/>
      </w:pPr>
      <w:proofErr w:type="gramStart"/>
      <w:r w:rsidRPr="003B3D8E">
        <w:rPr>
          <w:shd w:val="clear" w:color="auto" w:fill="FFFFFF"/>
        </w:rPr>
        <w:t>any</w:t>
      </w:r>
      <w:proofErr w:type="gramEnd"/>
      <w:r w:rsidRPr="003B3D8E">
        <w:rPr>
          <w:shd w:val="clear" w:color="auto" w:fill="FFFFFF"/>
        </w:rPr>
        <w:t xml:space="preserve"> other person who, in the opinion of the Tribunal, has a genuine concern for the welfare of a person</w:t>
      </w:r>
      <w:r>
        <w:rPr>
          <w:shd w:val="clear" w:color="auto" w:fill="FFFFFF"/>
        </w:rPr>
        <w:t>.</w:t>
      </w:r>
      <w:r>
        <w:rPr>
          <w:rStyle w:val="FootnoteReference"/>
          <w:shd w:val="clear" w:color="auto" w:fill="FFFFFF"/>
        </w:rPr>
        <w:footnoteReference w:id="10"/>
      </w:r>
      <w:r w:rsidRPr="003B3D8E">
        <w:rPr>
          <w:shd w:val="clear" w:color="auto" w:fill="FFFFFF"/>
        </w:rPr>
        <w:t xml:space="preserve"> </w:t>
      </w:r>
    </w:p>
    <w:p w:rsidR="004E082A" w:rsidRPr="00623ACD" w:rsidRDefault="004E082A" w:rsidP="004E082A">
      <w:pPr>
        <w:pStyle w:val="NormalText"/>
      </w:pPr>
      <w:r w:rsidRPr="003B3D8E">
        <w:rPr>
          <w:shd w:val="clear" w:color="auto" w:fill="FFFFFF"/>
        </w:rPr>
        <w:t xml:space="preserve">In </w:t>
      </w:r>
      <w:r>
        <w:rPr>
          <w:shd w:val="clear" w:color="auto" w:fill="FFFFFF"/>
        </w:rPr>
        <w:t>practice,</w:t>
      </w:r>
      <w:r w:rsidRPr="003B3D8E">
        <w:rPr>
          <w:shd w:val="clear" w:color="auto" w:fill="FFFFFF"/>
        </w:rPr>
        <w:t xml:space="preserve"> most applications </w:t>
      </w:r>
      <w:proofErr w:type="gramStart"/>
      <w:r w:rsidRPr="003B3D8E">
        <w:rPr>
          <w:shd w:val="clear" w:color="auto" w:fill="FFFFFF"/>
        </w:rPr>
        <w:t>are made</w:t>
      </w:r>
      <w:proofErr w:type="gramEnd"/>
      <w:r w:rsidRPr="003B3D8E">
        <w:rPr>
          <w:shd w:val="clear" w:color="auto" w:fill="FFFFFF"/>
        </w:rPr>
        <w:t xml:space="preserve"> by family members or by those who have a profession</w:t>
      </w:r>
      <w:r>
        <w:rPr>
          <w:shd w:val="clear" w:color="auto" w:fill="FFFFFF"/>
        </w:rPr>
        <w:t xml:space="preserve">al relationship with the person; for example </w:t>
      </w:r>
      <w:r w:rsidRPr="003B3D8E">
        <w:rPr>
          <w:shd w:val="clear" w:color="auto" w:fill="FFFFFF"/>
        </w:rPr>
        <w:t>their general practitioner</w:t>
      </w:r>
      <w:r>
        <w:rPr>
          <w:shd w:val="clear" w:color="auto" w:fill="FFFFFF"/>
        </w:rPr>
        <w:t xml:space="preserve"> or aged care provider.</w:t>
      </w:r>
      <w:r>
        <w:rPr>
          <w:rStyle w:val="FootnoteReference"/>
          <w:shd w:val="clear" w:color="auto" w:fill="FFFFFF"/>
        </w:rPr>
        <w:footnoteReference w:id="11"/>
      </w:r>
    </w:p>
    <w:p w:rsidR="004E082A" w:rsidRPr="009466F3" w:rsidRDefault="004E082A" w:rsidP="004E082A">
      <w:pPr>
        <w:pStyle w:val="NormalAutoChapter"/>
        <w:rPr>
          <w:rStyle w:val="apple-converted-space"/>
        </w:rPr>
      </w:pPr>
      <w:r>
        <w:t>Before NCAT makes a guardianship order, it must be satisfied that the person the application is about is “a person in need of a guardian”, meaning someone who “because of a disability, is totally or partially incapable of managing his or her person”.</w:t>
      </w:r>
      <w:r>
        <w:rPr>
          <w:rStyle w:val="FootnoteReference"/>
        </w:rPr>
        <w:footnoteReference w:id="12"/>
      </w:r>
    </w:p>
    <w:p w:rsidR="004E082A" w:rsidRDefault="004E082A" w:rsidP="004E082A">
      <w:pPr>
        <w:pStyle w:val="NormalAutoChapter"/>
      </w:pPr>
      <w:r>
        <w:t xml:space="preserve">The Act defines “a person who has a disability” to mean a person who is intellectually, physically, psychologically or </w:t>
      </w:r>
      <w:proofErr w:type="spellStart"/>
      <w:r>
        <w:t>sensorily</w:t>
      </w:r>
      <w:proofErr w:type="spellEnd"/>
      <w:r>
        <w:t xml:space="preserve"> disabled, or of advanced age, or mentally ill, or otherwise disabled; and who by virtue of that fact, is “restricted in </w:t>
      </w:r>
      <w:r>
        <w:lastRenderedPageBreak/>
        <w:t xml:space="preserve">one or more major life activities to such an extent that he or she requires supervision or social </w:t>
      </w:r>
      <w:proofErr w:type="spellStart"/>
      <w:r>
        <w:t>habilitation</w:t>
      </w:r>
      <w:proofErr w:type="spellEnd"/>
      <w:r>
        <w:t>”.</w:t>
      </w:r>
      <w:r>
        <w:rPr>
          <w:rStyle w:val="FootnoteReference"/>
        </w:rPr>
        <w:footnoteReference w:id="13"/>
      </w:r>
      <w:r>
        <w:t xml:space="preserve"> </w:t>
      </w:r>
    </w:p>
    <w:p w:rsidR="004E082A" w:rsidRDefault="004E082A" w:rsidP="004E082A">
      <w:pPr>
        <w:pStyle w:val="NormalAutoChapter"/>
      </w:pPr>
      <w:r>
        <w:t xml:space="preserve">Once these criteria </w:t>
      </w:r>
      <w:proofErr w:type="gramStart"/>
      <w:r>
        <w:t>have been met</w:t>
      </w:r>
      <w:proofErr w:type="gramEnd"/>
      <w:r>
        <w:t>, NCAT must consider a number of other factors before making an order, including the views of the person in need of a guardian and their spouse or carer.</w:t>
      </w:r>
      <w:r>
        <w:rPr>
          <w:rStyle w:val="FootnoteReference"/>
        </w:rPr>
        <w:footnoteReference w:id="14"/>
      </w:r>
      <w:bookmarkStart w:id="51" w:name="pt_3_div_3_sec_14"/>
      <w:bookmarkEnd w:id="51"/>
    </w:p>
    <w:p w:rsidR="004E082A" w:rsidRPr="00FB18B2" w:rsidRDefault="004E082A" w:rsidP="004E082A">
      <w:pPr>
        <w:pStyle w:val="NormalAutoChapter"/>
        <w:rPr>
          <w:color w:val="000000"/>
          <w:sz w:val="27"/>
          <w:szCs w:val="27"/>
        </w:rPr>
      </w:pPr>
      <w:r>
        <w:t>NCAT can appoint either a private person or the Public Guardian as a person’s guardian, and regularly appoints family members to the role. While the Act makes it clear that the Public Guardian is the guardian of last resort,</w:t>
      </w:r>
      <w:r>
        <w:rPr>
          <w:rStyle w:val="FootnoteReference"/>
        </w:rPr>
        <w:footnoteReference w:id="15"/>
      </w:r>
      <w:r>
        <w:t xml:space="preserve"> the Public Guardian is the guardian for the majority of people under guardianship in NSW.</w:t>
      </w:r>
      <w:r>
        <w:rPr>
          <w:rStyle w:val="FootnoteReference"/>
        </w:rPr>
        <w:footnoteReference w:id="16"/>
      </w:r>
      <w:r>
        <w:t xml:space="preserve"> One reason for this is that a major factor in whether a person </w:t>
      </w:r>
      <w:proofErr w:type="gramStart"/>
      <w:r>
        <w:t>is defined</w:t>
      </w:r>
      <w:proofErr w:type="gramEnd"/>
      <w:r>
        <w:t xml:space="preserve"> as a “person in need of a guardian” is whether they have family members or someone else in their life willing to assist them.</w:t>
      </w:r>
      <w:r>
        <w:rPr>
          <w:rStyle w:val="FootnoteReference"/>
        </w:rPr>
        <w:footnoteReference w:id="17"/>
      </w:r>
      <w:r>
        <w:t xml:space="preserve"> </w:t>
      </w:r>
    </w:p>
    <w:p w:rsidR="004E082A" w:rsidRPr="00C821AA" w:rsidRDefault="004E082A" w:rsidP="004E082A">
      <w:pPr>
        <w:pStyle w:val="NormalAutoChapter"/>
        <w:rPr>
          <w:color w:val="000000"/>
          <w:sz w:val="27"/>
          <w:szCs w:val="27"/>
        </w:rPr>
      </w:pPr>
      <w:r>
        <w:t>Guardianship orders can be c</w:t>
      </w:r>
      <w:r>
        <w:rPr>
          <w:lang w:eastAsia="en-AU"/>
        </w:rPr>
        <w:t>ontinuing, n</w:t>
      </w:r>
      <w:r w:rsidRPr="003D431C">
        <w:rPr>
          <w:lang w:eastAsia="en-AU"/>
        </w:rPr>
        <w:t xml:space="preserve">on-reviewable </w:t>
      </w:r>
      <w:bookmarkStart w:id="52" w:name="pt_3_div_3_sec_16"/>
      <w:bookmarkEnd w:id="52"/>
      <w:r>
        <w:rPr>
          <w:lang w:eastAsia="en-AU"/>
        </w:rPr>
        <w:t xml:space="preserve">or temporary. NCAT reviews </w:t>
      </w:r>
      <w:r>
        <w:rPr>
          <w:shd w:val="clear" w:color="auto" w:fill="FFFFFF"/>
        </w:rPr>
        <w:t>a</w:t>
      </w:r>
      <w:r w:rsidRPr="00C821AA">
        <w:rPr>
          <w:shd w:val="clear" w:color="auto" w:fill="FFFFFF"/>
        </w:rPr>
        <w:t xml:space="preserve">ll continuing orders towards the end of the period they </w:t>
      </w:r>
      <w:proofErr w:type="gramStart"/>
      <w:r w:rsidRPr="00C821AA">
        <w:rPr>
          <w:shd w:val="clear" w:color="auto" w:fill="FFFFFF"/>
        </w:rPr>
        <w:t>are made for</w:t>
      </w:r>
      <w:r>
        <w:rPr>
          <w:shd w:val="clear" w:color="auto" w:fill="FFFFFF"/>
        </w:rPr>
        <w:t>,</w:t>
      </w:r>
      <w:proofErr w:type="gramEnd"/>
      <w:r>
        <w:rPr>
          <w:shd w:val="clear" w:color="auto" w:fill="FFFFFF"/>
        </w:rPr>
        <w:t xml:space="preserve"> and anyone </w:t>
      </w:r>
      <w:r w:rsidRPr="00C821AA">
        <w:rPr>
          <w:shd w:val="clear" w:color="auto" w:fill="FFFFFF"/>
        </w:rPr>
        <w:t>may request a review.</w:t>
      </w:r>
    </w:p>
    <w:p w:rsidR="004E082A" w:rsidRPr="004148F1" w:rsidRDefault="004E082A" w:rsidP="004E082A">
      <w:pPr>
        <w:pStyle w:val="NormalAutoChapter"/>
        <w:rPr>
          <w:rStyle w:val="apple-converted-space"/>
          <w:color w:val="000000"/>
          <w:sz w:val="27"/>
          <w:szCs w:val="27"/>
        </w:rPr>
      </w:pPr>
      <w:r>
        <w:t>Orders are either “plenary” or “limited”.</w:t>
      </w:r>
      <w:r>
        <w:rPr>
          <w:rStyle w:val="FootnoteReference"/>
        </w:rPr>
        <w:footnoteReference w:id="18"/>
      </w:r>
      <w:r>
        <w:t xml:space="preserve"> A plenary guardian has all the functions that a guardian has at law or in equity, while a limited guardian has one or more of the functions specified by the order.</w:t>
      </w:r>
      <w:r>
        <w:rPr>
          <w:rStyle w:val="FootnoteReference"/>
        </w:rPr>
        <w:footnoteReference w:id="19"/>
      </w:r>
      <w:r>
        <w:t xml:space="preserve"> </w:t>
      </w:r>
      <w:proofErr w:type="gramStart"/>
      <w:r>
        <w:t>Typically</w:t>
      </w:r>
      <w:proofErr w:type="gramEnd"/>
      <w:r>
        <w:t xml:space="preserve"> guardians are given the authority to make decisions about accommodation, healthcare, medical and dental treatment and the provision of services. </w:t>
      </w:r>
      <w:r>
        <w:rPr>
          <w:shd w:val="clear" w:color="auto" w:fill="FFFFFF"/>
        </w:rPr>
        <w:t>However, t</w:t>
      </w:r>
      <w:r w:rsidRPr="004148F1">
        <w:rPr>
          <w:shd w:val="clear" w:color="auto" w:fill="FFFFFF"/>
        </w:rPr>
        <w:t xml:space="preserve">here are certain areas of decision-making that are </w:t>
      </w:r>
      <w:r>
        <w:rPr>
          <w:shd w:val="clear" w:color="auto" w:fill="FFFFFF"/>
        </w:rPr>
        <w:t xml:space="preserve">so personal that a guardian </w:t>
      </w:r>
      <w:proofErr w:type="gramStart"/>
      <w:r>
        <w:rPr>
          <w:shd w:val="clear" w:color="auto" w:fill="FFFFFF"/>
        </w:rPr>
        <w:t>is never given</w:t>
      </w:r>
      <w:proofErr w:type="gramEnd"/>
      <w:r>
        <w:rPr>
          <w:shd w:val="clear" w:color="auto" w:fill="FFFFFF"/>
        </w:rPr>
        <w:t xml:space="preserve"> authority to make them on behalf of someone else. These include the decision to marry and the decision who to vote for in an election.</w:t>
      </w:r>
    </w:p>
    <w:p w:rsidR="004E082A" w:rsidRDefault="004E082A" w:rsidP="004E082A">
      <w:pPr>
        <w:pStyle w:val="NormalAutoChapter"/>
      </w:pPr>
      <w:r>
        <w:rPr>
          <w:shd w:val="clear" w:color="auto" w:fill="FFFFFF"/>
        </w:rPr>
        <w:t xml:space="preserve">In the case of some people who have an intellectual </w:t>
      </w:r>
      <w:proofErr w:type="gramStart"/>
      <w:r>
        <w:rPr>
          <w:shd w:val="clear" w:color="auto" w:fill="FFFFFF"/>
        </w:rPr>
        <w:t>disability or acquire a brain injury</w:t>
      </w:r>
      <w:proofErr w:type="gramEnd"/>
      <w:r>
        <w:rPr>
          <w:shd w:val="clear" w:color="auto" w:fill="FFFFFF"/>
        </w:rPr>
        <w:t xml:space="preserve"> or develop dementia, restrictive practices and medication are sometimes needed to control difficult behaviour.</w:t>
      </w:r>
      <w:r>
        <w:t xml:space="preserve"> In such </w:t>
      </w:r>
      <w:proofErr w:type="gramStart"/>
      <w:r>
        <w:t>cases</w:t>
      </w:r>
      <w:proofErr w:type="gramEnd"/>
      <w:r>
        <w:t xml:space="preserve"> NCAT may make guardianship orders authorising guardians to consent to the use of restrictive practices and medication. The tribunal’s practice is only to do this where there is clear evidence that it is necessary. NCAT usually includes a condition in its orders saying that the guardian may only consent to a restrictive practice if positive approaches </w:t>
      </w:r>
      <w:proofErr w:type="gramStart"/>
      <w:r>
        <w:t>are also being used</w:t>
      </w:r>
      <w:proofErr w:type="gramEnd"/>
      <w:r>
        <w:t xml:space="preserve"> to address the person’s behaviour and needs.</w:t>
      </w:r>
      <w:r>
        <w:rPr>
          <w:rStyle w:val="FootnoteReference"/>
        </w:rPr>
        <w:footnoteReference w:id="20"/>
      </w:r>
      <w:r>
        <w:t xml:space="preserve"> </w:t>
      </w:r>
    </w:p>
    <w:p w:rsidR="004E082A" w:rsidRPr="00797287" w:rsidRDefault="004E082A" w:rsidP="004E082A">
      <w:pPr>
        <w:pStyle w:val="NormalAutoChapter"/>
      </w:pPr>
      <w:r>
        <w:rPr>
          <w:shd w:val="clear" w:color="auto" w:fill="FFFFFF"/>
        </w:rPr>
        <w:t xml:space="preserve">When making decisions, guardians are under a duty to take the views of the person under guardianship into consideration, but they </w:t>
      </w:r>
      <w:proofErr w:type="gramStart"/>
      <w:r>
        <w:rPr>
          <w:shd w:val="clear" w:color="auto" w:fill="FFFFFF"/>
        </w:rPr>
        <w:t>are not bound by</w:t>
      </w:r>
      <w:proofErr w:type="gramEnd"/>
      <w:r>
        <w:rPr>
          <w:shd w:val="clear" w:color="auto" w:fill="FFFFFF"/>
        </w:rPr>
        <w:t xml:space="preserve"> them.</w:t>
      </w:r>
      <w:r>
        <w:rPr>
          <w:rStyle w:val="FootnoteReference"/>
          <w:shd w:val="clear" w:color="auto" w:fill="FFFFFF"/>
        </w:rPr>
        <w:footnoteReference w:id="21"/>
      </w:r>
    </w:p>
    <w:p w:rsidR="004E082A" w:rsidRPr="004E0127" w:rsidRDefault="004E082A" w:rsidP="004E082A">
      <w:pPr>
        <w:pStyle w:val="NormalAutoChapter"/>
      </w:pPr>
      <w:r>
        <w:rPr>
          <w:shd w:val="clear" w:color="auto" w:fill="FFFFFF"/>
        </w:rPr>
        <w:t xml:space="preserve">Sometimes the person </w:t>
      </w:r>
      <w:r w:rsidR="00C275FC">
        <w:rPr>
          <w:shd w:val="clear" w:color="auto" w:fill="FFFFFF"/>
        </w:rPr>
        <w:t xml:space="preserve">who is </w:t>
      </w:r>
      <w:r>
        <w:rPr>
          <w:shd w:val="clear" w:color="auto" w:fill="FFFFFF"/>
        </w:rPr>
        <w:t xml:space="preserve">the subject of a guardianship application will have a mental illness. Even if they have become a patient of a mental health facility under the </w:t>
      </w:r>
      <w:r w:rsidRPr="00964109">
        <w:rPr>
          <w:i/>
          <w:shd w:val="clear" w:color="auto" w:fill="FFFFFF"/>
        </w:rPr>
        <w:t>Mental Health Act 2007</w:t>
      </w:r>
      <w:r>
        <w:rPr>
          <w:shd w:val="clear" w:color="auto" w:fill="FFFFFF"/>
        </w:rPr>
        <w:t xml:space="preserve"> (NSW), NCAT can still make a guardianship order in relation to them. The fact that a person under guardianship becomes a patient does </w:t>
      </w:r>
      <w:r>
        <w:rPr>
          <w:shd w:val="clear" w:color="auto" w:fill="FFFFFF"/>
        </w:rPr>
        <w:lastRenderedPageBreak/>
        <w:t xml:space="preserve">not mean that the guardianship order is suspended or revoked. However, any order that NCAT makes in relation to a person who is, or becomes, such a patient is effective only to the extent that its terms are consistent with any determination or order made under the </w:t>
      </w:r>
      <w:r w:rsidRPr="00186509">
        <w:rPr>
          <w:i/>
          <w:shd w:val="clear" w:color="auto" w:fill="FFFFFF"/>
        </w:rPr>
        <w:t>Mental Health Act</w:t>
      </w:r>
      <w:r>
        <w:rPr>
          <w:shd w:val="clear" w:color="auto" w:fill="FFFFFF"/>
        </w:rPr>
        <w:t>.</w:t>
      </w:r>
      <w:r>
        <w:rPr>
          <w:rStyle w:val="FootnoteReference"/>
          <w:i/>
          <w:shd w:val="clear" w:color="auto" w:fill="FFFFFF"/>
        </w:rPr>
        <w:footnoteReference w:id="22"/>
      </w:r>
      <w:r w:rsidRPr="00623ACD">
        <w:t xml:space="preserve"> </w:t>
      </w:r>
    </w:p>
    <w:p w:rsidR="004E082A" w:rsidRDefault="004E082A" w:rsidP="0087265C">
      <w:pPr>
        <w:pStyle w:val="Heading2"/>
      </w:pPr>
      <w:bookmarkStart w:id="53" w:name="_Toc454198806"/>
      <w:bookmarkStart w:id="54" w:name="_Toc454202781"/>
      <w:r>
        <w:t>Financial m</w:t>
      </w:r>
      <w:r w:rsidRPr="00C13250">
        <w:t>anagement</w:t>
      </w:r>
      <w:r>
        <w:t xml:space="preserve"> (Part 3A)</w:t>
      </w:r>
      <w:bookmarkEnd w:id="53"/>
      <w:bookmarkEnd w:id="54"/>
    </w:p>
    <w:p w:rsidR="004E082A" w:rsidRPr="00445AEC" w:rsidRDefault="004E082A" w:rsidP="004E082A">
      <w:pPr>
        <w:pStyle w:val="NormalAutoChapter"/>
      </w:pPr>
      <w:r>
        <w:t xml:space="preserve">Applications for financial management orders </w:t>
      </w:r>
      <w:proofErr w:type="gramStart"/>
      <w:r>
        <w:t>may be made</w:t>
      </w:r>
      <w:proofErr w:type="gramEnd"/>
      <w:r>
        <w:t xml:space="preserve"> to NCAT by anyone with a genuine concern for the welfare of the relevant person, the relevant person themselves or the NSW Trustee and Guardian.</w:t>
      </w:r>
      <w:r>
        <w:rPr>
          <w:rStyle w:val="FootnoteReference"/>
        </w:rPr>
        <w:footnoteReference w:id="23"/>
      </w:r>
      <w:r>
        <w:t xml:space="preserve"> Before making an order, NCAT must be satisfied that the person is not capable of managing their own affairs, there is a need for someone else to do this on their behalf, and it is in the person’s best interests that an order </w:t>
      </w:r>
      <w:proofErr w:type="gramStart"/>
      <w:r>
        <w:t>be made</w:t>
      </w:r>
      <w:proofErr w:type="gramEnd"/>
      <w:r>
        <w:t>.</w:t>
      </w:r>
      <w:r>
        <w:rPr>
          <w:rStyle w:val="FootnoteReference"/>
        </w:rPr>
        <w:footnoteReference w:id="24"/>
      </w:r>
      <w:r w:rsidRPr="00445AEC">
        <w:t xml:space="preserve"> </w:t>
      </w:r>
      <w:r>
        <w:t>Unlike with guardianship orders, NCAT is not required to find that a person has a disability before it makes a financial management order.</w:t>
      </w:r>
    </w:p>
    <w:p w:rsidR="004E082A" w:rsidRDefault="004E082A" w:rsidP="004E082A">
      <w:pPr>
        <w:pStyle w:val="NormalAutoChapter"/>
      </w:pPr>
      <w:r>
        <w:rPr>
          <w:shd w:val="clear" w:color="auto" w:fill="FFFFFF"/>
        </w:rPr>
        <w:t xml:space="preserve">NCAT is not the only body that can make financial management orders. The NSW Supreme Court can make such orders in accordance with the </w:t>
      </w:r>
      <w:r w:rsidRPr="00826487">
        <w:rPr>
          <w:i/>
          <w:shd w:val="clear" w:color="auto" w:fill="FFFFFF"/>
        </w:rPr>
        <w:t>NSW Trustee and Guardian Act</w:t>
      </w:r>
      <w:r>
        <w:rPr>
          <w:shd w:val="clear" w:color="auto" w:fill="FFFFFF"/>
        </w:rPr>
        <w:t>,</w:t>
      </w:r>
      <w:r>
        <w:rPr>
          <w:rStyle w:val="FootnoteReference"/>
          <w:shd w:val="clear" w:color="auto" w:fill="FFFFFF"/>
        </w:rPr>
        <w:footnoteReference w:id="25"/>
      </w:r>
      <w:r>
        <w:rPr>
          <w:shd w:val="clear" w:color="auto" w:fill="FFFFFF"/>
        </w:rPr>
        <w:t xml:space="preserve"> as well as under </w:t>
      </w:r>
      <w:r>
        <w:t>its inherent protective jurisdiction.</w:t>
      </w:r>
    </w:p>
    <w:p w:rsidR="004E082A" w:rsidRDefault="004E082A" w:rsidP="004E082A">
      <w:pPr>
        <w:pStyle w:val="NormalAutoChapter"/>
      </w:pPr>
      <w:r>
        <w:t xml:space="preserve">In June 2010, the Mental Health Review Tribunal took over from magistrates the jurisdiction to make financial management orders in relation to people who are going through the process of </w:t>
      </w:r>
      <w:proofErr w:type="gramStart"/>
      <w:r>
        <w:t>being admitted</w:t>
      </w:r>
      <w:proofErr w:type="gramEnd"/>
      <w:r>
        <w:t xml:space="preserve"> to a mental health facility.</w:t>
      </w:r>
      <w:r>
        <w:rPr>
          <w:rStyle w:val="FootnoteReference"/>
        </w:rPr>
        <w:footnoteReference w:id="26"/>
      </w:r>
      <w:r>
        <w:t xml:space="preserve"> </w:t>
      </w:r>
    </w:p>
    <w:p w:rsidR="004E082A" w:rsidRDefault="004E082A" w:rsidP="004E082A">
      <w:pPr>
        <w:pStyle w:val="NormalAutoChapter"/>
      </w:pPr>
      <w:r>
        <w:t>A financial management order makes a person’s estate “</w:t>
      </w:r>
      <w:r w:rsidRPr="00814E2A">
        <w:t xml:space="preserve">subject to management under the </w:t>
      </w:r>
      <w:r w:rsidRPr="00E65C74">
        <w:rPr>
          <w:i/>
        </w:rPr>
        <w:t>NSW Trustee and Guardian Act 2009</w:t>
      </w:r>
      <w:r>
        <w:t>”.</w:t>
      </w:r>
      <w:r>
        <w:rPr>
          <w:rStyle w:val="FootnoteReference"/>
        </w:rPr>
        <w:footnoteReference w:id="27"/>
      </w:r>
      <w:r>
        <w:t xml:space="preserve"> The Tribunal may appoint a suitable person as manager of the estate or commit the management of the estate to the NSW Trustee.</w:t>
      </w:r>
      <w:r>
        <w:rPr>
          <w:rStyle w:val="FootnoteReference"/>
        </w:rPr>
        <w:footnoteReference w:id="28"/>
      </w:r>
    </w:p>
    <w:p w:rsidR="004E082A" w:rsidRDefault="004E082A" w:rsidP="004E082A">
      <w:pPr>
        <w:pStyle w:val="NormalAutoChapter"/>
      </w:pPr>
      <w:r>
        <w:t xml:space="preserve">The </w:t>
      </w:r>
      <w:r w:rsidRPr="00640988">
        <w:rPr>
          <w:i/>
        </w:rPr>
        <w:t>NSW Trustee and Guardian Act</w:t>
      </w:r>
      <w:r>
        <w:t xml:space="preserve"> sets out the specific purposes for which the NSW Trustee may spend money from an estate under management, which include paying debts and expenses, taking care of spouses, children and other dependants (as well as the person themselves), and preserving and improving their estate.</w:t>
      </w:r>
      <w:r>
        <w:rPr>
          <w:rStyle w:val="FootnoteReference"/>
        </w:rPr>
        <w:footnoteReference w:id="29"/>
      </w:r>
    </w:p>
    <w:p w:rsidR="004E082A" w:rsidRDefault="004E082A" w:rsidP="004E082A">
      <w:pPr>
        <w:pStyle w:val="NormalAutoChapter"/>
      </w:pPr>
      <w:r>
        <w:t xml:space="preserve">If a private person has been appointed a financial manager, the NSW Trustee and Guardian </w:t>
      </w:r>
      <w:proofErr w:type="gramStart"/>
      <w:r>
        <w:t>provides</w:t>
      </w:r>
      <w:proofErr w:type="gramEnd"/>
      <w:r>
        <w:t xml:space="preserve"> them with detailed authorisation and direction to act. Financial managers must seek approval for any activity outside of these authorisations and must account to the NSW Trustee and Guardian annually.</w:t>
      </w:r>
      <w:r>
        <w:rPr>
          <w:rStyle w:val="FootnoteReference"/>
        </w:rPr>
        <w:footnoteReference w:id="30"/>
      </w:r>
      <w:r>
        <w:t xml:space="preserve"> </w:t>
      </w:r>
    </w:p>
    <w:p w:rsidR="004E082A" w:rsidRDefault="004E082A" w:rsidP="004E082A">
      <w:pPr>
        <w:pStyle w:val="NormalAutoChapter"/>
      </w:pPr>
      <w:r>
        <w:t>NCAT has the power to review financial management orders and the appointment of financial managers.</w:t>
      </w:r>
      <w:r>
        <w:rPr>
          <w:rStyle w:val="FootnoteReference"/>
        </w:rPr>
        <w:footnoteReference w:id="31"/>
      </w:r>
      <w:r>
        <w:t xml:space="preserve"> The Tribunal can do so on its own motion or if the protected person, the NSW Trustee, an estate manager or someone with “a genuine concern </w:t>
      </w:r>
      <w:r>
        <w:lastRenderedPageBreak/>
        <w:t>for the welfare of the protected person” applies for a review.</w:t>
      </w:r>
      <w:r>
        <w:rPr>
          <w:rStyle w:val="FootnoteReference"/>
        </w:rPr>
        <w:footnoteReference w:id="32"/>
      </w:r>
      <w:r>
        <w:t xml:space="preserve"> However, unlike with guardianship orders, there is no process of automatic review of financial management orders under the Act. </w:t>
      </w:r>
    </w:p>
    <w:p w:rsidR="004E082A" w:rsidRPr="00F6312C" w:rsidRDefault="004E082A" w:rsidP="004E082A">
      <w:pPr>
        <w:pStyle w:val="NormalAutoChapter"/>
      </w:pPr>
      <w:r>
        <w:t xml:space="preserve">The Supreme Court may revoke an order on application of the person the order relates </w:t>
      </w:r>
      <w:proofErr w:type="gramStart"/>
      <w:r>
        <w:t>to</w:t>
      </w:r>
      <w:proofErr w:type="gramEnd"/>
      <w:r>
        <w:t>.</w:t>
      </w:r>
      <w:r>
        <w:rPr>
          <w:rStyle w:val="FootnoteReference"/>
        </w:rPr>
        <w:footnoteReference w:id="33"/>
      </w:r>
      <w:r>
        <w:t xml:space="preserve"> </w:t>
      </w:r>
      <w:r w:rsidRPr="00F6312C">
        <w:rPr>
          <w:sz w:val="21"/>
          <w:szCs w:val="21"/>
          <w:lang w:eastAsia="en-AU"/>
        </w:rPr>
        <w:t xml:space="preserve">The Mental Health Review Tribunal (MHRT) may revoke an order on application provided it is satisfied that the person has regained capacity. Part 4.6 Division 2 of </w:t>
      </w:r>
      <w:r>
        <w:rPr>
          <w:sz w:val="21"/>
          <w:szCs w:val="21"/>
          <w:lang w:eastAsia="en-AU"/>
        </w:rPr>
        <w:t xml:space="preserve">the </w:t>
      </w:r>
      <w:r w:rsidRPr="00607AF2">
        <w:rPr>
          <w:i/>
          <w:iCs/>
          <w:sz w:val="21"/>
          <w:szCs w:val="21"/>
          <w:lang w:eastAsia="en-AU"/>
        </w:rPr>
        <w:t>NSW Trustee and Guardian Act</w:t>
      </w:r>
      <w:r w:rsidRPr="00F6312C">
        <w:rPr>
          <w:i/>
          <w:iCs/>
          <w:sz w:val="21"/>
          <w:szCs w:val="21"/>
          <w:lang w:eastAsia="en-AU"/>
        </w:rPr>
        <w:t xml:space="preserve"> </w:t>
      </w:r>
      <w:r w:rsidRPr="00F6312C">
        <w:rPr>
          <w:sz w:val="21"/>
          <w:szCs w:val="21"/>
          <w:lang w:eastAsia="en-AU"/>
        </w:rPr>
        <w:t xml:space="preserve">gives the </w:t>
      </w:r>
      <w:r>
        <w:rPr>
          <w:sz w:val="21"/>
          <w:szCs w:val="21"/>
          <w:lang w:eastAsia="en-AU"/>
        </w:rPr>
        <w:t>Trustee</w:t>
      </w:r>
      <w:r w:rsidRPr="00F6312C">
        <w:rPr>
          <w:sz w:val="21"/>
          <w:szCs w:val="21"/>
          <w:lang w:eastAsia="en-AU"/>
        </w:rPr>
        <w:t xml:space="preserve">, in certain circumstances, the authority to review, confirm or terminate financial management orders where there is clear evidence </w:t>
      </w:r>
      <w:r>
        <w:rPr>
          <w:sz w:val="21"/>
          <w:szCs w:val="21"/>
          <w:lang w:eastAsia="en-AU"/>
        </w:rPr>
        <w:t>the person has</w:t>
      </w:r>
      <w:r w:rsidRPr="00F6312C">
        <w:rPr>
          <w:sz w:val="21"/>
          <w:szCs w:val="21"/>
          <w:lang w:eastAsia="en-AU"/>
        </w:rPr>
        <w:t xml:space="preserve"> regained capacity.</w:t>
      </w:r>
    </w:p>
    <w:p w:rsidR="004E082A" w:rsidRDefault="004E082A" w:rsidP="0087265C">
      <w:pPr>
        <w:pStyle w:val="Heading2"/>
        <w:rPr>
          <w:shd w:val="clear" w:color="auto" w:fill="FFFFFF"/>
        </w:rPr>
      </w:pPr>
      <w:bookmarkStart w:id="55" w:name="_Toc454198807"/>
      <w:bookmarkStart w:id="56" w:name="_Toc454202782"/>
      <w:r>
        <w:rPr>
          <w:shd w:val="clear" w:color="auto" w:fill="FFFFFF"/>
        </w:rPr>
        <w:t>Medical and dental t</w:t>
      </w:r>
      <w:r w:rsidRPr="00DF5EA2">
        <w:rPr>
          <w:shd w:val="clear" w:color="auto" w:fill="FFFFFF"/>
        </w:rPr>
        <w:t>reatment</w:t>
      </w:r>
      <w:r>
        <w:rPr>
          <w:shd w:val="clear" w:color="auto" w:fill="FFFFFF"/>
        </w:rPr>
        <w:t xml:space="preserve"> (Part 5)</w:t>
      </w:r>
      <w:bookmarkEnd w:id="55"/>
      <w:bookmarkEnd w:id="56"/>
    </w:p>
    <w:p w:rsidR="004E082A" w:rsidRDefault="004E082A" w:rsidP="004E082A">
      <w:pPr>
        <w:pStyle w:val="NormalAutoChapter"/>
      </w:pPr>
      <w:r>
        <w:t xml:space="preserve">Part 5 of the </w:t>
      </w:r>
      <w:r w:rsidRPr="00D46372">
        <w:t xml:space="preserve">Act </w:t>
      </w:r>
      <w:r>
        <w:t>establishes a substitute decision-making regime in relation to the medical and dental treatment of people 16 years and older who are incapable of giving a valid consent to their own treatment.</w:t>
      </w:r>
      <w:r>
        <w:rPr>
          <w:rStyle w:val="FootnoteReference"/>
        </w:rPr>
        <w:footnoteReference w:id="34"/>
      </w:r>
      <w:r>
        <w:t xml:space="preserve"> </w:t>
      </w:r>
    </w:p>
    <w:p w:rsidR="004E082A" w:rsidRDefault="004E082A" w:rsidP="004E082A">
      <w:pPr>
        <w:pStyle w:val="NormalAutoChapter"/>
      </w:pPr>
      <w:r>
        <w:t xml:space="preserve">The legislation defines medical treatment and provides different consent arrangements for five categories of treatment: </w:t>
      </w:r>
    </w:p>
    <w:p w:rsidR="004E082A" w:rsidRDefault="004E082A" w:rsidP="004E082A">
      <w:pPr>
        <w:pStyle w:val="Normalbullet"/>
      </w:pPr>
      <w:r>
        <w:t>treatment that i</w:t>
      </w:r>
      <w:r w:rsidR="00C275FC">
        <w:t>s outside the regime and does not</w:t>
      </w:r>
      <w:r>
        <w:t xml:space="preserve"> require consent </w:t>
      </w:r>
    </w:p>
    <w:p w:rsidR="004E082A" w:rsidRDefault="004E082A" w:rsidP="004E082A">
      <w:pPr>
        <w:pStyle w:val="Normalbullet"/>
      </w:pPr>
      <w:r>
        <w:t>urgent treatment</w:t>
      </w:r>
    </w:p>
    <w:p w:rsidR="004E082A" w:rsidRDefault="004E082A" w:rsidP="004E082A">
      <w:pPr>
        <w:pStyle w:val="Normalbullet"/>
      </w:pPr>
      <w:r>
        <w:t xml:space="preserve">minor treatment </w:t>
      </w:r>
    </w:p>
    <w:p w:rsidR="004E082A" w:rsidRDefault="004E082A" w:rsidP="004E082A">
      <w:pPr>
        <w:pStyle w:val="Normalbullet"/>
      </w:pPr>
      <w:r>
        <w:t xml:space="preserve">major treatment, and </w:t>
      </w:r>
    </w:p>
    <w:p w:rsidR="004E082A" w:rsidRDefault="004E082A" w:rsidP="004E082A">
      <w:pPr>
        <w:pStyle w:val="Normalbullet"/>
      </w:pPr>
      <w:proofErr w:type="gramStart"/>
      <w:r>
        <w:t>special</w:t>
      </w:r>
      <w:proofErr w:type="gramEnd"/>
      <w:r>
        <w:t xml:space="preserve"> treatment. </w:t>
      </w:r>
    </w:p>
    <w:p w:rsidR="004E082A" w:rsidRDefault="004E082A" w:rsidP="004E082A">
      <w:pPr>
        <w:pStyle w:val="NormalText"/>
      </w:pPr>
      <w:r>
        <w:t>The legislation makes it an offence to carry out treatment without the appropriate consent.</w:t>
      </w:r>
      <w:r>
        <w:rPr>
          <w:rStyle w:val="FootnoteReference"/>
        </w:rPr>
        <w:footnoteReference w:id="35"/>
      </w:r>
    </w:p>
    <w:p w:rsidR="004E082A" w:rsidRDefault="004E082A" w:rsidP="004E082A">
      <w:pPr>
        <w:pStyle w:val="NormalAutoChapter"/>
      </w:pPr>
      <w:r>
        <w:t xml:space="preserve">For minor or major treatment, </w:t>
      </w:r>
      <w:proofErr w:type="gramStart"/>
      <w:r>
        <w:t>it is the “person responsible” for someone incapable of making this type of decision who</w:t>
      </w:r>
      <w:proofErr w:type="gramEnd"/>
      <w:r>
        <w:t xml:space="preserve"> is the statutory substitute decision-maker. The Act establishes a hierarchy you must consult to determine who the “person responsible” is. The list, in order of priority, </w:t>
      </w:r>
      <w:proofErr w:type="gramStart"/>
      <w:r>
        <w:t>is:</w:t>
      </w:r>
      <w:proofErr w:type="gramEnd"/>
      <w:r>
        <w:t xml:space="preserve"> the person’s guardian (enduring or appointed under the Act, provided they have authority to make the relevant decision); the person’s spouse; the person’s carer; or a close friend or relative of the person.</w:t>
      </w:r>
      <w:r>
        <w:rPr>
          <w:rStyle w:val="FootnoteReference"/>
        </w:rPr>
        <w:footnoteReference w:id="36"/>
      </w:r>
      <w:r>
        <w:t xml:space="preserve"> </w:t>
      </w:r>
      <w:r>
        <w:rPr>
          <w:shd w:val="clear" w:color="auto" w:fill="FFFFFF"/>
        </w:rPr>
        <w:t xml:space="preserve">NCAT </w:t>
      </w:r>
      <w:proofErr w:type="gramStart"/>
      <w:r w:rsidRPr="00C74254">
        <w:rPr>
          <w:shd w:val="clear" w:color="auto" w:fill="FFFFFF"/>
        </w:rPr>
        <w:t>operates</w:t>
      </w:r>
      <w:proofErr w:type="gramEnd"/>
      <w:r w:rsidRPr="00C74254">
        <w:rPr>
          <w:shd w:val="clear" w:color="auto" w:fill="FFFFFF"/>
        </w:rPr>
        <w:t xml:space="preserve"> as the default substitute decision-maker when there is no person responsible or th</w:t>
      </w:r>
      <w:r>
        <w:rPr>
          <w:shd w:val="clear" w:color="auto" w:fill="FFFFFF"/>
        </w:rPr>
        <w:t>at person</w:t>
      </w:r>
      <w:r w:rsidRPr="00C74254">
        <w:rPr>
          <w:shd w:val="clear" w:color="auto" w:fill="FFFFFF"/>
        </w:rPr>
        <w:t xml:space="preserve"> cannot be contacted</w:t>
      </w:r>
      <w:r>
        <w:rPr>
          <w:rStyle w:val="FootnoteReference"/>
          <w:shd w:val="clear" w:color="auto" w:fill="FFFFFF"/>
        </w:rPr>
        <w:footnoteReference w:id="37"/>
      </w:r>
      <w:r>
        <w:rPr>
          <w:shd w:val="clear" w:color="auto" w:fill="FFFFFF"/>
        </w:rPr>
        <w:t xml:space="preserve">. </w:t>
      </w:r>
    </w:p>
    <w:p w:rsidR="004E082A" w:rsidRPr="00560125" w:rsidRDefault="005C3E11" w:rsidP="004E082A">
      <w:pPr>
        <w:pStyle w:val="NormalAutoChapter"/>
      </w:pPr>
      <w:r>
        <w:rPr>
          <w:shd w:val="clear" w:color="auto" w:fill="FFFFFF"/>
        </w:rPr>
        <w:br w:type="page"/>
      </w:r>
      <w:r w:rsidR="004E082A">
        <w:rPr>
          <w:shd w:val="clear" w:color="auto" w:fill="FFFFFF"/>
        </w:rPr>
        <w:lastRenderedPageBreak/>
        <w:t xml:space="preserve">Only </w:t>
      </w:r>
      <w:r w:rsidR="004E082A" w:rsidRPr="008546A4">
        <w:rPr>
          <w:shd w:val="clear" w:color="auto" w:fill="FFFFFF"/>
        </w:rPr>
        <w:t>NCAT can authorise</w:t>
      </w:r>
      <w:r w:rsidR="004E082A">
        <w:rPr>
          <w:shd w:val="clear" w:color="auto" w:fill="FFFFFF"/>
        </w:rPr>
        <w:t>:</w:t>
      </w:r>
    </w:p>
    <w:p w:rsidR="004E082A" w:rsidRPr="00560125" w:rsidRDefault="004E082A" w:rsidP="004E082A">
      <w:pPr>
        <w:pStyle w:val="Normalbullet"/>
        <w:rPr>
          <w:rStyle w:val="apple-converted-space"/>
        </w:rPr>
      </w:pPr>
      <w:r w:rsidRPr="008546A4">
        <w:rPr>
          <w:shd w:val="clear" w:color="auto" w:fill="FFFFFF"/>
        </w:rPr>
        <w:t>special treatment, for example, sterilising</w:t>
      </w:r>
      <w:r>
        <w:rPr>
          <w:shd w:val="clear" w:color="auto" w:fill="FFFFFF"/>
        </w:rPr>
        <w:t xml:space="preserve"> treatment</w:t>
      </w:r>
      <w:r w:rsidRPr="008546A4">
        <w:rPr>
          <w:shd w:val="clear" w:color="auto" w:fill="FFFFFF"/>
        </w:rPr>
        <w:t>, but only in certain circumstances</w:t>
      </w:r>
      <w:r>
        <w:rPr>
          <w:rStyle w:val="FootnoteReference"/>
          <w:shd w:val="clear" w:color="auto" w:fill="FFFFFF"/>
        </w:rPr>
        <w:footnoteReference w:id="38"/>
      </w:r>
      <w:r>
        <w:rPr>
          <w:shd w:val="clear" w:color="auto" w:fill="FFFFFF"/>
        </w:rPr>
        <w:t xml:space="preserve"> (a guardian with specific authorisation can then consent to continuing or further treatment of a similar nature)</w:t>
      </w:r>
      <w:r>
        <w:rPr>
          <w:rStyle w:val="FootnoteReference"/>
          <w:shd w:val="clear" w:color="auto" w:fill="FFFFFF"/>
        </w:rPr>
        <w:footnoteReference w:id="39"/>
      </w:r>
      <w:r>
        <w:rPr>
          <w:shd w:val="clear" w:color="auto" w:fill="FFFFFF"/>
        </w:rPr>
        <w:t>, and</w:t>
      </w:r>
    </w:p>
    <w:p w:rsidR="004E082A" w:rsidRPr="005E4E84" w:rsidRDefault="004E082A" w:rsidP="004E082A">
      <w:pPr>
        <w:pStyle w:val="Normalbullet"/>
      </w:pPr>
      <w:proofErr w:type="gramStart"/>
      <w:r>
        <w:t>a</w:t>
      </w:r>
      <w:proofErr w:type="gramEnd"/>
      <w:r>
        <w:t xml:space="preserve"> person without capacity to participate in a clinical trial. The tribunal may give such approval only if satisfied of a number of conditions; for example, that the drugs or techniques </w:t>
      </w:r>
      <w:proofErr w:type="gramStart"/>
      <w:r>
        <w:t>being tested</w:t>
      </w:r>
      <w:proofErr w:type="gramEnd"/>
      <w:r>
        <w:t xml:space="preserve"> are intended to cure or alleviate a particular condition from which the patient suffers; and that it is in the best interests of the person to take part in the trial.</w:t>
      </w:r>
      <w:r>
        <w:rPr>
          <w:rStyle w:val="FootnoteReference"/>
        </w:rPr>
        <w:footnoteReference w:id="40"/>
      </w:r>
    </w:p>
    <w:p w:rsidR="004E082A" w:rsidRDefault="004E082A" w:rsidP="004E082A">
      <w:pPr>
        <w:pStyle w:val="NormalAutoChapter"/>
      </w:pPr>
      <w:r>
        <w:t>There are also circumstances in which urgent or minor treatment can be carried out without the consent arrangements the Act otherwise provides for.</w:t>
      </w:r>
      <w:r>
        <w:rPr>
          <w:rStyle w:val="FootnoteReference"/>
        </w:rPr>
        <w:footnoteReference w:id="41"/>
      </w:r>
      <w:r w:rsidR="005C3E11">
        <w:br w:type="page"/>
      </w:r>
    </w:p>
    <w:p w:rsidR="004E082A" w:rsidRDefault="004E082A" w:rsidP="004E082A"/>
    <w:p w:rsidR="00DD020D" w:rsidRDefault="00DD020D" w:rsidP="004E082A">
      <w:pPr>
        <w:sectPr w:rsidR="00DD020D" w:rsidSect="004E082A">
          <w:headerReference w:type="default" r:id="rId20"/>
          <w:footnotePr>
            <w:numRestart w:val="eachSect"/>
          </w:footnotePr>
          <w:pgSz w:w="11906" w:h="16838" w:code="9"/>
          <w:pgMar w:top="1134" w:right="1321" w:bottom="1134" w:left="1678" w:header="567" w:footer="284" w:gutter="0"/>
          <w:cols w:space="708"/>
          <w:titlePg/>
          <w:docGrid w:linePitch="360"/>
        </w:sectPr>
      </w:pPr>
    </w:p>
    <w:p w:rsidR="00D63B8A" w:rsidRDefault="00D63B8A" w:rsidP="00D63B8A">
      <w:pPr>
        <w:pStyle w:val="ChapterHeading"/>
      </w:pPr>
      <w:bookmarkStart w:id="57" w:name="_Toc454202783"/>
      <w:r>
        <w:lastRenderedPageBreak/>
        <w:t>A changing environment</w:t>
      </w:r>
      <w:bookmarkEnd w:id="57"/>
    </w:p>
    <w:p w:rsidR="00D63B8A" w:rsidRPr="00D63B8A" w:rsidRDefault="00D63B8A" w:rsidP="00D63B8A">
      <w:pPr>
        <w:pStyle w:val="TOC2"/>
        <w:rPr>
          <w:rFonts w:ascii="Calibri" w:hAnsi="Calibri"/>
          <w:b w:val="0"/>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454196042" w:history="1">
        <w:r w:rsidRPr="00A57EC4">
          <w:rPr>
            <w:rStyle w:val="Hyperlink"/>
          </w:rPr>
          <w:t>A changing population</w:t>
        </w:r>
        <w:r>
          <w:rPr>
            <w:webHidden/>
          </w:rPr>
          <w:tab/>
        </w:r>
        <w:r>
          <w:rPr>
            <w:webHidden/>
          </w:rPr>
          <w:fldChar w:fldCharType="begin"/>
        </w:r>
        <w:r>
          <w:rPr>
            <w:webHidden/>
          </w:rPr>
          <w:instrText xml:space="preserve"> PAGEREF _Toc454196042 \h </w:instrText>
        </w:r>
        <w:r>
          <w:rPr>
            <w:webHidden/>
          </w:rPr>
        </w:r>
        <w:r>
          <w:rPr>
            <w:webHidden/>
          </w:rPr>
          <w:fldChar w:fldCharType="separate"/>
        </w:r>
        <w:r w:rsidR="001F1C08">
          <w:rPr>
            <w:webHidden/>
          </w:rPr>
          <w:t>13</w:t>
        </w:r>
        <w:r>
          <w:rPr>
            <w:webHidden/>
          </w:rPr>
          <w:fldChar w:fldCharType="end"/>
        </w:r>
      </w:hyperlink>
    </w:p>
    <w:p w:rsidR="00D63B8A" w:rsidRPr="00D63B8A" w:rsidRDefault="00B02B41" w:rsidP="00D63B8A">
      <w:pPr>
        <w:pStyle w:val="TOC2"/>
        <w:rPr>
          <w:rFonts w:ascii="Calibri" w:hAnsi="Calibri"/>
          <w:b w:val="0"/>
          <w:color w:val="auto"/>
          <w:sz w:val="22"/>
          <w:szCs w:val="22"/>
          <w:lang w:eastAsia="en-AU"/>
        </w:rPr>
      </w:pPr>
      <w:hyperlink w:anchor="_Toc454196043" w:history="1">
        <w:r w:rsidR="00D63B8A" w:rsidRPr="00A57EC4">
          <w:rPr>
            <w:rStyle w:val="Hyperlink"/>
          </w:rPr>
          <w:t>United Nations Convention and the ‘social model’ of disability</w:t>
        </w:r>
        <w:r w:rsidR="00D63B8A">
          <w:rPr>
            <w:webHidden/>
          </w:rPr>
          <w:tab/>
        </w:r>
        <w:r w:rsidR="00D63B8A">
          <w:rPr>
            <w:webHidden/>
          </w:rPr>
          <w:fldChar w:fldCharType="begin"/>
        </w:r>
        <w:r w:rsidR="00D63B8A">
          <w:rPr>
            <w:webHidden/>
          </w:rPr>
          <w:instrText xml:space="preserve"> PAGEREF _Toc454196043 \h </w:instrText>
        </w:r>
        <w:r w:rsidR="00D63B8A">
          <w:rPr>
            <w:webHidden/>
          </w:rPr>
        </w:r>
        <w:r w:rsidR="00D63B8A">
          <w:rPr>
            <w:webHidden/>
          </w:rPr>
          <w:fldChar w:fldCharType="separate"/>
        </w:r>
        <w:r w:rsidR="001F1C08">
          <w:rPr>
            <w:webHidden/>
          </w:rPr>
          <w:t>14</w:t>
        </w:r>
        <w:r w:rsidR="00D63B8A">
          <w:rPr>
            <w:webHidden/>
          </w:rPr>
          <w:fldChar w:fldCharType="end"/>
        </w:r>
      </w:hyperlink>
    </w:p>
    <w:p w:rsidR="00D63B8A" w:rsidRPr="00D63B8A" w:rsidRDefault="00B02B41" w:rsidP="00D63B8A">
      <w:pPr>
        <w:pStyle w:val="TOC3"/>
        <w:rPr>
          <w:rFonts w:ascii="Calibri" w:hAnsi="Calibri"/>
          <w:b w:val="0"/>
          <w:color w:val="auto"/>
          <w:sz w:val="22"/>
          <w:szCs w:val="22"/>
          <w:lang w:eastAsia="en-AU"/>
        </w:rPr>
      </w:pPr>
      <w:hyperlink w:anchor="_Toc454196044" w:history="1">
        <w:r w:rsidR="00D63B8A" w:rsidRPr="00A57EC4">
          <w:rPr>
            <w:rStyle w:val="Hyperlink"/>
          </w:rPr>
          <w:t>A new way of thinking about disability</w:t>
        </w:r>
        <w:r w:rsidR="00D63B8A">
          <w:rPr>
            <w:webHidden/>
          </w:rPr>
          <w:tab/>
        </w:r>
        <w:r w:rsidR="00D63B8A">
          <w:rPr>
            <w:webHidden/>
          </w:rPr>
          <w:fldChar w:fldCharType="begin"/>
        </w:r>
        <w:r w:rsidR="00D63B8A">
          <w:rPr>
            <w:webHidden/>
          </w:rPr>
          <w:instrText xml:space="preserve"> PAGEREF _Toc454196044 \h </w:instrText>
        </w:r>
        <w:r w:rsidR="00D63B8A">
          <w:rPr>
            <w:webHidden/>
          </w:rPr>
        </w:r>
        <w:r w:rsidR="00D63B8A">
          <w:rPr>
            <w:webHidden/>
          </w:rPr>
          <w:fldChar w:fldCharType="separate"/>
        </w:r>
        <w:r w:rsidR="001F1C08">
          <w:rPr>
            <w:webHidden/>
          </w:rPr>
          <w:t>14</w:t>
        </w:r>
        <w:r w:rsidR="00D63B8A">
          <w:rPr>
            <w:webHidden/>
          </w:rPr>
          <w:fldChar w:fldCharType="end"/>
        </w:r>
      </w:hyperlink>
    </w:p>
    <w:p w:rsidR="00D63B8A" w:rsidRPr="00D63B8A" w:rsidRDefault="00B02B41" w:rsidP="00D63B8A">
      <w:pPr>
        <w:pStyle w:val="TOC4"/>
        <w:rPr>
          <w:rFonts w:ascii="Calibri" w:hAnsi="Calibri"/>
          <w:color w:val="auto"/>
          <w:sz w:val="22"/>
          <w:szCs w:val="22"/>
          <w:lang w:eastAsia="en-AU"/>
        </w:rPr>
      </w:pPr>
      <w:hyperlink w:anchor="_Toc454196045" w:history="1">
        <w:r w:rsidR="00D63B8A" w:rsidRPr="00A57EC4">
          <w:rPr>
            <w:rStyle w:val="Hyperlink"/>
          </w:rPr>
          <w:t>Capacity</w:t>
        </w:r>
        <w:r w:rsidR="00D63B8A">
          <w:rPr>
            <w:webHidden/>
          </w:rPr>
          <w:tab/>
        </w:r>
        <w:r w:rsidR="00D63B8A">
          <w:rPr>
            <w:webHidden/>
          </w:rPr>
          <w:fldChar w:fldCharType="begin"/>
        </w:r>
        <w:r w:rsidR="00D63B8A">
          <w:rPr>
            <w:webHidden/>
          </w:rPr>
          <w:instrText xml:space="preserve"> PAGEREF _Toc454196045 \h </w:instrText>
        </w:r>
        <w:r w:rsidR="00D63B8A">
          <w:rPr>
            <w:webHidden/>
          </w:rPr>
        </w:r>
        <w:r w:rsidR="00D63B8A">
          <w:rPr>
            <w:webHidden/>
          </w:rPr>
          <w:fldChar w:fldCharType="separate"/>
        </w:r>
        <w:r w:rsidR="001F1C08">
          <w:rPr>
            <w:webHidden/>
          </w:rPr>
          <w:t>15</w:t>
        </w:r>
        <w:r w:rsidR="00D63B8A">
          <w:rPr>
            <w:webHidden/>
          </w:rPr>
          <w:fldChar w:fldCharType="end"/>
        </w:r>
      </w:hyperlink>
    </w:p>
    <w:p w:rsidR="00D63B8A" w:rsidRPr="00D63B8A" w:rsidRDefault="00B02B41" w:rsidP="00D63B8A">
      <w:pPr>
        <w:pStyle w:val="TOC4"/>
        <w:rPr>
          <w:rFonts w:ascii="Calibri" w:hAnsi="Calibri"/>
          <w:color w:val="auto"/>
          <w:sz w:val="22"/>
          <w:szCs w:val="22"/>
          <w:lang w:eastAsia="en-AU"/>
        </w:rPr>
      </w:pPr>
      <w:hyperlink w:anchor="_Toc454196046" w:history="1">
        <w:r w:rsidR="00D63B8A" w:rsidRPr="00A57EC4">
          <w:rPr>
            <w:rStyle w:val="Hyperlink"/>
          </w:rPr>
          <w:t>Supported decision-making</w:t>
        </w:r>
        <w:r w:rsidR="00D63B8A">
          <w:rPr>
            <w:webHidden/>
          </w:rPr>
          <w:tab/>
        </w:r>
        <w:r w:rsidR="00D63B8A">
          <w:rPr>
            <w:webHidden/>
          </w:rPr>
          <w:fldChar w:fldCharType="begin"/>
        </w:r>
        <w:r w:rsidR="00D63B8A">
          <w:rPr>
            <w:webHidden/>
          </w:rPr>
          <w:instrText xml:space="preserve"> PAGEREF _Toc454196046 \h </w:instrText>
        </w:r>
        <w:r w:rsidR="00D63B8A">
          <w:rPr>
            <w:webHidden/>
          </w:rPr>
        </w:r>
        <w:r w:rsidR="00D63B8A">
          <w:rPr>
            <w:webHidden/>
          </w:rPr>
          <w:fldChar w:fldCharType="separate"/>
        </w:r>
        <w:r w:rsidR="001F1C08">
          <w:rPr>
            <w:webHidden/>
          </w:rPr>
          <w:t>16</w:t>
        </w:r>
        <w:r w:rsidR="00D63B8A">
          <w:rPr>
            <w:webHidden/>
          </w:rPr>
          <w:fldChar w:fldCharType="end"/>
        </w:r>
      </w:hyperlink>
    </w:p>
    <w:p w:rsidR="00D63B8A" w:rsidRPr="00D63B8A" w:rsidRDefault="00B02B41" w:rsidP="00D63B8A">
      <w:pPr>
        <w:pStyle w:val="TOC2"/>
        <w:rPr>
          <w:rFonts w:ascii="Calibri" w:hAnsi="Calibri"/>
          <w:b w:val="0"/>
          <w:color w:val="auto"/>
          <w:sz w:val="22"/>
          <w:szCs w:val="22"/>
          <w:lang w:eastAsia="en-AU"/>
        </w:rPr>
      </w:pPr>
      <w:hyperlink w:anchor="_Toc454196047" w:history="1">
        <w:r w:rsidR="00D63B8A" w:rsidRPr="00A57EC4">
          <w:rPr>
            <w:rStyle w:val="Hyperlink"/>
          </w:rPr>
          <w:t>The current state of guardianship law and the momentum for change</w:t>
        </w:r>
        <w:r w:rsidR="00D63B8A">
          <w:rPr>
            <w:webHidden/>
          </w:rPr>
          <w:tab/>
        </w:r>
        <w:r w:rsidR="00D63B8A">
          <w:rPr>
            <w:webHidden/>
          </w:rPr>
          <w:fldChar w:fldCharType="begin"/>
        </w:r>
        <w:r w:rsidR="00D63B8A">
          <w:rPr>
            <w:webHidden/>
          </w:rPr>
          <w:instrText xml:space="preserve"> PAGEREF _Toc454196047 \h </w:instrText>
        </w:r>
        <w:r w:rsidR="00D63B8A">
          <w:rPr>
            <w:webHidden/>
          </w:rPr>
        </w:r>
        <w:r w:rsidR="00D63B8A">
          <w:rPr>
            <w:webHidden/>
          </w:rPr>
          <w:fldChar w:fldCharType="separate"/>
        </w:r>
        <w:r w:rsidR="001F1C08">
          <w:rPr>
            <w:webHidden/>
          </w:rPr>
          <w:t>16</w:t>
        </w:r>
        <w:r w:rsidR="00D63B8A">
          <w:rPr>
            <w:webHidden/>
          </w:rPr>
          <w:fldChar w:fldCharType="end"/>
        </w:r>
      </w:hyperlink>
    </w:p>
    <w:p w:rsidR="00D63B8A" w:rsidRPr="00D63B8A" w:rsidRDefault="00B02B41" w:rsidP="00D63B8A">
      <w:pPr>
        <w:pStyle w:val="TOC3"/>
        <w:rPr>
          <w:rFonts w:ascii="Calibri" w:hAnsi="Calibri"/>
          <w:b w:val="0"/>
          <w:color w:val="auto"/>
          <w:sz w:val="22"/>
          <w:szCs w:val="22"/>
          <w:lang w:eastAsia="en-AU"/>
        </w:rPr>
      </w:pPr>
      <w:hyperlink w:anchor="_Toc454196048" w:history="1">
        <w:r w:rsidR="00D63B8A" w:rsidRPr="00A57EC4">
          <w:rPr>
            <w:rStyle w:val="Hyperlink"/>
          </w:rPr>
          <w:t>New South Wales</w:t>
        </w:r>
        <w:r w:rsidR="00D63B8A">
          <w:rPr>
            <w:webHidden/>
          </w:rPr>
          <w:tab/>
        </w:r>
        <w:r w:rsidR="00D63B8A">
          <w:rPr>
            <w:webHidden/>
          </w:rPr>
          <w:fldChar w:fldCharType="begin"/>
        </w:r>
        <w:r w:rsidR="00D63B8A">
          <w:rPr>
            <w:webHidden/>
          </w:rPr>
          <w:instrText xml:space="preserve"> PAGEREF _Toc454196048 \h </w:instrText>
        </w:r>
        <w:r w:rsidR="00D63B8A">
          <w:rPr>
            <w:webHidden/>
          </w:rPr>
        </w:r>
        <w:r w:rsidR="00D63B8A">
          <w:rPr>
            <w:webHidden/>
          </w:rPr>
          <w:fldChar w:fldCharType="separate"/>
        </w:r>
        <w:r w:rsidR="001F1C08">
          <w:rPr>
            <w:webHidden/>
          </w:rPr>
          <w:t>16</w:t>
        </w:r>
        <w:r w:rsidR="00D63B8A">
          <w:rPr>
            <w:webHidden/>
          </w:rPr>
          <w:fldChar w:fldCharType="end"/>
        </w:r>
      </w:hyperlink>
    </w:p>
    <w:p w:rsidR="00D63B8A" w:rsidRPr="00D63B8A" w:rsidRDefault="00B02B41" w:rsidP="00D63B8A">
      <w:pPr>
        <w:pStyle w:val="TOC3"/>
        <w:rPr>
          <w:rFonts w:ascii="Calibri" w:hAnsi="Calibri"/>
          <w:b w:val="0"/>
          <w:color w:val="auto"/>
          <w:sz w:val="22"/>
          <w:szCs w:val="22"/>
          <w:lang w:eastAsia="en-AU"/>
        </w:rPr>
      </w:pPr>
      <w:hyperlink w:anchor="_Toc454196049" w:history="1">
        <w:r w:rsidR="00D63B8A" w:rsidRPr="00A57EC4">
          <w:rPr>
            <w:rStyle w:val="Hyperlink"/>
          </w:rPr>
          <w:t>Other jurisdictions within Australia</w:t>
        </w:r>
        <w:r w:rsidR="00D63B8A">
          <w:rPr>
            <w:webHidden/>
          </w:rPr>
          <w:tab/>
        </w:r>
        <w:r w:rsidR="00D63B8A">
          <w:rPr>
            <w:webHidden/>
          </w:rPr>
          <w:fldChar w:fldCharType="begin"/>
        </w:r>
        <w:r w:rsidR="00D63B8A">
          <w:rPr>
            <w:webHidden/>
          </w:rPr>
          <w:instrText xml:space="preserve"> PAGEREF _Toc454196049 \h </w:instrText>
        </w:r>
        <w:r w:rsidR="00D63B8A">
          <w:rPr>
            <w:webHidden/>
          </w:rPr>
        </w:r>
        <w:r w:rsidR="00D63B8A">
          <w:rPr>
            <w:webHidden/>
          </w:rPr>
          <w:fldChar w:fldCharType="separate"/>
        </w:r>
        <w:r w:rsidR="001F1C08">
          <w:rPr>
            <w:webHidden/>
          </w:rPr>
          <w:t>19</w:t>
        </w:r>
        <w:r w:rsidR="00D63B8A">
          <w:rPr>
            <w:webHidden/>
          </w:rPr>
          <w:fldChar w:fldCharType="end"/>
        </w:r>
      </w:hyperlink>
    </w:p>
    <w:p w:rsidR="00D63B8A" w:rsidRPr="00D63B8A" w:rsidRDefault="00B02B41" w:rsidP="00D63B8A">
      <w:pPr>
        <w:pStyle w:val="TOC3"/>
        <w:rPr>
          <w:rFonts w:ascii="Calibri" w:hAnsi="Calibri"/>
          <w:b w:val="0"/>
          <w:color w:val="auto"/>
          <w:sz w:val="22"/>
          <w:szCs w:val="22"/>
          <w:lang w:eastAsia="en-AU"/>
        </w:rPr>
      </w:pPr>
      <w:hyperlink w:anchor="_Toc454196050" w:history="1">
        <w:r w:rsidR="00D63B8A" w:rsidRPr="00A57EC4">
          <w:rPr>
            <w:rStyle w:val="Hyperlink"/>
          </w:rPr>
          <w:t>Other jurisdictions overseas</w:t>
        </w:r>
        <w:r w:rsidR="00D63B8A">
          <w:rPr>
            <w:webHidden/>
          </w:rPr>
          <w:tab/>
        </w:r>
        <w:r w:rsidR="00D63B8A">
          <w:rPr>
            <w:webHidden/>
          </w:rPr>
          <w:fldChar w:fldCharType="begin"/>
        </w:r>
        <w:r w:rsidR="00D63B8A">
          <w:rPr>
            <w:webHidden/>
          </w:rPr>
          <w:instrText xml:space="preserve"> PAGEREF _Toc454196050 \h </w:instrText>
        </w:r>
        <w:r w:rsidR="00D63B8A">
          <w:rPr>
            <w:webHidden/>
          </w:rPr>
        </w:r>
        <w:r w:rsidR="00D63B8A">
          <w:rPr>
            <w:webHidden/>
          </w:rPr>
          <w:fldChar w:fldCharType="separate"/>
        </w:r>
        <w:r w:rsidR="001F1C08">
          <w:rPr>
            <w:webHidden/>
          </w:rPr>
          <w:t>21</w:t>
        </w:r>
        <w:r w:rsidR="00D63B8A">
          <w:rPr>
            <w:webHidden/>
          </w:rPr>
          <w:fldChar w:fldCharType="end"/>
        </w:r>
      </w:hyperlink>
    </w:p>
    <w:p w:rsidR="00D63B8A" w:rsidRPr="00D63B8A" w:rsidRDefault="00B02B41" w:rsidP="00D63B8A">
      <w:pPr>
        <w:pStyle w:val="TOC2"/>
        <w:rPr>
          <w:rFonts w:ascii="Calibri" w:hAnsi="Calibri"/>
          <w:b w:val="0"/>
          <w:color w:val="auto"/>
          <w:sz w:val="22"/>
          <w:szCs w:val="22"/>
          <w:lang w:eastAsia="en-AU"/>
        </w:rPr>
      </w:pPr>
      <w:hyperlink w:anchor="_Toc454196051" w:history="1">
        <w:r w:rsidR="00D63B8A" w:rsidRPr="00A57EC4">
          <w:rPr>
            <w:rStyle w:val="Hyperlink"/>
            <w:shd w:val="clear" w:color="auto" w:fill="FFFFFF"/>
          </w:rPr>
          <w:t>Non-legislative developments</w:t>
        </w:r>
        <w:r w:rsidR="00D63B8A">
          <w:rPr>
            <w:webHidden/>
          </w:rPr>
          <w:tab/>
        </w:r>
        <w:r w:rsidR="00D63B8A">
          <w:rPr>
            <w:webHidden/>
          </w:rPr>
          <w:fldChar w:fldCharType="begin"/>
        </w:r>
        <w:r w:rsidR="00D63B8A">
          <w:rPr>
            <w:webHidden/>
          </w:rPr>
          <w:instrText xml:space="preserve"> PAGEREF _Toc454196051 \h </w:instrText>
        </w:r>
        <w:r w:rsidR="00D63B8A">
          <w:rPr>
            <w:webHidden/>
          </w:rPr>
        </w:r>
        <w:r w:rsidR="00D63B8A">
          <w:rPr>
            <w:webHidden/>
          </w:rPr>
          <w:fldChar w:fldCharType="separate"/>
        </w:r>
        <w:r w:rsidR="001F1C08">
          <w:rPr>
            <w:webHidden/>
          </w:rPr>
          <w:t>21</w:t>
        </w:r>
        <w:r w:rsidR="00D63B8A">
          <w:rPr>
            <w:webHidden/>
          </w:rPr>
          <w:fldChar w:fldCharType="end"/>
        </w:r>
      </w:hyperlink>
    </w:p>
    <w:p w:rsidR="00D63B8A" w:rsidRPr="00D63B8A" w:rsidRDefault="00B02B41" w:rsidP="00D63B8A">
      <w:pPr>
        <w:pStyle w:val="TOC2"/>
        <w:rPr>
          <w:rFonts w:ascii="Calibri" w:hAnsi="Calibri"/>
          <w:b w:val="0"/>
          <w:color w:val="auto"/>
          <w:sz w:val="22"/>
          <w:szCs w:val="22"/>
          <w:lang w:eastAsia="en-AU"/>
        </w:rPr>
      </w:pPr>
      <w:hyperlink w:anchor="_Toc454196052" w:history="1">
        <w:r w:rsidR="00D63B8A" w:rsidRPr="00A57EC4">
          <w:rPr>
            <w:rStyle w:val="Hyperlink"/>
          </w:rPr>
          <w:t>National Disability Insurance Scheme</w:t>
        </w:r>
        <w:r w:rsidR="00D63B8A">
          <w:rPr>
            <w:webHidden/>
          </w:rPr>
          <w:tab/>
        </w:r>
        <w:r w:rsidR="00D63B8A">
          <w:rPr>
            <w:webHidden/>
          </w:rPr>
          <w:fldChar w:fldCharType="begin"/>
        </w:r>
        <w:r w:rsidR="00D63B8A">
          <w:rPr>
            <w:webHidden/>
          </w:rPr>
          <w:instrText xml:space="preserve"> PAGEREF _Toc454196052 \h </w:instrText>
        </w:r>
        <w:r w:rsidR="00D63B8A">
          <w:rPr>
            <w:webHidden/>
          </w:rPr>
        </w:r>
        <w:r w:rsidR="00D63B8A">
          <w:rPr>
            <w:webHidden/>
          </w:rPr>
          <w:fldChar w:fldCharType="separate"/>
        </w:r>
        <w:r w:rsidR="001F1C08">
          <w:rPr>
            <w:webHidden/>
          </w:rPr>
          <w:t>22</w:t>
        </w:r>
        <w:r w:rsidR="00D63B8A">
          <w:rPr>
            <w:webHidden/>
          </w:rPr>
          <w:fldChar w:fldCharType="end"/>
        </w:r>
      </w:hyperlink>
    </w:p>
    <w:p w:rsidR="00D63B8A" w:rsidRPr="00D63B8A" w:rsidRDefault="00B02B41" w:rsidP="00D63B8A">
      <w:pPr>
        <w:pStyle w:val="TOC2"/>
        <w:rPr>
          <w:rFonts w:ascii="Calibri" w:hAnsi="Calibri"/>
          <w:b w:val="0"/>
          <w:color w:val="auto"/>
          <w:sz w:val="22"/>
          <w:szCs w:val="22"/>
          <w:lang w:eastAsia="en-AU"/>
        </w:rPr>
      </w:pPr>
      <w:hyperlink w:anchor="_Toc454196053" w:history="1">
        <w:r w:rsidR="00D63B8A" w:rsidRPr="00A57EC4">
          <w:rPr>
            <w:rStyle w:val="Hyperlink"/>
          </w:rPr>
          <w:t>The case for uniformity</w:t>
        </w:r>
        <w:r w:rsidR="00D63B8A">
          <w:rPr>
            <w:webHidden/>
          </w:rPr>
          <w:tab/>
        </w:r>
        <w:r w:rsidR="00D63B8A">
          <w:rPr>
            <w:webHidden/>
          </w:rPr>
          <w:fldChar w:fldCharType="begin"/>
        </w:r>
        <w:r w:rsidR="00D63B8A">
          <w:rPr>
            <w:webHidden/>
          </w:rPr>
          <w:instrText xml:space="preserve"> PAGEREF _Toc454196053 \h </w:instrText>
        </w:r>
        <w:r w:rsidR="00D63B8A">
          <w:rPr>
            <w:webHidden/>
          </w:rPr>
        </w:r>
        <w:r w:rsidR="00D63B8A">
          <w:rPr>
            <w:webHidden/>
          </w:rPr>
          <w:fldChar w:fldCharType="separate"/>
        </w:r>
        <w:r w:rsidR="001F1C08">
          <w:rPr>
            <w:webHidden/>
          </w:rPr>
          <w:t>24</w:t>
        </w:r>
        <w:r w:rsidR="00D63B8A">
          <w:rPr>
            <w:webHidden/>
          </w:rPr>
          <w:fldChar w:fldCharType="end"/>
        </w:r>
      </w:hyperlink>
    </w:p>
    <w:p w:rsidR="00D63B8A" w:rsidRDefault="00D63B8A" w:rsidP="00D63B8A">
      <w:pPr>
        <w:pStyle w:val="NormalText"/>
        <w:ind w:left="0"/>
      </w:pPr>
      <w:r>
        <w:fldChar w:fldCharType="end"/>
      </w:r>
    </w:p>
    <w:p w:rsidR="00D63B8A" w:rsidRDefault="00D63B8A" w:rsidP="00D63B8A">
      <w:pPr>
        <w:pStyle w:val="NormalAutoChapter"/>
      </w:pPr>
      <w:r>
        <w:t xml:space="preserve">Since NSW introduced the </w:t>
      </w:r>
      <w:r w:rsidRPr="00B769DB">
        <w:rPr>
          <w:i/>
        </w:rPr>
        <w:t xml:space="preserve">Guardianship Act 1987 </w:t>
      </w:r>
      <w:r>
        <w:t xml:space="preserve">(NSW), the way people think about disability has significantly shifted. This is partly because of developments in human rights law. Changes to the make-up of the population in NSW have also affected how the </w:t>
      </w:r>
      <w:r w:rsidRPr="009C54F4">
        <w:t xml:space="preserve">Act </w:t>
      </w:r>
      <w:r>
        <w:t xml:space="preserve">operates and </w:t>
      </w:r>
      <w:r w:rsidR="001D14C5">
        <w:t xml:space="preserve">to whom </w:t>
      </w:r>
      <w:r>
        <w:t>it ordinarily applies. This chapter summarises the key changes to the environment in which our guardianship laws exist.</w:t>
      </w:r>
    </w:p>
    <w:p w:rsidR="00D63B8A" w:rsidRDefault="00D63B8A" w:rsidP="00D63B8A">
      <w:pPr>
        <w:pStyle w:val="Heading1"/>
      </w:pPr>
      <w:bookmarkStart w:id="58" w:name="_Toc454196042"/>
      <w:bookmarkStart w:id="59" w:name="_Toc454202784"/>
      <w:r>
        <w:t xml:space="preserve">A </w:t>
      </w:r>
      <w:r w:rsidRPr="005F7498">
        <w:t>changing</w:t>
      </w:r>
      <w:r>
        <w:t xml:space="preserve"> population</w:t>
      </w:r>
      <w:bookmarkEnd w:id="58"/>
      <w:bookmarkEnd w:id="59"/>
      <w:r>
        <w:t xml:space="preserve"> </w:t>
      </w:r>
    </w:p>
    <w:p w:rsidR="00D63B8A" w:rsidRDefault="00D63B8A" w:rsidP="00D63B8A">
      <w:pPr>
        <w:pStyle w:val="NormalAutoChapter"/>
      </w:pPr>
      <w:r>
        <w:t xml:space="preserve">The profile of people making guardianship applications in NSW has changed a great deal since the </w:t>
      </w:r>
      <w:r w:rsidRPr="009C499D">
        <w:rPr>
          <w:i/>
        </w:rPr>
        <w:t>Guardianship Act</w:t>
      </w:r>
      <w:r>
        <w:t xml:space="preserve"> came into force. Initially the largest cohort coming before the Guardianship Board (as it then was) was people with an intellectual disability. Based on the 2014-2015 figures, cases involving people with dementia are the most common, making up approximately 44% of the work of the Guardianship Division of the NSW Civil and Administrative Tribunal (NCAT).</w:t>
      </w:r>
      <w:r>
        <w:rPr>
          <w:rStyle w:val="FootnoteReference"/>
        </w:rPr>
        <w:footnoteReference w:id="42"/>
      </w:r>
      <w:r>
        <w:t xml:space="preserve"> </w:t>
      </w:r>
    </w:p>
    <w:p w:rsidR="00D63B8A" w:rsidRDefault="00D63B8A" w:rsidP="00D63B8A">
      <w:pPr>
        <w:pStyle w:val="NormalAutoChapter"/>
      </w:pPr>
      <w:r>
        <w:t>The growth in the number of dementia cases has not only increased the workload of NCAT</w:t>
      </w:r>
      <w:r>
        <w:rPr>
          <w:rStyle w:val="FootnoteReference"/>
        </w:rPr>
        <w:footnoteReference w:id="43"/>
      </w:r>
      <w:r>
        <w:t xml:space="preserve"> but added case complexity. It is now common for NCAT to make orders in relation to people who have diminishing (as opposed to fixed) capacity levels, people who have complicated financial arrangements and people whose family members have competing interests.</w:t>
      </w:r>
      <w:r>
        <w:rPr>
          <w:rStyle w:val="FootnoteReference"/>
        </w:rPr>
        <w:footnoteReference w:id="44"/>
      </w:r>
      <w:r>
        <w:t xml:space="preserve"> Given the increase in the number of dementia cases corresponds with the state’s steadily ageing population</w:t>
      </w:r>
      <w:r>
        <w:rPr>
          <w:rStyle w:val="FootnoteReference"/>
        </w:rPr>
        <w:footnoteReference w:id="45"/>
      </w:r>
      <w:r>
        <w:t xml:space="preserve">, we are likely to continue to see a rise in the numbers of these types of matters for some time. </w:t>
      </w:r>
    </w:p>
    <w:p w:rsidR="00D63B8A" w:rsidRDefault="00D63B8A" w:rsidP="00D63B8A">
      <w:pPr>
        <w:pStyle w:val="NormalAutoChapter"/>
      </w:pPr>
      <w:r>
        <w:lastRenderedPageBreak/>
        <w:t>Cases involving people with a mental illness or brain injury also make up a significant number of matters that NCAT hears.</w:t>
      </w:r>
      <w:r>
        <w:rPr>
          <w:rStyle w:val="FootnoteReference"/>
        </w:rPr>
        <w:footnoteReference w:id="46"/>
      </w:r>
    </w:p>
    <w:p w:rsidR="00D63B8A" w:rsidRDefault="00D63B8A" w:rsidP="00D63B8A">
      <w:pPr>
        <w:pStyle w:val="NormalAutoChapter"/>
      </w:pPr>
      <w:r>
        <w:t>These trends raise the question whether our current guardianship framework, primarily designed for people with an intellectual disability, is suited to the range of cases NCAT now deals with.</w:t>
      </w:r>
    </w:p>
    <w:p w:rsidR="00D63B8A" w:rsidRDefault="00D63B8A" w:rsidP="00D63B8A">
      <w:pPr>
        <w:pStyle w:val="Heading1"/>
      </w:pPr>
      <w:bookmarkStart w:id="60" w:name="_Toc454196043"/>
      <w:bookmarkStart w:id="61" w:name="_Toc454202785"/>
      <w:r>
        <w:t>United Nations Convention and the ‘social model’ of disability</w:t>
      </w:r>
      <w:bookmarkEnd w:id="60"/>
      <w:bookmarkEnd w:id="61"/>
    </w:p>
    <w:p w:rsidR="00D63B8A" w:rsidRDefault="00D63B8A" w:rsidP="00D63B8A">
      <w:pPr>
        <w:pStyle w:val="NormalAutoChapter"/>
      </w:pPr>
      <w:r>
        <w:t xml:space="preserve">In July </w:t>
      </w:r>
      <w:proofErr w:type="gramStart"/>
      <w:r>
        <w:t>2008</w:t>
      </w:r>
      <w:proofErr w:type="gramEnd"/>
      <w:r>
        <w:t xml:space="preserve"> Australia ratified the United Nations </w:t>
      </w:r>
      <w:r w:rsidRPr="007335EF">
        <w:rPr>
          <w:i/>
        </w:rPr>
        <w:t>Convention on the Rights of Persons with Disabilities</w:t>
      </w:r>
      <w:r>
        <w:t>.</w:t>
      </w:r>
      <w:r>
        <w:rPr>
          <w:rStyle w:val="FootnoteReference"/>
        </w:rPr>
        <w:footnoteReference w:id="47"/>
      </w:r>
      <w:r>
        <w:t xml:space="preserve"> The </w:t>
      </w:r>
      <w:r w:rsidRPr="00370F48">
        <w:rPr>
          <w:i/>
        </w:rPr>
        <w:t>UN Convention</w:t>
      </w:r>
      <w:r>
        <w:t xml:space="preserve"> clarifies how existing international human rights obligations apply to people with disabilities. Its principles include the right of people with disabilities to dignity, autonomy, full and active participation in society and equal recognition before the law. </w:t>
      </w:r>
    </w:p>
    <w:p w:rsidR="00D63B8A" w:rsidRDefault="00D63B8A" w:rsidP="00D63B8A">
      <w:pPr>
        <w:pStyle w:val="NormalAutoChapter"/>
      </w:pPr>
      <w:r>
        <w:t>While international conventions do not become a part of Australian law until incorporated into domestic law by statute</w:t>
      </w:r>
      <w:r>
        <w:rPr>
          <w:rStyle w:val="FootnoteReference"/>
        </w:rPr>
        <w:footnoteReference w:id="48"/>
      </w:r>
      <w:r>
        <w:t xml:space="preserve">, by ratifying the </w:t>
      </w:r>
      <w:r w:rsidRPr="00370F48">
        <w:rPr>
          <w:i/>
        </w:rPr>
        <w:t>UN Convention</w:t>
      </w:r>
      <w:r>
        <w:t xml:space="preserve"> Australia has committed in good faith to give effect to it.</w:t>
      </w:r>
      <w:r>
        <w:rPr>
          <w:rStyle w:val="FootnoteReference"/>
        </w:rPr>
        <w:footnoteReference w:id="49"/>
      </w:r>
      <w:r>
        <w:t xml:space="preserve"> Despite this obligation, Australian state and territory laws have yet to incorporate the </w:t>
      </w:r>
      <w:r w:rsidRPr="00370F48">
        <w:rPr>
          <w:i/>
        </w:rPr>
        <w:t>UN Convention</w:t>
      </w:r>
      <w:r>
        <w:t xml:space="preserve"> and its underlying principles in any significant sense, as we discuss below. </w:t>
      </w:r>
    </w:p>
    <w:p w:rsidR="00D63B8A" w:rsidRDefault="00D63B8A" w:rsidP="0087265C">
      <w:pPr>
        <w:pStyle w:val="Heading2"/>
      </w:pPr>
      <w:bookmarkStart w:id="62" w:name="_Toc454196044"/>
      <w:bookmarkStart w:id="63" w:name="_Toc454202786"/>
      <w:r>
        <w:t>A new way of thinking about disability</w:t>
      </w:r>
      <w:bookmarkEnd w:id="62"/>
      <w:bookmarkEnd w:id="63"/>
    </w:p>
    <w:p w:rsidR="00D63B8A" w:rsidRDefault="00D63B8A" w:rsidP="00D63B8A">
      <w:pPr>
        <w:pStyle w:val="NormalAutoChapter"/>
      </w:pPr>
      <w:r>
        <w:t xml:space="preserve">The </w:t>
      </w:r>
      <w:r w:rsidRPr="00370F48">
        <w:rPr>
          <w:i/>
        </w:rPr>
        <w:t>UN Convention</w:t>
      </w:r>
      <w:r>
        <w:t xml:space="preserve"> represents a shift away from previous ways of thinking about disability:</w:t>
      </w:r>
    </w:p>
    <w:p w:rsidR="00D63B8A" w:rsidRDefault="00D63B8A" w:rsidP="00D63B8A">
      <w:pPr>
        <w:pStyle w:val="Normalindent"/>
      </w:pPr>
      <w:r>
        <w:rPr>
          <w:shd w:val="clear" w:color="auto" w:fill="FFFFFF"/>
        </w:rPr>
        <w:t>…from viewing persons with disabilities as "objects" of charity, medical treatment and social protection, towards viewing them as "subjects" having “rights”, … as such, they are capable of claiming those rights and making decisions for their lives based on their free and informed consent as well as of being active members of society.</w:t>
      </w:r>
      <w:r>
        <w:rPr>
          <w:rStyle w:val="FootnoteReference"/>
          <w:shd w:val="clear" w:color="auto" w:fill="FFFFFF"/>
        </w:rPr>
        <w:footnoteReference w:id="50"/>
      </w:r>
    </w:p>
    <w:p w:rsidR="00D63B8A" w:rsidRPr="00BA3A3B" w:rsidRDefault="00D63B8A" w:rsidP="00D63B8A">
      <w:pPr>
        <w:pStyle w:val="NormalAutoChapter"/>
      </w:pPr>
      <w:r>
        <w:rPr>
          <w:shd w:val="clear" w:color="auto" w:fill="FFFFFF"/>
        </w:rPr>
        <w:t>In his evidence to the 2010 NSW Parliamentary Inquiry into Substituted Decision-Making, Professor Ronald McCallum described the different models of disability that have been prominent over the years.</w:t>
      </w:r>
    </w:p>
    <w:p w:rsidR="00D63B8A" w:rsidRDefault="00D63B8A" w:rsidP="00D63B8A">
      <w:pPr>
        <w:pStyle w:val="Normalindent"/>
        <w:rPr>
          <w:shd w:val="clear" w:color="auto" w:fill="FFFFFF"/>
        </w:rPr>
      </w:pPr>
      <w:r>
        <w:rPr>
          <w:shd w:val="clear" w:color="auto" w:fill="FFFFFF"/>
        </w:rPr>
        <w:t xml:space="preserve">For the first two thirds of the twentieth century and earlier the prevalent </w:t>
      </w:r>
      <w:proofErr w:type="gramStart"/>
      <w:r>
        <w:rPr>
          <w:shd w:val="clear" w:color="auto" w:fill="FFFFFF"/>
        </w:rPr>
        <w:t>model</w:t>
      </w:r>
      <w:proofErr w:type="gramEnd"/>
      <w:r>
        <w:rPr>
          <w:shd w:val="clear" w:color="auto" w:fill="FFFFFF"/>
        </w:rPr>
        <w:t xml:space="preserve"> looking after persons with disability was the medical model. The notion was that we should try to cure as many persons with disability as we can and, if not, they </w:t>
      </w:r>
      <w:proofErr w:type="gramStart"/>
      <w:r>
        <w:rPr>
          <w:shd w:val="clear" w:color="auto" w:fill="FFFFFF"/>
        </w:rPr>
        <w:t>should be looked</w:t>
      </w:r>
      <w:proofErr w:type="gramEnd"/>
      <w:r>
        <w:rPr>
          <w:shd w:val="clear" w:color="auto" w:fill="FFFFFF"/>
        </w:rPr>
        <w:t xml:space="preserve"> after. Many </w:t>
      </w:r>
      <w:proofErr w:type="gramStart"/>
      <w:r>
        <w:rPr>
          <w:shd w:val="clear" w:color="auto" w:fill="FFFFFF"/>
        </w:rPr>
        <w:t>were institutionalised</w:t>
      </w:r>
      <w:proofErr w:type="gramEnd"/>
      <w:r>
        <w:rPr>
          <w:shd w:val="clear" w:color="auto" w:fill="FFFFFF"/>
        </w:rPr>
        <w:t xml:space="preserve"> in those days. By the </w:t>
      </w:r>
      <w:proofErr w:type="gramStart"/>
      <w:r>
        <w:rPr>
          <w:shd w:val="clear" w:color="auto" w:fill="FFFFFF"/>
        </w:rPr>
        <w:t>1970s</w:t>
      </w:r>
      <w:proofErr w:type="gramEnd"/>
      <w:r>
        <w:rPr>
          <w:shd w:val="clear" w:color="auto" w:fill="FFFFFF"/>
        </w:rPr>
        <w:t xml:space="preserve"> we had moved forward, certainly in this country, to what we might call the social welfare model. Welfare was provided to enhance the lives of persons with </w:t>
      </w:r>
      <w:r>
        <w:rPr>
          <w:shd w:val="clear" w:color="auto" w:fill="FFFFFF"/>
        </w:rPr>
        <w:lastRenderedPageBreak/>
        <w:t xml:space="preserve">disabilities, and many of us were encouraged and, indeed, assisted by Federal, State and on some </w:t>
      </w:r>
      <w:proofErr w:type="gramStart"/>
      <w:r>
        <w:rPr>
          <w:shd w:val="clear" w:color="auto" w:fill="FFFFFF"/>
        </w:rPr>
        <w:t>occasions</w:t>
      </w:r>
      <w:proofErr w:type="gramEnd"/>
      <w:r>
        <w:rPr>
          <w:shd w:val="clear" w:color="auto" w:fill="FFFFFF"/>
        </w:rPr>
        <w:t xml:space="preserve"> municipal governments to gain employment.</w:t>
      </w:r>
      <w:r>
        <w:rPr>
          <w:rStyle w:val="FootnoteReference"/>
          <w:shd w:val="clear" w:color="auto" w:fill="FFFFFF"/>
        </w:rPr>
        <w:footnoteReference w:id="51"/>
      </w:r>
      <w:r w:rsidRPr="00BA3A3B">
        <w:rPr>
          <w:shd w:val="clear" w:color="auto" w:fill="FFFFFF"/>
        </w:rPr>
        <w:t xml:space="preserve"> </w:t>
      </w:r>
    </w:p>
    <w:p w:rsidR="00D63B8A" w:rsidRDefault="00D63B8A" w:rsidP="00D63B8A">
      <w:pPr>
        <w:pStyle w:val="NormalAutoChapter"/>
      </w:pPr>
      <w:r>
        <w:t xml:space="preserve">Since the 1970s, the preferred model has shifted again. The </w:t>
      </w:r>
      <w:r w:rsidRPr="00161335">
        <w:rPr>
          <w:i/>
        </w:rPr>
        <w:t>UN Convention</w:t>
      </w:r>
      <w:r>
        <w:t xml:space="preserve"> adopts the “social model”, which is now widely considered the leading model. This model recognises that:</w:t>
      </w:r>
    </w:p>
    <w:p w:rsidR="00D63B8A" w:rsidRDefault="00D63B8A" w:rsidP="00D63B8A">
      <w:pPr>
        <w:pStyle w:val="Normalindent"/>
      </w:pPr>
      <w:r>
        <w:t>[D]</w:t>
      </w:r>
      <w:proofErr w:type="spellStart"/>
      <w:r>
        <w:t>isability</w:t>
      </w:r>
      <w:proofErr w:type="spellEnd"/>
      <w:r>
        <w:t xml:space="preserve"> is an evolving concept and that disability results from the interaction between persons with impairments and attitudinal and environmental barriers that hinders their full and effective participation in society on an equal basis with others.</w:t>
      </w:r>
      <w:r>
        <w:rPr>
          <w:rStyle w:val="FootnoteReference"/>
        </w:rPr>
        <w:footnoteReference w:id="52"/>
      </w:r>
    </w:p>
    <w:p w:rsidR="00D63B8A" w:rsidRDefault="00D63B8A" w:rsidP="00D63B8A">
      <w:pPr>
        <w:pStyle w:val="NormalAutoChapter"/>
      </w:pPr>
      <w:r>
        <w:t xml:space="preserve">Key principles underlying the social model that are embodied in the </w:t>
      </w:r>
      <w:r w:rsidRPr="00161335">
        <w:rPr>
          <w:i/>
        </w:rPr>
        <w:t>UN Convention</w:t>
      </w:r>
      <w:r>
        <w:t xml:space="preserve"> include the presumption of capacity and an emphasis on supported or assisted decision-making rather than substitute decision-making. </w:t>
      </w:r>
    </w:p>
    <w:p w:rsidR="00D63B8A" w:rsidRDefault="00D63B8A" w:rsidP="0087265C">
      <w:pPr>
        <w:pStyle w:val="Heading3"/>
      </w:pPr>
      <w:bookmarkStart w:id="64" w:name="_Toc454196045"/>
      <w:r>
        <w:t>Capacity</w:t>
      </w:r>
      <w:bookmarkEnd w:id="64"/>
    </w:p>
    <w:p w:rsidR="00D63B8A" w:rsidRDefault="00D63B8A" w:rsidP="00D63B8A">
      <w:pPr>
        <w:pStyle w:val="NormalAutoChapter"/>
      </w:pPr>
      <w:r>
        <w:t xml:space="preserve">In guardianship </w:t>
      </w:r>
      <w:proofErr w:type="gramStart"/>
      <w:r>
        <w:t>law</w:t>
      </w:r>
      <w:proofErr w:type="gramEnd"/>
      <w:r>
        <w:t xml:space="preserve"> “capacity” generally refers to a person’s ability to make decisions in their everyday life, whether in personal matters, financial and property matters, or health and medical matters. The </w:t>
      </w:r>
      <w:r w:rsidRPr="00161335">
        <w:rPr>
          <w:i/>
        </w:rPr>
        <w:t>UN Convention</w:t>
      </w:r>
      <w:r w:rsidR="00C275FC">
        <w:t xml:space="preserve"> provides that “State</w:t>
      </w:r>
      <w:r>
        <w:t xml:space="preserve"> parties shall recognise that persons with disabilities enjoy legal capacity on an equal basis with others in all aspects of life.”</w:t>
      </w:r>
      <w:r>
        <w:rPr>
          <w:rStyle w:val="FootnoteReference"/>
        </w:rPr>
        <w:footnoteReference w:id="53"/>
      </w:r>
      <w:r>
        <w:t xml:space="preserve"> </w:t>
      </w:r>
    </w:p>
    <w:p w:rsidR="00D63B8A" w:rsidRDefault="00D63B8A" w:rsidP="00D63B8A">
      <w:pPr>
        <w:pStyle w:val="NormalAutoChapter"/>
      </w:pPr>
      <w:r>
        <w:t>“Legal capacity” is different from “mental capacity”. The UN Convention Committee has commented that ”[u]</w:t>
      </w:r>
      <w:proofErr w:type="spellStart"/>
      <w:r>
        <w:t>nder</w:t>
      </w:r>
      <w:proofErr w:type="spellEnd"/>
      <w:r>
        <w:t xml:space="preserve"> Article 12 of the Convention, perceived or actual deficits in mental capacity must not be used as justification for denying legal capacity.”</w:t>
      </w:r>
      <w:r>
        <w:rPr>
          <w:rStyle w:val="FootnoteReference"/>
        </w:rPr>
        <w:footnoteReference w:id="54"/>
      </w:r>
      <w:r>
        <w:t xml:space="preserve"> A related issue is that a person’s disability </w:t>
      </w:r>
      <w:r>
        <w:rPr>
          <w:i/>
        </w:rPr>
        <w:t xml:space="preserve">status </w:t>
      </w:r>
      <w:proofErr w:type="gramStart"/>
      <w:r>
        <w:t>should not of itself determine</w:t>
      </w:r>
      <w:proofErr w:type="gramEnd"/>
      <w:r>
        <w:t xml:space="preserve"> their decision-making capacity.</w:t>
      </w:r>
      <w:r>
        <w:rPr>
          <w:rStyle w:val="FootnoteReference"/>
        </w:rPr>
        <w:footnoteReference w:id="55"/>
      </w:r>
      <w:r>
        <w:t xml:space="preserve"> For example, just because a person has an intellectual disability, this does not mean they lack the capacity to make any decisions for themselves. </w:t>
      </w:r>
    </w:p>
    <w:p w:rsidR="00D63B8A" w:rsidRDefault="00D63B8A" w:rsidP="00D63B8A">
      <w:pPr>
        <w:pStyle w:val="NormalAutoChapter"/>
      </w:pPr>
      <w:r>
        <w:t>Defining capacity by disability status also fails to recognise that a person’s capacity to make decisions is not static. It can depend on what type of decision needs to be made, and can change from time to time. In its preliminary submission the NSW Department of Family and Community Services gave the following examples:</w:t>
      </w:r>
    </w:p>
    <w:p w:rsidR="00D63B8A" w:rsidRPr="001D053D" w:rsidRDefault="00D63B8A" w:rsidP="00D63B8A">
      <w:pPr>
        <w:pStyle w:val="Normalindent"/>
        <w:rPr>
          <w:lang w:eastAsia="en-AU"/>
        </w:rPr>
      </w:pPr>
      <w:r>
        <w:rPr>
          <w:lang w:eastAsia="en-AU"/>
        </w:rPr>
        <w:t xml:space="preserve">[A] </w:t>
      </w:r>
      <w:proofErr w:type="gramStart"/>
      <w:r>
        <w:rPr>
          <w:lang w:eastAsia="en-AU"/>
        </w:rPr>
        <w:t>young</w:t>
      </w:r>
      <w:proofErr w:type="gramEnd"/>
      <w:r>
        <w:rPr>
          <w:lang w:eastAsia="en-AU"/>
        </w:rPr>
        <w:t xml:space="preserve"> person may have capacity that is limited by a developmental stage; or, in the case of an adult, is episodically limited by mental illness. Alternatively, a person may have reduced capacity due to a condition that is likely to be permanent or deteriorate.</w:t>
      </w:r>
      <w:r>
        <w:rPr>
          <w:rStyle w:val="FootnoteReference"/>
          <w:lang w:eastAsia="en-AU"/>
        </w:rPr>
        <w:footnoteReference w:id="56"/>
      </w:r>
      <w:r>
        <w:t xml:space="preserve"> </w:t>
      </w:r>
    </w:p>
    <w:p w:rsidR="00D63B8A" w:rsidRPr="004D7C7A" w:rsidRDefault="00D63B8A" w:rsidP="0087265C">
      <w:pPr>
        <w:pStyle w:val="Heading3"/>
      </w:pPr>
      <w:bookmarkStart w:id="65" w:name="_Toc454196046"/>
      <w:r>
        <w:lastRenderedPageBreak/>
        <w:t>Supported decision-making</w:t>
      </w:r>
      <w:bookmarkEnd w:id="65"/>
    </w:p>
    <w:p w:rsidR="00D63B8A" w:rsidRDefault="00D63B8A" w:rsidP="00D63B8A">
      <w:pPr>
        <w:pStyle w:val="NormalAutoChapter"/>
      </w:pPr>
      <w:r>
        <w:t xml:space="preserve">The preference for “supported” as opposed to “substitute” decision-making is another important element of the social model of disability reflected in the </w:t>
      </w:r>
      <w:r w:rsidRPr="00A47BFC">
        <w:rPr>
          <w:i/>
        </w:rPr>
        <w:t>UN Convention</w:t>
      </w:r>
      <w:r>
        <w:t xml:space="preserve">. Supported decision-making (sometimes referred to as “assisted decision-making”) emphasises the ability of a person with impaired capacity to make decisions for </w:t>
      </w:r>
      <w:proofErr w:type="gramStart"/>
      <w:r>
        <w:t>themselves</w:t>
      </w:r>
      <w:proofErr w:type="gramEnd"/>
      <w:r>
        <w:t xml:space="preserve"> provided they have the necessary support to make and communicate those decisions. It enables the person to retain legal capacity regardless of the level of support they need</w:t>
      </w:r>
      <w:r>
        <w:rPr>
          <w:rStyle w:val="FootnoteReference"/>
        </w:rPr>
        <w:footnoteReference w:id="57"/>
      </w:r>
      <w:r>
        <w:t xml:space="preserve"> and recognises that all independent adults have the right to make decisions, including the right to make risky or “bad” decisions. </w:t>
      </w:r>
    </w:p>
    <w:p w:rsidR="00D63B8A" w:rsidRDefault="00D63B8A" w:rsidP="00D63B8A">
      <w:pPr>
        <w:pStyle w:val="NormalAutoChapter"/>
      </w:pPr>
      <w:r>
        <w:t xml:space="preserve">This approach is a shift away from more traditional, paternalistic decision-making </w:t>
      </w:r>
      <w:r w:rsidRPr="00A077D9">
        <w:t>models</w:t>
      </w:r>
      <w:r>
        <w:t xml:space="preserve"> that form the basis of most of Australia’s current legislative frameworks and involve a person (or “substitute”) making decisions </w:t>
      </w:r>
      <w:r w:rsidRPr="00D54340">
        <w:rPr>
          <w:i/>
        </w:rPr>
        <w:t>on behalf of</w:t>
      </w:r>
      <w:r>
        <w:t xml:space="preserve"> someone else and according to certain principles; for example, by considering the “best interests” of the person they are making a decision for. </w:t>
      </w:r>
    </w:p>
    <w:p w:rsidR="00D63B8A" w:rsidRDefault="00D63B8A" w:rsidP="00D63B8A">
      <w:pPr>
        <w:pStyle w:val="NormalAutoChapter"/>
      </w:pPr>
      <w:r>
        <w:t xml:space="preserve">In 2013 </w:t>
      </w:r>
      <w:r w:rsidR="001D14C5">
        <w:rPr>
          <w:lang w:eastAsia="en-AU"/>
        </w:rPr>
        <w:t>t</w:t>
      </w:r>
      <w:r w:rsidRPr="00AB0E4D">
        <w:rPr>
          <w:lang w:eastAsia="en-AU"/>
        </w:rPr>
        <w:t>he</w:t>
      </w:r>
      <w:r>
        <w:rPr>
          <w:lang w:eastAsia="en-AU"/>
        </w:rPr>
        <w:t xml:space="preserve"> UN </w:t>
      </w:r>
      <w:r w:rsidRPr="00AB0E4D">
        <w:rPr>
          <w:lang w:eastAsia="en-AU"/>
        </w:rPr>
        <w:t xml:space="preserve">Committee </w:t>
      </w:r>
      <w:r>
        <w:rPr>
          <w:lang w:eastAsia="en-AU"/>
        </w:rPr>
        <w:t xml:space="preserve">on the Rights of Persons with Disabilities </w:t>
      </w:r>
      <w:r w:rsidRPr="00AB0E4D">
        <w:rPr>
          <w:lang w:eastAsia="en-AU"/>
        </w:rPr>
        <w:t>recommended that</w:t>
      </w:r>
      <w:r>
        <w:rPr>
          <w:lang w:eastAsia="en-AU"/>
        </w:rPr>
        <w:t>:</w:t>
      </w:r>
      <w:r w:rsidRPr="00AB0E4D">
        <w:rPr>
          <w:lang w:eastAsia="en-AU"/>
        </w:rPr>
        <w:t xml:space="preserve"> </w:t>
      </w:r>
    </w:p>
    <w:p w:rsidR="00D63B8A" w:rsidRDefault="00D63B8A" w:rsidP="00D63B8A">
      <w:pPr>
        <w:pStyle w:val="Normalindent"/>
      </w:pPr>
      <w:r>
        <w:rPr>
          <w:lang w:eastAsia="en-AU"/>
        </w:rPr>
        <w:t>[</w:t>
      </w:r>
      <w:r w:rsidRPr="00AB0E4D">
        <w:rPr>
          <w:lang w:eastAsia="en-AU"/>
        </w:rPr>
        <w:t>Australia</w:t>
      </w:r>
      <w:r>
        <w:rPr>
          <w:lang w:eastAsia="en-AU"/>
        </w:rPr>
        <w:t>]</w:t>
      </w:r>
      <w:r w:rsidRPr="00AB0E4D">
        <w:rPr>
          <w:lang w:eastAsia="en-AU"/>
        </w:rPr>
        <w:t xml:space="preserve"> take immediate steps to replace substitute</w:t>
      </w:r>
      <w:r>
        <w:rPr>
          <w:lang w:eastAsia="en-AU"/>
        </w:rPr>
        <w:t xml:space="preserve"> decision-</w:t>
      </w:r>
      <w:r w:rsidRPr="00AB0E4D">
        <w:rPr>
          <w:lang w:eastAsia="en-AU"/>
        </w:rPr>
        <w:t>making with supported decision making and provide</w:t>
      </w:r>
      <w:r>
        <w:rPr>
          <w:lang w:eastAsia="en-AU"/>
        </w:rPr>
        <w:t>[s]</w:t>
      </w:r>
      <w:r w:rsidRPr="00AB0E4D">
        <w:rPr>
          <w:lang w:eastAsia="en-AU"/>
        </w:rPr>
        <w:t xml:space="preserve"> a wide range of measures</w:t>
      </w:r>
      <w:r>
        <w:rPr>
          <w:lang w:eastAsia="en-AU"/>
        </w:rPr>
        <w:t xml:space="preserve"> </w:t>
      </w:r>
      <w:r w:rsidRPr="00AB0E4D">
        <w:rPr>
          <w:lang w:eastAsia="en-AU"/>
        </w:rPr>
        <w:t>which respect the person’s autonomy, will and preferences and is in full conformity with</w:t>
      </w:r>
      <w:r>
        <w:t xml:space="preserve"> </w:t>
      </w:r>
      <w:r>
        <w:rPr>
          <w:lang w:eastAsia="en-AU"/>
        </w:rPr>
        <w:t>article 12 of the Convention.</w:t>
      </w:r>
      <w:r>
        <w:rPr>
          <w:rStyle w:val="FootnoteReference"/>
          <w:lang w:eastAsia="en-AU"/>
        </w:rPr>
        <w:footnoteReference w:id="58"/>
      </w:r>
    </w:p>
    <w:p w:rsidR="00D63B8A" w:rsidRDefault="00D63B8A" w:rsidP="00D63B8A">
      <w:pPr>
        <w:pStyle w:val="NormalAutoChapter"/>
      </w:pPr>
      <w:r>
        <w:t>Supported decision-making takes many forms and there is limited agreement about the basic concepts and principles that define it.</w:t>
      </w:r>
      <w:r>
        <w:rPr>
          <w:rStyle w:val="FootnoteReference"/>
        </w:rPr>
        <w:footnoteReference w:id="59"/>
      </w:r>
      <w:r>
        <w:t xml:space="preserve"> A key question is how the model applies in situations where no amount of support will assist, such as where a person has a severe cognitive impairment that means they are unable to understand, make or communicate a decision. Other questions include how to balance informal with formal supported decision-making arrangements and how to provide adequate safeguards against abuse. We will need to consider these kinds of questions and their practical implications carefully before making our recommendations.  </w:t>
      </w:r>
    </w:p>
    <w:p w:rsidR="00D63B8A" w:rsidRDefault="00D63B8A" w:rsidP="00D63B8A">
      <w:pPr>
        <w:pStyle w:val="Heading1"/>
      </w:pPr>
      <w:bookmarkStart w:id="66" w:name="_Toc454196047"/>
      <w:bookmarkStart w:id="67" w:name="_Toc454202787"/>
      <w:r>
        <w:t>The current state of guardianship law and the momentum for change</w:t>
      </w:r>
      <w:bookmarkEnd w:id="66"/>
      <w:bookmarkEnd w:id="67"/>
    </w:p>
    <w:p w:rsidR="00D63B8A" w:rsidRDefault="00D63B8A" w:rsidP="0087265C">
      <w:pPr>
        <w:pStyle w:val="Heading2"/>
      </w:pPr>
      <w:bookmarkStart w:id="68" w:name="_Toc454196048"/>
      <w:bookmarkStart w:id="69" w:name="_Toc454202788"/>
      <w:r>
        <w:t>New South Wales</w:t>
      </w:r>
      <w:bookmarkEnd w:id="68"/>
      <w:bookmarkEnd w:id="69"/>
    </w:p>
    <w:p w:rsidR="00D63B8A" w:rsidRDefault="00D63B8A" w:rsidP="00D63B8A">
      <w:pPr>
        <w:pStyle w:val="NormalAutoChapter"/>
      </w:pPr>
      <w:r>
        <w:t xml:space="preserve">New South Wales introduced the </w:t>
      </w:r>
      <w:r w:rsidRPr="002E698E">
        <w:rPr>
          <w:i/>
        </w:rPr>
        <w:t>Guardianship Act</w:t>
      </w:r>
      <w:r>
        <w:t xml:space="preserve"> at a time when the “social welfare” approach to disability was the leading approach. This is reflected in the legislation; for example:</w:t>
      </w:r>
    </w:p>
    <w:p w:rsidR="00D63B8A" w:rsidRDefault="00C613FF" w:rsidP="00D63B8A">
      <w:pPr>
        <w:pStyle w:val="Normalbullet"/>
      </w:pPr>
      <w:r>
        <w:t>a</w:t>
      </w:r>
      <w:r w:rsidR="00D63B8A">
        <w:t xml:space="preserve"> preference for substitute decision-making over supported decision-making</w:t>
      </w:r>
    </w:p>
    <w:p w:rsidR="00D63B8A" w:rsidRDefault="00C613FF" w:rsidP="00D63B8A">
      <w:pPr>
        <w:pStyle w:val="Normalbullet"/>
      </w:pPr>
      <w:r>
        <w:lastRenderedPageBreak/>
        <w:t>n</w:t>
      </w:r>
      <w:r w:rsidR="00D63B8A">
        <w:t>o explicit presumption of capacity</w:t>
      </w:r>
    </w:p>
    <w:p w:rsidR="00D63B8A" w:rsidRPr="005437ED" w:rsidRDefault="00C613FF" w:rsidP="00D63B8A">
      <w:pPr>
        <w:pStyle w:val="Normalbullet"/>
        <w:rPr>
          <w:rFonts w:cs="Arial"/>
          <w:szCs w:val="22"/>
          <w:lang w:eastAsia="en-AU"/>
        </w:rPr>
      </w:pPr>
      <w:r>
        <w:rPr>
          <w:szCs w:val="22"/>
        </w:rPr>
        <w:t>n</w:t>
      </w:r>
      <w:r w:rsidR="00D63B8A" w:rsidRPr="005437ED">
        <w:rPr>
          <w:szCs w:val="22"/>
        </w:rPr>
        <w:t xml:space="preserve">o legislative recognition that capacity can fluctuate, and that capacity </w:t>
      </w:r>
      <w:r w:rsidR="00D63B8A">
        <w:rPr>
          <w:szCs w:val="22"/>
        </w:rPr>
        <w:t>may</w:t>
      </w:r>
      <w:r w:rsidR="00D63B8A" w:rsidRPr="005437ED">
        <w:rPr>
          <w:szCs w:val="22"/>
        </w:rPr>
        <w:t xml:space="preserve"> be impaired for one set</w:t>
      </w:r>
      <w:r w:rsidR="00D63B8A">
        <w:rPr>
          <w:szCs w:val="22"/>
        </w:rPr>
        <w:t xml:space="preserve"> of circumstances but not others</w:t>
      </w:r>
      <w:r w:rsidR="00C275FC">
        <w:rPr>
          <w:szCs w:val="22"/>
        </w:rPr>
        <w:t>, and</w:t>
      </w:r>
      <w:r w:rsidR="00D63B8A" w:rsidRPr="005437ED">
        <w:rPr>
          <w:rFonts w:cs="Arial"/>
          <w:szCs w:val="22"/>
          <w:lang w:eastAsia="en-AU"/>
        </w:rPr>
        <w:t xml:space="preserve"> </w:t>
      </w:r>
    </w:p>
    <w:p w:rsidR="00D63B8A" w:rsidRDefault="00C613FF" w:rsidP="00D63B8A">
      <w:pPr>
        <w:pStyle w:val="Normalbullet"/>
      </w:pPr>
      <w:proofErr w:type="gramStart"/>
      <w:r>
        <w:t>t</w:t>
      </w:r>
      <w:r w:rsidR="00D63B8A">
        <w:t>erminology</w:t>
      </w:r>
      <w:proofErr w:type="gramEnd"/>
      <w:r w:rsidR="00D63B8A">
        <w:t xml:space="preserve"> that is now considered out-dated, and/or tends to lower the dignity of people with disabilities.</w:t>
      </w:r>
    </w:p>
    <w:p w:rsidR="00D63B8A" w:rsidRDefault="00D63B8A" w:rsidP="00D63B8A">
      <w:pPr>
        <w:pStyle w:val="NormalAutoChapter"/>
      </w:pPr>
      <w:r>
        <w:t xml:space="preserve">In recent years, the appetite to reflect within our legislation the changes in thinking about disability has steadily grown. In </w:t>
      </w:r>
      <w:proofErr w:type="gramStart"/>
      <w:r>
        <w:t>2010</w:t>
      </w:r>
      <w:proofErr w:type="gramEnd"/>
      <w:r>
        <w:t xml:space="preserve"> the NSW Legislative Council Standing Committee on Social Issues reviewed certain aspects of guardianship law as part of its inquiry into </w:t>
      </w:r>
      <w:r w:rsidRPr="002C31A3">
        <w:rPr>
          <w:i/>
        </w:rPr>
        <w:t xml:space="preserve">Substitute </w:t>
      </w:r>
      <w:r>
        <w:rPr>
          <w:i/>
        </w:rPr>
        <w:t>D</w:t>
      </w:r>
      <w:r w:rsidRPr="002C31A3">
        <w:rPr>
          <w:i/>
        </w:rPr>
        <w:t>ecision-</w:t>
      </w:r>
      <w:r>
        <w:rPr>
          <w:i/>
        </w:rPr>
        <w:t>M</w:t>
      </w:r>
      <w:r w:rsidRPr="002C31A3">
        <w:rPr>
          <w:i/>
        </w:rPr>
        <w:t xml:space="preserve">aking for </w:t>
      </w:r>
      <w:r>
        <w:rPr>
          <w:i/>
        </w:rPr>
        <w:t>P</w:t>
      </w:r>
      <w:r w:rsidRPr="002C31A3">
        <w:rPr>
          <w:i/>
        </w:rPr>
        <w:t xml:space="preserve">eople </w:t>
      </w:r>
      <w:r>
        <w:rPr>
          <w:i/>
        </w:rPr>
        <w:t>L</w:t>
      </w:r>
      <w:r w:rsidRPr="002C31A3">
        <w:rPr>
          <w:i/>
        </w:rPr>
        <w:t xml:space="preserve">acking </w:t>
      </w:r>
      <w:r>
        <w:rPr>
          <w:i/>
        </w:rPr>
        <w:t>C</w:t>
      </w:r>
      <w:r w:rsidRPr="002C31A3">
        <w:rPr>
          <w:i/>
        </w:rPr>
        <w:t>apacity</w:t>
      </w:r>
      <w:r>
        <w:t xml:space="preserve">. The Committee stated that the principles of the </w:t>
      </w:r>
      <w:r w:rsidRPr="00580752">
        <w:rPr>
          <w:i/>
        </w:rPr>
        <w:t>UN</w:t>
      </w:r>
      <w:r>
        <w:t xml:space="preserve"> </w:t>
      </w:r>
      <w:r w:rsidRPr="00723A23">
        <w:rPr>
          <w:i/>
        </w:rPr>
        <w:t>Convention</w:t>
      </w:r>
      <w:r>
        <w:t xml:space="preserve"> </w:t>
      </w:r>
      <w:proofErr w:type="gramStart"/>
      <w:r>
        <w:t>should be explicitly imported</w:t>
      </w:r>
      <w:proofErr w:type="gramEnd"/>
      <w:r>
        <w:t xml:space="preserve"> into NSW legislation.</w:t>
      </w:r>
      <w:r>
        <w:rPr>
          <w:rStyle w:val="FootnoteReference"/>
        </w:rPr>
        <w:footnoteReference w:id="60"/>
      </w:r>
      <w:r>
        <w:t xml:space="preserve"> It recommended legislative amendments to achieve this. For example, it made recommendations to amend guardianship legislation to:</w:t>
      </w:r>
    </w:p>
    <w:p w:rsidR="00D63B8A" w:rsidRDefault="00D63B8A" w:rsidP="00D63B8A">
      <w:pPr>
        <w:pStyle w:val="Normalbullet"/>
      </w:pPr>
      <w:r>
        <w:t>introduce a definition of capacity that acknowledges the fact that a person’s decision-making capacity varies from domain to domain and from time to time</w:t>
      </w:r>
    </w:p>
    <w:p w:rsidR="00D63B8A" w:rsidRDefault="00D63B8A" w:rsidP="00D63B8A">
      <w:pPr>
        <w:pStyle w:val="Normalbullet"/>
      </w:pPr>
      <w:r>
        <w:t>make clear that a person is not considered incapable of making a particular decision simply because they have a disability</w:t>
      </w:r>
    </w:p>
    <w:p w:rsidR="00D63B8A" w:rsidRDefault="00D63B8A" w:rsidP="00D63B8A">
      <w:pPr>
        <w:pStyle w:val="Normalbullet"/>
      </w:pPr>
      <w:r>
        <w:t>explicitly require a presumption of capacity as the starting point for any considerations</w:t>
      </w:r>
    </w:p>
    <w:p w:rsidR="00D63B8A" w:rsidRDefault="00D63B8A" w:rsidP="00D63B8A">
      <w:pPr>
        <w:pStyle w:val="Normalbullet"/>
      </w:pPr>
      <w:r>
        <w:t xml:space="preserve">include an explicit statement to the effect that the legislation supports the principle of assisted or supported decision-making, and </w:t>
      </w:r>
    </w:p>
    <w:p w:rsidR="00D63B8A" w:rsidRDefault="00D63B8A" w:rsidP="00D63B8A">
      <w:pPr>
        <w:pStyle w:val="Normalbullet"/>
      </w:pPr>
      <w:proofErr w:type="gramStart"/>
      <w:r>
        <w:t>provide</w:t>
      </w:r>
      <w:proofErr w:type="gramEnd"/>
      <w:r>
        <w:t xml:space="preserve"> for the relevant courts and tribunals to make orders for assisted decision-making arrangements and to prescribe the criteria that must be met for orders to be made.</w:t>
      </w:r>
      <w:r>
        <w:rPr>
          <w:rStyle w:val="FootnoteReference"/>
        </w:rPr>
        <w:footnoteReference w:id="61"/>
      </w:r>
    </w:p>
    <w:p w:rsidR="00D63B8A" w:rsidRDefault="00D63B8A" w:rsidP="00D63B8A">
      <w:pPr>
        <w:pStyle w:val="NormalAutoChapter"/>
      </w:pPr>
      <w:r>
        <w:t xml:space="preserve">The NSW Government supported many of the Standing Committee’s recommendations and asked that others </w:t>
      </w:r>
      <w:proofErr w:type="gramStart"/>
      <w:r>
        <w:t>be referred</w:t>
      </w:r>
      <w:proofErr w:type="gramEnd"/>
      <w:r>
        <w:t xml:space="preserve"> to us for further consideration.</w:t>
      </w:r>
      <w:r>
        <w:rPr>
          <w:rStyle w:val="FootnoteReference"/>
        </w:rPr>
        <w:footnoteReference w:id="62"/>
      </w:r>
      <w:r>
        <w:t xml:space="preserve"> To date none of the recommendations </w:t>
      </w:r>
      <w:proofErr w:type="gramStart"/>
      <w:r>
        <w:t>has been implemented</w:t>
      </w:r>
      <w:proofErr w:type="gramEnd"/>
      <w:r>
        <w:t>.</w:t>
      </w:r>
    </w:p>
    <w:p w:rsidR="00D63B8A" w:rsidRDefault="00D63B8A" w:rsidP="00D63B8A">
      <w:pPr>
        <w:pStyle w:val="NormalAutoChapter"/>
      </w:pPr>
      <w:r>
        <w:t xml:space="preserve">In May 2013 as part of its review of the </w:t>
      </w:r>
      <w:r w:rsidRPr="00012983">
        <w:rPr>
          <w:i/>
        </w:rPr>
        <w:t>Mental Health Act 2007</w:t>
      </w:r>
      <w:r>
        <w:t xml:space="preserve"> (NSW) the Ministry of Health recommended monitoring and evaluating the implementation of supported decision-making models in other jurisdictions to inform any future </w:t>
      </w:r>
      <w:proofErr w:type="gramStart"/>
      <w:r>
        <w:t>possible</w:t>
      </w:r>
      <w:proofErr w:type="gramEnd"/>
      <w:r>
        <w:t xml:space="preserve"> approach in NSW.</w:t>
      </w:r>
      <w:r>
        <w:rPr>
          <w:rStyle w:val="FootnoteReference"/>
        </w:rPr>
        <w:footnoteReference w:id="63"/>
      </w:r>
    </w:p>
    <w:p w:rsidR="00D63B8A" w:rsidRPr="007F3A9A" w:rsidRDefault="00D63B8A" w:rsidP="00D63B8A">
      <w:pPr>
        <w:pStyle w:val="NormalAutoChapter"/>
        <w:rPr>
          <w:lang w:eastAsia="en-AU"/>
        </w:rPr>
      </w:pPr>
      <w:r>
        <w:t xml:space="preserve">In December </w:t>
      </w:r>
      <w:proofErr w:type="gramStart"/>
      <w:r>
        <w:t>2014</w:t>
      </w:r>
      <w:proofErr w:type="gramEnd"/>
      <w:r>
        <w:t xml:space="preserve"> the </w:t>
      </w:r>
      <w:r w:rsidRPr="003E09ED">
        <w:rPr>
          <w:i/>
          <w:iCs/>
        </w:rPr>
        <w:t>Disability Inclusion Act 2014</w:t>
      </w:r>
      <w:r w:rsidRPr="003E09ED">
        <w:t xml:space="preserve"> (NSW) </w:t>
      </w:r>
      <w:r>
        <w:t>commenced. The Act governs how state agencies provide disability supports and services. It</w:t>
      </w:r>
      <w:r w:rsidRPr="003E09ED">
        <w:t xml:space="preserve"> replaces the </w:t>
      </w:r>
      <w:r w:rsidRPr="003E09ED">
        <w:rPr>
          <w:i/>
          <w:iCs/>
        </w:rPr>
        <w:t>Disability Services Act 1993</w:t>
      </w:r>
      <w:r w:rsidRPr="003E09ED">
        <w:t> </w:t>
      </w:r>
      <w:r>
        <w:t>(NSW)</w:t>
      </w:r>
      <w:r>
        <w:rPr>
          <w:lang w:eastAsia="en-AU"/>
        </w:rPr>
        <w:t xml:space="preserve"> </w:t>
      </w:r>
      <w:r w:rsidRPr="00224CED">
        <w:rPr>
          <w:szCs w:val="22"/>
        </w:rPr>
        <w:t>and gives expression to the social model</w:t>
      </w:r>
      <w:r>
        <w:rPr>
          <w:szCs w:val="22"/>
        </w:rPr>
        <w:t xml:space="preserve"> of disability, with objectives including:</w:t>
      </w:r>
    </w:p>
    <w:p w:rsidR="00D63B8A" w:rsidRDefault="00D63B8A" w:rsidP="00D63B8A">
      <w:pPr>
        <w:pStyle w:val="Normalbullet"/>
        <w:rPr>
          <w:lang w:eastAsia="en-AU"/>
        </w:rPr>
      </w:pPr>
      <w:r>
        <w:rPr>
          <w:lang w:eastAsia="en-AU"/>
        </w:rPr>
        <w:t>to acknowledge that people with disability have the same human rights as other members of the community and that the state and the community have a responsibility to facilitate the exercise of those rights, and</w:t>
      </w:r>
    </w:p>
    <w:p w:rsidR="00D63B8A" w:rsidRPr="002326DF" w:rsidRDefault="00D63B8A" w:rsidP="00D63B8A">
      <w:pPr>
        <w:pStyle w:val="Normalbullet"/>
        <w:rPr>
          <w:lang w:eastAsia="en-AU"/>
        </w:rPr>
      </w:pPr>
      <w:proofErr w:type="gramStart"/>
      <w:r w:rsidRPr="002326DF">
        <w:rPr>
          <w:lang w:eastAsia="en-AU"/>
        </w:rPr>
        <w:lastRenderedPageBreak/>
        <w:t>to</w:t>
      </w:r>
      <w:proofErr w:type="gramEnd"/>
      <w:r w:rsidRPr="002326DF">
        <w:rPr>
          <w:lang w:eastAsia="en-AU"/>
        </w:rPr>
        <w:t xml:space="preserve"> support, to the extent reasonably practicable, the</w:t>
      </w:r>
      <w:r>
        <w:rPr>
          <w:lang w:eastAsia="en-AU"/>
        </w:rPr>
        <w:t xml:space="preserve"> purposes and principles of the </w:t>
      </w:r>
      <w:r w:rsidRPr="004D11D4">
        <w:rPr>
          <w:i/>
          <w:lang w:eastAsia="en-AU"/>
        </w:rPr>
        <w:t>United Nations Convention on the Rights of Persons with Disabilities</w:t>
      </w:r>
      <w:r>
        <w:rPr>
          <w:lang w:eastAsia="en-AU"/>
        </w:rPr>
        <w:t>.</w:t>
      </w:r>
      <w:r>
        <w:rPr>
          <w:rStyle w:val="FootnoteReference"/>
          <w:lang w:eastAsia="en-AU"/>
        </w:rPr>
        <w:footnoteReference w:id="64"/>
      </w:r>
    </w:p>
    <w:p w:rsidR="00D63B8A" w:rsidRDefault="00D63B8A" w:rsidP="00D63B8A">
      <w:pPr>
        <w:pStyle w:val="NormalAutoChapter"/>
        <w:numPr>
          <w:ilvl w:val="0"/>
          <w:numId w:val="0"/>
        </w:numPr>
        <w:ind w:left="720"/>
        <w:rPr>
          <w:lang w:eastAsia="en-AU"/>
        </w:rPr>
      </w:pPr>
      <w:r>
        <w:rPr>
          <w:lang w:eastAsia="en-AU"/>
        </w:rPr>
        <w:t xml:space="preserve">Some of the ways in which the Act </w:t>
      </w:r>
      <w:r w:rsidRPr="003E09ED">
        <w:rPr>
          <w:lang w:eastAsia="en-AU"/>
        </w:rPr>
        <w:t xml:space="preserve">promotes the inclusion of people with disability </w:t>
      </w:r>
      <w:r>
        <w:rPr>
          <w:lang w:eastAsia="en-AU"/>
        </w:rPr>
        <w:t xml:space="preserve">are </w:t>
      </w:r>
      <w:r w:rsidRPr="003E09ED">
        <w:rPr>
          <w:lang w:eastAsia="en-AU"/>
        </w:rPr>
        <w:t>by requiring government departments and local councils to engage in disability inclusion action planning</w:t>
      </w:r>
      <w:r>
        <w:rPr>
          <w:lang w:eastAsia="en-AU"/>
        </w:rPr>
        <w:t xml:space="preserve"> and providing safeguards for people accessing disability supports and services. These include new employment screening requirements for disability workers.</w:t>
      </w:r>
      <w:r>
        <w:rPr>
          <w:rStyle w:val="FootnoteReference"/>
          <w:lang w:eastAsia="en-AU"/>
        </w:rPr>
        <w:footnoteReference w:id="65"/>
      </w:r>
      <w:r>
        <w:rPr>
          <w:lang w:eastAsia="en-AU"/>
        </w:rPr>
        <w:t xml:space="preserve"> </w:t>
      </w:r>
    </w:p>
    <w:p w:rsidR="00D63B8A" w:rsidRDefault="00D63B8A" w:rsidP="00D63B8A">
      <w:pPr>
        <w:pStyle w:val="NormalAutoChapter"/>
      </w:pPr>
      <w:r>
        <w:t xml:space="preserve">The momentum for change </w:t>
      </w:r>
      <w:proofErr w:type="gramStart"/>
      <w:r>
        <w:t>is also reflected</w:t>
      </w:r>
      <w:proofErr w:type="gramEnd"/>
      <w:r>
        <w:t xml:space="preserve"> in the preliminary submissions we received to this review. Numerous stakeholders supported changes to our laws that are consistent with the principles of the </w:t>
      </w:r>
      <w:r w:rsidRPr="0015066F">
        <w:rPr>
          <w:i/>
        </w:rPr>
        <w:t>UN</w:t>
      </w:r>
      <w:r>
        <w:rPr>
          <w:i/>
        </w:rPr>
        <w:t> </w:t>
      </w:r>
      <w:r w:rsidRPr="0015066F">
        <w:rPr>
          <w:i/>
        </w:rPr>
        <w:t>Convention</w:t>
      </w:r>
      <w:r>
        <w:t xml:space="preserve">. For example, there was broad acknowledgement of the fluctuating nature of capacity. Many submitted that our guardianship laws should reflect the fact that people have differing levels of incapacity that can change over time and depending on the decision </w:t>
      </w:r>
      <w:proofErr w:type="gramStart"/>
      <w:r>
        <w:t>being made</w:t>
      </w:r>
      <w:proofErr w:type="gramEnd"/>
      <w:r>
        <w:t>.</w:t>
      </w:r>
      <w:r>
        <w:rPr>
          <w:rStyle w:val="FootnoteReference"/>
        </w:rPr>
        <w:footnoteReference w:id="66"/>
      </w:r>
      <w:r>
        <w:t xml:space="preserve"> </w:t>
      </w:r>
    </w:p>
    <w:p w:rsidR="00D63B8A" w:rsidRDefault="00D63B8A" w:rsidP="00D63B8A">
      <w:pPr>
        <w:pStyle w:val="NormalAutoChapter"/>
      </w:pPr>
      <w:r>
        <w:t xml:space="preserve">In response to the </w:t>
      </w:r>
      <w:r w:rsidRPr="00E92AC1">
        <w:rPr>
          <w:i/>
        </w:rPr>
        <w:t>UN</w:t>
      </w:r>
      <w:r>
        <w:rPr>
          <w:i/>
        </w:rPr>
        <w:t> </w:t>
      </w:r>
      <w:r w:rsidRPr="00E92AC1">
        <w:rPr>
          <w:i/>
        </w:rPr>
        <w:t>Convention’s</w:t>
      </w:r>
      <w:r>
        <w:t xml:space="preserve"> requirement that any instrument that removes or restricts autonomy should be subject to regular review,</w:t>
      </w:r>
      <w:r>
        <w:rPr>
          <w:rStyle w:val="FootnoteReference"/>
        </w:rPr>
        <w:footnoteReference w:id="67"/>
      </w:r>
      <w:r>
        <w:t xml:space="preserve"> a number of submissions call for the regular automatic review of financial management orders,</w:t>
      </w:r>
      <w:r>
        <w:rPr>
          <w:rStyle w:val="FootnoteReference"/>
        </w:rPr>
        <w:footnoteReference w:id="68"/>
      </w:r>
      <w:r>
        <w:t xml:space="preserve"> for which the </w:t>
      </w:r>
      <w:r w:rsidRPr="00876BAD">
        <w:rPr>
          <w:i/>
        </w:rPr>
        <w:t>Guardianship Act</w:t>
      </w:r>
      <w:r>
        <w:t xml:space="preserve"> does not currently provide. An alternate view expressed is that the legislation already provides appropriate safeguards to ensure financial management orders do not continue indefinitely.</w:t>
      </w:r>
      <w:r>
        <w:rPr>
          <w:rStyle w:val="FootnoteReference"/>
        </w:rPr>
        <w:footnoteReference w:id="69"/>
      </w:r>
    </w:p>
    <w:p w:rsidR="00D63B8A" w:rsidRDefault="00D63B8A" w:rsidP="00D63B8A">
      <w:pPr>
        <w:pStyle w:val="NormalAutoChapter"/>
      </w:pPr>
      <w:r>
        <w:t xml:space="preserve">A number of stakeholders also favour enshrining a supported decision-making model into the </w:t>
      </w:r>
      <w:r w:rsidRPr="00326F35">
        <w:rPr>
          <w:i/>
        </w:rPr>
        <w:t>Guardianship Act</w:t>
      </w:r>
      <w:r>
        <w:t xml:space="preserve"> or better facilitating its use.</w:t>
      </w:r>
      <w:r>
        <w:rPr>
          <w:rStyle w:val="FootnoteReference"/>
        </w:rPr>
        <w:footnoteReference w:id="70"/>
      </w:r>
      <w:r>
        <w:t xml:space="preserve"> Some stakeholders submit that substitute decision-making </w:t>
      </w:r>
      <w:proofErr w:type="gramStart"/>
      <w:r>
        <w:t>should be removed</w:t>
      </w:r>
      <w:proofErr w:type="gramEnd"/>
      <w:r>
        <w:t xml:space="preserve"> from the legislation entirely</w:t>
      </w:r>
      <w:r>
        <w:rPr>
          <w:rStyle w:val="FootnoteReference"/>
        </w:rPr>
        <w:footnoteReference w:id="71"/>
      </w:r>
      <w:r>
        <w:t xml:space="preserve"> while others advocate for an approach where substitute decision-making is the last resort in limited circumstances.</w:t>
      </w:r>
      <w:r>
        <w:rPr>
          <w:rStyle w:val="FootnoteReference"/>
        </w:rPr>
        <w:footnoteReference w:id="72"/>
      </w:r>
    </w:p>
    <w:p w:rsidR="00D63B8A" w:rsidRDefault="00D63B8A" w:rsidP="00D63B8A">
      <w:pPr>
        <w:pStyle w:val="NormalAutoChapter"/>
        <w:rPr>
          <w:lang w:eastAsia="en-AU"/>
        </w:rPr>
      </w:pPr>
      <w:r>
        <w:t xml:space="preserve">There is recognition as well of the complex issues involved in introducing supported decision-making. </w:t>
      </w:r>
      <w:r>
        <w:rPr>
          <w:lang w:eastAsia="en-AU"/>
        </w:rPr>
        <w:t>The Mental Health and Wellbeing Consumer Advisory Group, BEING, says:</w:t>
      </w:r>
    </w:p>
    <w:p w:rsidR="00D63B8A" w:rsidRDefault="00D63B8A" w:rsidP="00D63B8A">
      <w:pPr>
        <w:pStyle w:val="Normalindent"/>
        <w:rPr>
          <w:lang w:eastAsia="en-AU"/>
        </w:rPr>
      </w:pPr>
      <w:r>
        <w:rPr>
          <w:lang w:eastAsia="en-AU"/>
        </w:rPr>
        <w:t xml:space="preserve">[T]here will need to be safeguards and accountability measures to ensure the support person is genuinely supportive. For example, the support person would </w:t>
      </w:r>
      <w:r>
        <w:rPr>
          <w:lang w:eastAsia="en-AU"/>
        </w:rPr>
        <w:lastRenderedPageBreak/>
        <w:t xml:space="preserve">need </w:t>
      </w:r>
      <w:proofErr w:type="gramStart"/>
      <w:r>
        <w:rPr>
          <w:lang w:eastAsia="en-AU"/>
        </w:rPr>
        <w:t>to effectively communicate</w:t>
      </w:r>
      <w:proofErr w:type="gramEnd"/>
      <w:r>
        <w:rPr>
          <w:lang w:eastAsia="en-AU"/>
        </w:rPr>
        <w:t xml:space="preserve"> to the person the information they would need to make the decision. The Commission would need to consider the extent that the support person </w:t>
      </w:r>
      <w:proofErr w:type="gramStart"/>
      <w:r>
        <w:rPr>
          <w:lang w:eastAsia="en-AU"/>
        </w:rPr>
        <w:t>should be held</w:t>
      </w:r>
      <w:proofErr w:type="gramEnd"/>
      <w:r>
        <w:rPr>
          <w:lang w:eastAsia="en-AU"/>
        </w:rPr>
        <w:t xml:space="preserve"> accountable for the decision made. There is a risk that support persons, for fear of being held accountable for decisions, would prevent individuals from making ‘bad’ decisions – even if the individual </w:t>
      </w:r>
      <w:proofErr w:type="gramStart"/>
      <w:r>
        <w:rPr>
          <w:lang w:eastAsia="en-AU"/>
        </w:rPr>
        <w:t>is</w:t>
      </w:r>
      <w:proofErr w:type="gramEnd"/>
      <w:r>
        <w:rPr>
          <w:lang w:eastAsia="en-AU"/>
        </w:rPr>
        <w:t xml:space="preserve"> genuinely exercising their choice and control.</w:t>
      </w:r>
      <w:r>
        <w:rPr>
          <w:rStyle w:val="FootnoteReference"/>
          <w:lang w:eastAsia="en-AU"/>
        </w:rPr>
        <w:footnoteReference w:id="73"/>
      </w:r>
    </w:p>
    <w:p w:rsidR="00D63B8A" w:rsidRDefault="00D63B8A" w:rsidP="0087265C">
      <w:pPr>
        <w:pStyle w:val="Heading2"/>
      </w:pPr>
      <w:bookmarkStart w:id="70" w:name="_Toc454196049"/>
      <w:bookmarkStart w:id="71" w:name="_Toc454202789"/>
      <w:r>
        <w:t>Other jurisdictions within Australia</w:t>
      </w:r>
      <w:bookmarkEnd w:id="70"/>
      <w:bookmarkEnd w:id="71"/>
    </w:p>
    <w:p w:rsidR="00D63B8A" w:rsidRDefault="00D63B8A" w:rsidP="00D63B8A">
      <w:pPr>
        <w:pStyle w:val="NormalAutoChapter"/>
      </w:pPr>
      <w:r>
        <w:t>All Australian states and territories have guardianship laws that are broadly similar to those in NSW. With the exception of some recent amendments to Victoria’s powers of attorney laws,</w:t>
      </w:r>
      <w:r>
        <w:rPr>
          <w:rStyle w:val="FootnoteReference"/>
        </w:rPr>
        <w:footnoteReference w:id="74"/>
      </w:r>
      <w:r>
        <w:t xml:space="preserve"> no Australian jurisdiction has yet introduced any legislative basis for supported decision-making mechanisms. Only Victoria, Queensland and Western Australia give the presumption of capacity statutory force.</w:t>
      </w:r>
      <w:r>
        <w:rPr>
          <w:rStyle w:val="FootnoteReference"/>
        </w:rPr>
        <w:footnoteReference w:id="75"/>
      </w:r>
    </w:p>
    <w:p w:rsidR="00D63B8A" w:rsidRDefault="00D63B8A" w:rsidP="00D63B8A">
      <w:pPr>
        <w:pStyle w:val="NormalAutoChapter"/>
      </w:pPr>
      <w:r>
        <w:t xml:space="preserve">Like in NSW, other jurisdictions have recommendations outstanding to change their legislation, and those recommendations largely represent a shift towards the principles that underpin the </w:t>
      </w:r>
      <w:r w:rsidRPr="00876BAD">
        <w:rPr>
          <w:i/>
        </w:rPr>
        <w:t>UN Convention</w:t>
      </w:r>
      <w:r>
        <w:t xml:space="preserve">. </w:t>
      </w:r>
    </w:p>
    <w:p w:rsidR="00D63B8A" w:rsidRDefault="00D63B8A" w:rsidP="00D63B8A">
      <w:pPr>
        <w:pStyle w:val="NormalAutoChapter"/>
      </w:pPr>
      <w:r>
        <w:t>The Queensland Law Reform Commission reviewed the state’s guardianship laws in 2010.</w:t>
      </w:r>
      <w:r>
        <w:rPr>
          <w:rStyle w:val="FootnoteReference"/>
        </w:rPr>
        <w:footnoteReference w:id="76"/>
      </w:r>
      <w:r>
        <w:t xml:space="preserve"> Its recommendations included:</w:t>
      </w:r>
    </w:p>
    <w:p w:rsidR="00D63B8A" w:rsidRDefault="00C613FF" w:rsidP="00D63B8A">
      <w:pPr>
        <w:pStyle w:val="Normalbullet"/>
      </w:pPr>
      <w:r>
        <w:t>i</w:t>
      </w:r>
      <w:r w:rsidR="00D63B8A">
        <w:t xml:space="preserve">ncorporating principles of the </w:t>
      </w:r>
      <w:r w:rsidR="00D63B8A" w:rsidRPr="003124B3">
        <w:rPr>
          <w:i/>
        </w:rPr>
        <w:t>UN Convention</w:t>
      </w:r>
      <w:r w:rsidR="00D63B8A">
        <w:t xml:space="preserve"> into the general principles of the legislation</w:t>
      </w:r>
    </w:p>
    <w:p w:rsidR="00D63B8A" w:rsidRDefault="00C613FF" w:rsidP="00D63B8A">
      <w:pPr>
        <w:pStyle w:val="Normalbullet"/>
      </w:pPr>
      <w:r>
        <w:t>c</w:t>
      </w:r>
      <w:r w:rsidR="00D63B8A">
        <w:t>larifying within the legislation how the presumption of capacity is to be applied, and</w:t>
      </w:r>
    </w:p>
    <w:p w:rsidR="00D63B8A" w:rsidRDefault="00C613FF" w:rsidP="00D63B8A">
      <w:pPr>
        <w:pStyle w:val="Normalbullet"/>
      </w:pPr>
      <w:proofErr w:type="gramStart"/>
      <w:r>
        <w:t>g</w:t>
      </w:r>
      <w:r w:rsidR="00D63B8A">
        <w:t>iving</w:t>
      </w:r>
      <w:proofErr w:type="gramEnd"/>
      <w:r w:rsidR="00D63B8A">
        <w:t xml:space="preserve"> greater recognition to the rights and interests of adults who have fluctuating capacity by allowing limits to be placed on an appointed decision-maker’s powers depending on the capacity the adult has at any given time.</w:t>
      </w:r>
    </w:p>
    <w:p w:rsidR="00D63B8A" w:rsidRDefault="00D63B8A" w:rsidP="00D63B8A">
      <w:pPr>
        <w:pStyle w:val="NormalAutoChapter"/>
        <w:numPr>
          <w:ilvl w:val="0"/>
          <w:numId w:val="0"/>
        </w:numPr>
        <w:ind w:left="720"/>
      </w:pPr>
      <w:r>
        <w:t xml:space="preserve">These recommendations have yet to </w:t>
      </w:r>
      <w:proofErr w:type="gramStart"/>
      <w:r>
        <w:t>be implemented</w:t>
      </w:r>
      <w:proofErr w:type="gramEnd"/>
      <w:r>
        <w:t>.</w:t>
      </w:r>
    </w:p>
    <w:p w:rsidR="00D63B8A" w:rsidRDefault="00D63B8A" w:rsidP="00D63B8A">
      <w:pPr>
        <w:pStyle w:val="NormalAutoChapter"/>
      </w:pPr>
      <w:r>
        <w:t>The Victorian Law Reform Commission completed a review of Victoria’s guardianship laws in 2012.</w:t>
      </w:r>
      <w:r>
        <w:rPr>
          <w:rStyle w:val="FootnoteReference"/>
        </w:rPr>
        <w:footnoteReference w:id="77"/>
      </w:r>
      <w:r>
        <w:t xml:space="preserve"> Its recommendations included introducing:</w:t>
      </w:r>
    </w:p>
    <w:p w:rsidR="00D63B8A" w:rsidRDefault="00D63B8A" w:rsidP="00D63B8A">
      <w:pPr>
        <w:pStyle w:val="Normalbullet"/>
      </w:pPr>
      <w:r>
        <w:t>a modern capacity standard and new capacity assessment principles that reflected a more realistic understanding of capacity</w:t>
      </w:r>
    </w:p>
    <w:p w:rsidR="00D63B8A" w:rsidRDefault="00C613FF" w:rsidP="00D63B8A">
      <w:pPr>
        <w:pStyle w:val="Normalbullet"/>
      </w:pPr>
      <w:r>
        <w:t>a</w:t>
      </w:r>
      <w:r w:rsidR="00D63B8A">
        <w:t xml:space="preserve"> requirement that substitute decision-makers consider the expressed wishes of the person – both past and present – and place those wishes in the context of the person’s current circumstances</w:t>
      </w:r>
    </w:p>
    <w:p w:rsidR="00D63B8A" w:rsidRDefault="00C613FF" w:rsidP="00D63B8A">
      <w:pPr>
        <w:pStyle w:val="Normalbullet"/>
      </w:pPr>
      <w:r>
        <w:lastRenderedPageBreak/>
        <w:t>a</w:t>
      </w:r>
      <w:r w:rsidR="00D63B8A">
        <w:t xml:space="preserve"> wider range of decision-making assistance based on laws introduced in Canada, including new supported decision-making arrangements and new co-decision-making arrangements</w:t>
      </w:r>
    </w:p>
    <w:p w:rsidR="00D63B8A" w:rsidRDefault="00C613FF" w:rsidP="00D63B8A">
      <w:pPr>
        <w:pStyle w:val="Normalbullet"/>
      </w:pPr>
      <w:r>
        <w:t>a</w:t>
      </w:r>
      <w:r w:rsidR="00D63B8A">
        <w:t xml:space="preserve"> new tripartite authorisation process for use by some hospitals, supported accommodation and residential facilities when action is taken to restrict a person’s liberty</w:t>
      </w:r>
    </w:p>
    <w:p w:rsidR="00D63B8A" w:rsidRDefault="00C613FF" w:rsidP="00D63B8A">
      <w:pPr>
        <w:pStyle w:val="Normalbullet"/>
      </w:pPr>
      <w:r>
        <w:t>i</w:t>
      </w:r>
      <w:r w:rsidR="00D63B8A">
        <w:t>mproved accountability mechanisms for people who have responsibilities under guardianship law</w:t>
      </w:r>
    </w:p>
    <w:p w:rsidR="00D63B8A" w:rsidRDefault="00C613FF" w:rsidP="00D63B8A">
      <w:pPr>
        <w:pStyle w:val="Normalbullet"/>
      </w:pPr>
      <w:r>
        <w:t>n</w:t>
      </w:r>
      <w:r w:rsidR="00D63B8A">
        <w:t>ew civil penalties for abusing, neglecting or exploiting a person with impaired decision-making ability, and</w:t>
      </w:r>
    </w:p>
    <w:p w:rsidR="00D63B8A" w:rsidRPr="0030519D" w:rsidRDefault="00C613FF" w:rsidP="00D63B8A">
      <w:pPr>
        <w:pStyle w:val="Normalbullet"/>
      </w:pPr>
      <w:proofErr w:type="gramStart"/>
      <w:r>
        <w:t>a</w:t>
      </w:r>
      <w:proofErr w:type="gramEnd"/>
      <w:r w:rsidR="00D63B8A" w:rsidRPr="0030519D">
        <w:t xml:space="preserve"> stronger role for the Public Advocate</w:t>
      </w:r>
      <w:r w:rsidR="00D63B8A">
        <w:t>.</w:t>
      </w:r>
    </w:p>
    <w:p w:rsidR="00D63B8A" w:rsidRPr="00217B62" w:rsidRDefault="00D63B8A" w:rsidP="00D63B8A">
      <w:pPr>
        <w:pStyle w:val="Normalbullet"/>
        <w:numPr>
          <w:ilvl w:val="0"/>
          <w:numId w:val="0"/>
        </w:numPr>
        <w:ind w:left="720"/>
        <w:rPr>
          <w:shd w:val="clear" w:color="auto" w:fill="FFFFFF"/>
        </w:rPr>
      </w:pPr>
      <w:r w:rsidRPr="0030519D">
        <w:rPr>
          <w:shd w:val="clear" w:color="auto" w:fill="FFFFFF"/>
        </w:rPr>
        <w:t xml:space="preserve">In September 2015 the </w:t>
      </w:r>
      <w:r w:rsidRPr="00BA1505">
        <w:rPr>
          <w:i/>
          <w:shd w:val="clear" w:color="auto" w:fill="FFFFFF"/>
        </w:rPr>
        <w:t xml:space="preserve">Powers of Attorney Act 2014 </w:t>
      </w:r>
      <w:r w:rsidRPr="0030519D">
        <w:rPr>
          <w:shd w:val="clear" w:color="auto" w:fill="FFFFFF"/>
        </w:rPr>
        <w:t xml:space="preserve">(Vic) commenced, which </w:t>
      </w:r>
      <w:r>
        <w:rPr>
          <w:shd w:val="clear" w:color="auto" w:fill="FFFFFF"/>
        </w:rPr>
        <w:t xml:space="preserve">adopted some of the review’s recommendations. Among other </w:t>
      </w:r>
      <w:proofErr w:type="gramStart"/>
      <w:r>
        <w:rPr>
          <w:shd w:val="clear" w:color="auto" w:fill="FFFFFF"/>
        </w:rPr>
        <w:t>things</w:t>
      </w:r>
      <w:proofErr w:type="gramEnd"/>
      <w:r>
        <w:rPr>
          <w:shd w:val="clear" w:color="auto" w:fill="FFFFFF"/>
        </w:rPr>
        <w:t xml:space="preserve"> it</w:t>
      </w:r>
      <w:r w:rsidRPr="0030519D">
        <w:rPr>
          <w:shd w:val="clear" w:color="auto" w:fill="FFFFFF"/>
        </w:rPr>
        <w:t xml:space="preserve"> introduce</w:t>
      </w:r>
      <w:r>
        <w:rPr>
          <w:shd w:val="clear" w:color="auto" w:fill="FFFFFF"/>
        </w:rPr>
        <w:t>d</w:t>
      </w:r>
      <w:r w:rsidRPr="0030519D">
        <w:rPr>
          <w:shd w:val="clear" w:color="auto" w:fill="FFFFFF"/>
        </w:rPr>
        <w:t xml:space="preserve"> a new role of </w:t>
      </w:r>
      <w:r>
        <w:rPr>
          <w:shd w:val="clear" w:color="auto" w:fill="FFFFFF"/>
        </w:rPr>
        <w:t>“</w:t>
      </w:r>
      <w:r w:rsidRPr="0030519D">
        <w:rPr>
          <w:shd w:val="clear" w:color="auto" w:fill="FFFFFF"/>
        </w:rPr>
        <w:t>supportive attorney</w:t>
      </w:r>
      <w:r>
        <w:rPr>
          <w:shd w:val="clear" w:color="auto" w:fill="FFFFFF"/>
        </w:rPr>
        <w:t>”</w:t>
      </w:r>
      <w:r w:rsidRPr="0030519D">
        <w:rPr>
          <w:shd w:val="clear" w:color="auto" w:fill="FFFFFF"/>
        </w:rPr>
        <w:t xml:space="preserve">. </w:t>
      </w:r>
      <w:r w:rsidRPr="0030519D">
        <w:rPr>
          <w:lang w:val="en" w:eastAsia="en-AU"/>
        </w:rPr>
        <w:t xml:space="preserve">Supportive attorney appointments provide a way for a person to </w:t>
      </w:r>
      <w:proofErr w:type="gramStart"/>
      <w:r w:rsidRPr="0030519D">
        <w:rPr>
          <w:lang w:val="en" w:eastAsia="en-AU"/>
        </w:rPr>
        <w:t>be supported</w:t>
      </w:r>
      <w:proofErr w:type="gramEnd"/>
      <w:r w:rsidRPr="0030519D">
        <w:rPr>
          <w:lang w:val="en" w:eastAsia="en-AU"/>
        </w:rPr>
        <w:t xml:space="preserve"> to make and act on their decisions, while retaining decision-making authority.</w:t>
      </w:r>
      <w:r>
        <w:rPr>
          <w:lang w:val="en" w:eastAsia="en-AU"/>
        </w:rPr>
        <w:t xml:space="preserve"> </w:t>
      </w:r>
      <w:r w:rsidRPr="0030519D">
        <w:rPr>
          <w:shd w:val="clear" w:color="auto" w:fill="FFFFFF"/>
        </w:rPr>
        <w:t xml:space="preserve">Many other recommendations were contained in the </w:t>
      </w:r>
      <w:r w:rsidRPr="005A71C1">
        <w:rPr>
          <w:shd w:val="clear" w:color="auto" w:fill="FFFFFF"/>
        </w:rPr>
        <w:t xml:space="preserve">Guardianship and Administration Bill 2014 </w:t>
      </w:r>
      <w:r w:rsidRPr="0030519D">
        <w:rPr>
          <w:shd w:val="clear" w:color="auto" w:fill="FFFFFF"/>
        </w:rPr>
        <w:t>(Vic) which to date has not been passed.</w:t>
      </w:r>
      <w:r>
        <w:rPr>
          <w:shd w:val="clear" w:color="auto" w:fill="FFFFFF"/>
        </w:rPr>
        <w:t xml:space="preserve"> </w:t>
      </w:r>
    </w:p>
    <w:p w:rsidR="00D63B8A" w:rsidRDefault="00D63B8A" w:rsidP="00D63B8A">
      <w:pPr>
        <w:pStyle w:val="NormalAutoChapter"/>
      </w:pPr>
      <w:r>
        <w:t xml:space="preserve">In </w:t>
      </w:r>
      <w:proofErr w:type="gramStart"/>
      <w:r>
        <w:t>2014</w:t>
      </w:r>
      <w:proofErr w:type="gramEnd"/>
      <w:r>
        <w:t xml:space="preserve"> the Australian Law Reform Commission (ALRC) released the report </w:t>
      </w:r>
      <w:r w:rsidRPr="009041BF">
        <w:rPr>
          <w:i/>
        </w:rPr>
        <w:t>Equality, Capacity and Disability in Commonwealth Laws</w:t>
      </w:r>
      <w:r>
        <w:t>.</w:t>
      </w:r>
      <w:r>
        <w:rPr>
          <w:rStyle w:val="FootnoteReference"/>
        </w:rPr>
        <w:footnoteReference w:id="78"/>
      </w:r>
      <w:r>
        <w:t xml:space="preserve"> Its recommendations included the adoption of four National Decision-Making Principles: the rights of all people to make and have decisions </w:t>
      </w:r>
      <w:proofErr w:type="gramStart"/>
      <w:r>
        <w:t>respected; to be supported</w:t>
      </w:r>
      <w:proofErr w:type="gramEnd"/>
      <w:r>
        <w:t xml:space="preserve"> to make decisions; for supported decisions to be directed by the “will, preferences and rights” of the person, and for provision of appropriate safeguards.</w:t>
      </w:r>
      <w:r>
        <w:rPr>
          <w:rStyle w:val="FootnoteReference"/>
        </w:rPr>
        <w:footnoteReference w:id="79"/>
      </w:r>
    </w:p>
    <w:p w:rsidR="00D63B8A" w:rsidRDefault="00D63B8A" w:rsidP="00D63B8A">
      <w:pPr>
        <w:pStyle w:val="NormalAutoChapter"/>
      </w:pPr>
      <w:r>
        <w:t xml:space="preserve">In addition to these principles, the ALRC recommended that a supported decision-making model </w:t>
      </w:r>
      <w:proofErr w:type="gramStart"/>
      <w:r>
        <w:t>be introduced at Commonwealth level and applied to the N</w:t>
      </w:r>
      <w:r w:rsidR="00C275FC">
        <w:t>ational Disability Insurance Scheme</w:t>
      </w:r>
      <w:r>
        <w:t xml:space="preserve"> (discussed further below) and other existing Commonwealth legislative schemes</w:t>
      </w:r>
      <w:proofErr w:type="gramEnd"/>
      <w:r>
        <w:t xml:space="preserve">. </w:t>
      </w:r>
    </w:p>
    <w:p w:rsidR="00D63B8A" w:rsidRDefault="00D63B8A" w:rsidP="00D63B8A">
      <w:pPr>
        <w:pStyle w:val="NormalAutoChapter"/>
      </w:pPr>
      <w:r w:rsidRPr="009412A6">
        <w:t xml:space="preserve">The ALRC further recommended that state and territory governments review their decision-making legislation to ensure laws are consistent with its National Decision-Making Principles and Commonwealth decision-making model. </w:t>
      </w:r>
    </w:p>
    <w:p w:rsidR="006C5C02" w:rsidRPr="009412A6" w:rsidRDefault="006C5C02" w:rsidP="00D63B8A">
      <w:pPr>
        <w:pStyle w:val="NormalAutoChapter"/>
      </w:pPr>
      <w:r>
        <w:t xml:space="preserve">In November </w:t>
      </w:r>
      <w:proofErr w:type="gramStart"/>
      <w:r>
        <w:t>2015</w:t>
      </w:r>
      <w:proofErr w:type="gramEnd"/>
      <w:r>
        <w:t xml:space="preserve"> the Commonwealth Senate Community Affairs References Committee reported on </w:t>
      </w:r>
      <w:r>
        <w:rPr>
          <w:i/>
        </w:rPr>
        <w:t>Violence, Abuse and Neglect against People with Disability in Institutional and Residential Settings</w:t>
      </w:r>
      <w:r>
        <w:t>.</w:t>
      </w:r>
      <w:r>
        <w:rPr>
          <w:rStyle w:val="FootnoteReference"/>
        </w:rPr>
        <w:footnoteReference w:id="80"/>
      </w:r>
      <w:r>
        <w:t xml:space="preserve"> Its recommendations included driving a nationally consistent move away from substitute decision-making towards supported decision-making models.</w:t>
      </w:r>
      <w:r w:rsidR="00376125">
        <w:rPr>
          <w:rStyle w:val="FootnoteReference"/>
        </w:rPr>
        <w:footnoteReference w:id="81"/>
      </w:r>
      <w:r>
        <w:t xml:space="preserve"> </w:t>
      </w:r>
    </w:p>
    <w:p w:rsidR="00D63B8A" w:rsidRDefault="00D63B8A" w:rsidP="00D63B8A">
      <w:pPr>
        <w:pStyle w:val="NormalAutoChapter"/>
      </w:pPr>
      <w:r>
        <w:lastRenderedPageBreak/>
        <w:t xml:space="preserve">Neither the Commonwealth nor other states and territories have yet moved to incorporate any of the recommendations of the ALRC </w:t>
      </w:r>
      <w:r w:rsidR="006C5C02">
        <w:t xml:space="preserve">or Senate </w:t>
      </w:r>
      <w:r>
        <w:t>report</w:t>
      </w:r>
      <w:r w:rsidR="006C5C02">
        <w:t>s</w:t>
      </w:r>
      <w:r>
        <w:t xml:space="preserve"> into their guardianship laws.  </w:t>
      </w:r>
    </w:p>
    <w:p w:rsidR="00D63B8A" w:rsidRDefault="00D63B8A" w:rsidP="00D63B8A">
      <w:pPr>
        <w:pStyle w:val="NormalAutoChapter"/>
      </w:pPr>
      <w:r>
        <w:t xml:space="preserve">The ACT Law Reform Advisory Council is currently reviewing its </w:t>
      </w:r>
      <w:r>
        <w:rPr>
          <w:i/>
        </w:rPr>
        <w:t>Guardianship and Management of Property Act 1991</w:t>
      </w:r>
      <w:r>
        <w:t xml:space="preserve"> (ACT) but </w:t>
      </w:r>
      <w:proofErr w:type="gramStart"/>
      <w:r>
        <w:t>has yet</w:t>
      </w:r>
      <w:proofErr w:type="gramEnd"/>
      <w:r>
        <w:t xml:space="preserve"> to make any recommendations.</w:t>
      </w:r>
    </w:p>
    <w:p w:rsidR="00D63B8A" w:rsidRDefault="00D63B8A" w:rsidP="0087265C">
      <w:pPr>
        <w:pStyle w:val="Heading2"/>
      </w:pPr>
      <w:bookmarkStart w:id="72" w:name="_Toc454196050"/>
      <w:bookmarkStart w:id="73" w:name="_Toc454202790"/>
      <w:r>
        <w:t>Other jurisdictions overseas</w:t>
      </w:r>
      <w:bookmarkEnd w:id="72"/>
      <w:bookmarkEnd w:id="73"/>
    </w:p>
    <w:p w:rsidR="00D63B8A" w:rsidRDefault="00D63B8A" w:rsidP="00D63B8A">
      <w:pPr>
        <w:pStyle w:val="NormalAutoChapter"/>
      </w:pPr>
      <w:r>
        <w:t>Several Canadian provinces have introduced mechanisms to facilitate and encourage supported decision-making arrangements; for example, supported decision-making authorisations and co-decision making orders in Alberta,</w:t>
      </w:r>
      <w:r>
        <w:rPr>
          <w:rStyle w:val="FootnoteReference"/>
        </w:rPr>
        <w:footnoteReference w:id="82"/>
      </w:r>
      <w:r>
        <w:t xml:space="preserve"> property co-decision makers in Saskatchewan</w:t>
      </w:r>
      <w:r>
        <w:rPr>
          <w:rStyle w:val="FootnoteReference"/>
        </w:rPr>
        <w:footnoteReference w:id="83"/>
      </w:r>
      <w:r>
        <w:t xml:space="preserve"> and representation agreements in British Columbia.</w:t>
      </w:r>
      <w:r>
        <w:rPr>
          <w:rStyle w:val="FootnoteReference"/>
        </w:rPr>
        <w:footnoteReference w:id="84"/>
      </w:r>
      <w:r>
        <w:t xml:space="preserve"> </w:t>
      </w:r>
    </w:p>
    <w:p w:rsidR="00D63B8A" w:rsidRPr="00474D92" w:rsidRDefault="00D63B8A" w:rsidP="00D63B8A">
      <w:pPr>
        <w:pStyle w:val="NormalAutoChapter"/>
        <w:rPr>
          <w:color w:val="2A2A2A"/>
          <w:szCs w:val="22"/>
          <w:lang w:eastAsia="en-AU"/>
        </w:rPr>
      </w:pPr>
      <w:r>
        <w:t xml:space="preserve">In </w:t>
      </w:r>
      <w:r w:rsidRPr="00474D92">
        <w:t xml:space="preserve">England and </w:t>
      </w:r>
      <w:proofErr w:type="gramStart"/>
      <w:r w:rsidRPr="00474D92">
        <w:t>Wales</w:t>
      </w:r>
      <w:proofErr w:type="gramEnd"/>
      <w:r w:rsidRPr="00474D92">
        <w:t xml:space="preserve"> the </w:t>
      </w:r>
      <w:r w:rsidRPr="00BA1505">
        <w:rPr>
          <w:i/>
        </w:rPr>
        <w:t>Mental Capacity Act 2005</w:t>
      </w:r>
      <w:r w:rsidRPr="00474D92">
        <w:t xml:space="preserve"> includes a detailed incapacity standard as well as principles that have to be applied when assessing whether a person meets the standard. </w:t>
      </w:r>
      <w:r w:rsidRPr="00474D92">
        <w:rPr>
          <w:szCs w:val="22"/>
          <w:lang w:eastAsia="en-AU"/>
        </w:rPr>
        <w:t xml:space="preserve">A person </w:t>
      </w:r>
      <w:proofErr w:type="gramStart"/>
      <w:r w:rsidRPr="00474D92">
        <w:rPr>
          <w:szCs w:val="22"/>
          <w:lang w:eastAsia="en-AU"/>
        </w:rPr>
        <w:t>cannot be found</w:t>
      </w:r>
      <w:proofErr w:type="gramEnd"/>
      <w:r w:rsidRPr="00474D92">
        <w:rPr>
          <w:szCs w:val="22"/>
          <w:lang w:eastAsia="en-AU"/>
        </w:rPr>
        <w:t xml:space="preserve"> to be incapable of making autonomous decisions until all practical steps have been undertaken to demonstrate this.</w:t>
      </w:r>
      <w:r>
        <w:rPr>
          <w:rStyle w:val="FootnoteReference"/>
          <w:szCs w:val="22"/>
          <w:lang w:eastAsia="en-AU"/>
        </w:rPr>
        <w:footnoteReference w:id="85"/>
      </w:r>
      <w:r w:rsidRPr="00474D92">
        <w:rPr>
          <w:szCs w:val="22"/>
          <w:lang w:eastAsia="en-AU"/>
        </w:rPr>
        <w:t xml:space="preserve"> </w:t>
      </w:r>
    </w:p>
    <w:p w:rsidR="00D63B8A" w:rsidRPr="004C7D37" w:rsidRDefault="00D63B8A" w:rsidP="00D63B8A">
      <w:pPr>
        <w:pStyle w:val="NormalAutoChapter"/>
      </w:pPr>
      <w:r>
        <w:t xml:space="preserve">Ireland’s </w:t>
      </w:r>
      <w:r w:rsidRPr="00BA1505">
        <w:rPr>
          <w:i/>
        </w:rPr>
        <w:t>Assisted Decision-Making (Capacity) Act 2015</w:t>
      </w:r>
      <w:r>
        <w:t xml:space="preserve"> specifically recognises that if</w:t>
      </w:r>
      <w:r>
        <w:rPr>
          <w:shd w:val="clear" w:color="auto" w:fill="FFFFFF"/>
        </w:rPr>
        <w:t xml:space="preserve"> a person lacks decision-making capacity in a particular matter, this will not necessarily mean that they lack capacity in other matters.</w:t>
      </w:r>
      <w:r>
        <w:rPr>
          <w:rStyle w:val="FootnoteReference"/>
          <w:shd w:val="clear" w:color="auto" w:fill="FFFFFF"/>
        </w:rPr>
        <w:footnoteReference w:id="86"/>
      </w:r>
      <w:r>
        <w:rPr>
          <w:shd w:val="clear" w:color="auto" w:fill="FFFFFF"/>
        </w:rPr>
        <w:t xml:space="preserve"> The Act also recognises that capacity can fluctuate.</w:t>
      </w:r>
      <w:r>
        <w:rPr>
          <w:rStyle w:val="FootnoteReference"/>
          <w:shd w:val="clear" w:color="auto" w:fill="FFFFFF"/>
        </w:rPr>
        <w:footnoteReference w:id="87"/>
      </w:r>
      <w:r>
        <w:rPr>
          <w:shd w:val="clear" w:color="auto" w:fill="FFFFFF"/>
        </w:rPr>
        <w:t xml:space="preserve"> It</w:t>
      </w:r>
      <w:r w:rsidRPr="000E027B">
        <w:rPr>
          <w:shd w:val="clear" w:color="auto" w:fill="FFFFFF"/>
        </w:rPr>
        <w:t xml:space="preserve"> introduces three types of decision-making support options to respond to the range of support needs that people may have in relation to decision-making capacity: assisted decision-making, co-decision-making and the appointment of a decision-making representative for people who are not able to make decisions even with </w:t>
      </w:r>
      <w:r>
        <w:rPr>
          <w:shd w:val="clear" w:color="auto" w:fill="FFFFFF"/>
        </w:rPr>
        <w:t>help</w:t>
      </w:r>
      <w:r w:rsidRPr="000E027B">
        <w:rPr>
          <w:shd w:val="clear" w:color="auto" w:fill="FFFFFF"/>
        </w:rPr>
        <w:t>.</w:t>
      </w:r>
      <w:r>
        <w:rPr>
          <w:rStyle w:val="FootnoteReference"/>
          <w:shd w:val="clear" w:color="auto" w:fill="FFFFFF"/>
        </w:rPr>
        <w:footnoteReference w:id="88"/>
      </w:r>
    </w:p>
    <w:p w:rsidR="00D63B8A" w:rsidRDefault="00D63B8A" w:rsidP="00D63B8A">
      <w:pPr>
        <w:pStyle w:val="Heading1"/>
        <w:rPr>
          <w:shd w:val="clear" w:color="auto" w:fill="FFFFFF"/>
        </w:rPr>
      </w:pPr>
      <w:bookmarkStart w:id="74" w:name="_Toc454196051"/>
      <w:bookmarkStart w:id="75" w:name="_Toc454202791"/>
      <w:r>
        <w:rPr>
          <w:shd w:val="clear" w:color="auto" w:fill="FFFFFF"/>
        </w:rPr>
        <w:t>Non-legislative developments</w:t>
      </w:r>
      <w:bookmarkEnd w:id="74"/>
      <w:bookmarkEnd w:id="75"/>
    </w:p>
    <w:p w:rsidR="00D63B8A" w:rsidRDefault="00D63B8A" w:rsidP="00D63B8A">
      <w:pPr>
        <w:pStyle w:val="NormalAutoChapter"/>
      </w:pPr>
      <w:r>
        <w:t xml:space="preserve">There have been a number of recent developments in guardianship policy and practice within Australia. Supported decision-making models </w:t>
      </w:r>
      <w:proofErr w:type="gramStart"/>
      <w:r>
        <w:t>have been piloted</w:t>
      </w:r>
      <w:proofErr w:type="gramEnd"/>
      <w:r>
        <w:t xml:space="preserve"> in different parts of the country.</w:t>
      </w:r>
      <w:r>
        <w:rPr>
          <w:rStyle w:val="FootnoteReference"/>
        </w:rPr>
        <w:footnoteReference w:id="89"/>
      </w:r>
      <w:r>
        <w:t xml:space="preserve"> The pilots, while small and limited in scope, have </w:t>
      </w:r>
      <w:r>
        <w:lastRenderedPageBreak/>
        <w:t xml:space="preserve">provided some useful insights into how supported decision-making models could work. </w:t>
      </w:r>
    </w:p>
    <w:p w:rsidR="00D63B8A" w:rsidRPr="00F84788" w:rsidRDefault="00D63B8A" w:rsidP="00D63B8A">
      <w:pPr>
        <w:pStyle w:val="NormalAutoChapter"/>
      </w:pPr>
      <w:r>
        <w:rPr>
          <w:lang w:val="en"/>
        </w:rPr>
        <w:t>In NSW, in a joint initiative, the Trustee and Guardian, the Public Guardian and the Department of Family and Community Services (FACS), Ageing Disability and Home Care (ADHC) conducted a small scale pilot project in 2013/14 to explore what supported decision-making might look like in practice in the NSW context.</w:t>
      </w:r>
      <w:r>
        <w:rPr>
          <w:rStyle w:val="FootnoteReference"/>
          <w:lang w:val="en"/>
        </w:rPr>
        <w:footnoteReference w:id="90"/>
      </w:r>
      <w:r>
        <w:rPr>
          <w:lang w:val="en"/>
        </w:rPr>
        <w:t xml:space="preserve"> </w:t>
      </w:r>
      <w:proofErr w:type="gramStart"/>
      <w:r>
        <w:rPr>
          <w:lang w:val="en"/>
        </w:rPr>
        <w:t>As a result</w:t>
      </w:r>
      <w:proofErr w:type="gramEnd"/>
      <w:r>
        <w:rPr>
          <w:lang w:val="en"/>
        </w:rPr>
        <w:t xml:space="preserve"> of the pilot and the subsequent evaluation recommendations FACS has facilitated six additional projects with the aim of building supported decision-making capacity.</w:t>
      </w:r>
      <w:r>
        <w:rPr>
          <w:rStyle w:val="FootnoteReference"/>
          <w:lang w:val="en"/>
        </w:rPr>
        <w:footnoteReference w:id="91"/>
      </w:r>
    </w:p>
    <w:p w:rsidR="00D63B8A" w:rsidRPr="00F84788" w:rsidRDefault="00D63B8A" w:rsidP="00D63B8A">
      <w:pPr>
        <w:pStyle w:val="NormalAutoChapter"/>
      </w:pPr>
      <w:r>
        <w:rPr>
          <w:lang w:val="en"/>
        </w:rPr>
        <w:t>Government</w:t>
      </w:r>
      <w:r w:rsidRPr="00F84788">
        <w:rPr>
          <w:lang w:val="en"/>
        </w:rPr>
        <w:t xml:space="preserve"> agencies are </w:t>
      </w:r>
      <w:r>
        <w:rPr>
          <w:lang w:val="en"/>
        </w:rPr>
        <w:t xml:space="preserve">also </w:t>
      </w:r>
      <w:r w:rsidRPr="00F84788">
        <w:rPr>
          <w:lang w:val="en"/>
        </w:rPr>
        <w:t xml:space="preserve">changing their </w:t>
      </w:r>
      <w:r>
        <w:rPr>
          <w:lang w:val="en"/>
        </w:rPr>
        <w:t xml:space="preserve">day-to-day practices to reflect </w:t>
      </w:r>
      <w:r w:rsidRPr="009041BF">
        <w:rPr>
          <w:i/>
          <w:lang w:val="en"/>
        </w:rPr>
        <w:t>UN Convention</w:t>
      </w:r>
      <w:r w:rsidRPr="00F84788">
        <w:rPr>
          <w:lang w:val="en"/>
        </w:rPr>
        <w:t xml:space="preserve"> principles. For example, in 2015 </w:t>
      </w:r>
      <w:r w:rsidRPr="00F84788">
        <w:t xml:space="preserve">the NSW Public Guardian </w:t>
      </w:r>
      <w:r w:rsidRPr="00F84788">
        <w:rPr>
          <w:lang w:eastAsia="en-AU"/>
        </w:rPr>
        <w:t>updated its</w:t>
      </w:r>
      <w:r>
        <w:rPr>
          <w:lang w:eastAsia="en-AU"/>
        </w:rPr>
        <w:t xml:space="preserve"> decision-</w:t>
      </w:r>
      <w:r w:rsidRPr="00F84788">
        <w:rPr>
          <w:lang w:eastAsia="en-AU"/>
        </w:rPr>
        <w:t>making guideline to align it more closely with current thinking about</w:t>
      </w:r>
      <w:r>
        <w:rPr>
          <w:lang w:eastAsia="en-AU"/>
        </w:rPr>
        <w:t xml:space="preserve"> rights for people with decision-</w:t>
      </w:r>
      <w:r w:rsidRPr="00F84788">
        <w:rPr>
          <w:lang w:eastAsia="en-AU"/>
        </w:rPr>
        <w:t>making impairment</w:t>
      </w:r>
      <w:r>
        <w:rPr>
          <w:lang w:eastAsia="en-AU"/>
        </w:rPr>
        <w:t>s.</w:t>
      </w:r>
      <w:r>
        <w:rPr>
          <w:rStyle w:val="FootnoteReference"/>
          <w:lang w:eastAsia="en-AU"/>
        </w:rPr>
        <w:footnoteReference w:id="92"/>
      </w:r>
      <w:r w:rsidRPr="00F84788">
        <w:rPr>
          <w:lang w:eastAsia="en-AU"/>
        </w:rPr>
        <w:t xml:space="preserve"> </w:t>
      </w:r>
    </w:p>
    <w:p w:rsidR="00D63B8A" w:rsidRDefault="00D63B8A" w:rsidP="00D63B8A">
      <w:pPr>
        <w:pStyle w:val="Heading1"/>
      </w:pPr>
      <w:bookmarkStart w:id="76" w:name="_Toc454196052"/>
      <w:bookmarkStart w:id="77" w:name="_Toc454202792"/>
      <w:r>
        <w:t>National Disability Insurance Scheme</w:t>
      </w:r>
      <w:bookmarkEnd w:id="76"/>
      <w:bookmarkEnd w:id="77"/>
    </w:p>
    <w:p w:rsidR="00D63B8A" w:rsidRDefault="00D63B8A" w:rsidP="00D63B8A">
      <w:pPr>
        <w:pStyle w:val="NormalAutoChapter"/>
      </w:pPr>
      <w:r>
        <w:t xml:space="preserve">In July </w:t>
      </w:r>
      <w:proofErr w:type="gramStart"/>
      <w:r>
        <w:t>2013</w:t>
      </w:r>
      <w:proofErr w:type="gramEnd"/>
      <w:r>
        <w:t xml:space="preserve"> the National Disability Insurance Scheme (NDIS) was initiated in Australia. The objective of the NDIS is to provide people living with disability greater choice and control over the disability services and support they receive. </w:t>
      </w:r>
      <w:r>
        <w:rPr>
          <w:rFonts w:cs="FS Me Light"/>
          <w:color w:val="000000"/>
          <w:szCs w:val="22"/>
        </w:rPr>
        <w:t xml:space="preserve">The scheme </w:t>
      </w:r>
      <w:r w:rsidRPr="00493D04">
        <w:rPr>
          <w:rFonts w:cs="FS Me Light"/>
          <w:color w:val="000000"/>
          <w:szCs w:val="22"/>
        </w:rPr>
        <w:t>will progressively replace the existing disability arrangements in the states and terri</w:t>
      </w:r>
      <w:r>
        <w:rPr>
          <w:rFonts w:cs="FS Me Light"/>
          <w:color w:val="000000"/>
          <w:szCs w:val="22"/>
        </w:rPr>
        <w:t xml:space="preserve">tories participating in the NDIS </w:t>
      </w:r>
      <w:r w:rsidRPr="00493D04">
        <w:rPr>
          <w:rFonts w:cs="FS Me Light"/>
          <w:color w:val="000000"/>
          <w:szCs w:val="22"/>
        </w:rPr>
        <w:t>and the Commonwealth.</w:t>
      </w:r>
      <w:r>
        <w:rPr>
          <w:rFonts w:cs="FS Me Light"/>
          <w:color w:val="000000"/>
          <w:szCs w:val="22"/>
        </w:rPr>
        <w:t xml:space="preserve"> </w:t>
      </w:r>
      <w:r>
        <w:t>The gradual roll out of the full scheme in all states and territories (except Western Australia) begins in July 2016.</w:t>
      </w:r>
      <w:r>
        <w:rPr>
          <w:rStyle w:val="FootnoteReference"/>
        </w:rPr>
        <w:footnoteReference w:id="93"/>
      </w:r>
    </w:p>
    <w:p w:rsidR="00D63B8A" w:rsidRPr="00493D04" w:rsidRDefault="00D63B8A" w:rsidP="00D63B8A">
      <w:pPr>
        <w:pStyle w:val="NormalAutoChapter"/>
      </w:pPr>
      <w:r>
        <w:rPr>
          <w:rFonts w:ascii="FS Me Light" w:hAnsi="FS Me Light" w:cs="FS Me Light"/>
          <w:color w:val="221E1F"/>
          <w:szCs w:val="22"/>
          <w:lang w:eastAsia="en-AU"/>
        </w:rPr>
        <w:t>Under the NDIS eligible individuals will receive allocated funding for disability supports, rather than that funding going directly to providers of supports:</w:t>
      </w:r>
    </w:p>
    <w:p w:rsidR="00D63B8A" w:rsidRDefault="00D63B8A" w:rsidP="00D63B8A">
      <w:pPr>
        <w:pStyle w:val="Normalindent"/>
        <w:rPr>
          <w:lang w:eastAsia="en-AU"/>
        </w:rPr>
      </w:pPr>
      <w:proofErr w:type="gramStart"/>
      <w:r>
        <w:rPr>
          <w:lang w:eastAsia="en-AU"/>
        </w:rPr>
        <w:t>…[</w:t>
      </w:r>
      <w:proofErr w:type="gramEnd"/>
      <w:r>
        <w:rPr>
          <w:lang w:eastAsia="en-AU"/>
        </w:rPr>
        <w:t>E]</w:t>
      </w:r>
      <w:proofErr w:type="spellStart"/>
      <w:r w:rsidRPr="00493D04">
        <w:rPr>
          <w:lang w:eastAsia="en-AU"/>
        </w:rPr>
        <w:t>ligible</w:t>
      </w:r>
      <w:proofErr w:type="spellEnd"/>
      <w:r w:rsidRPr="00493D04">
        <w:rPr>
          <w:lang w:eastAsia="en-AU"/>
        </w:rPr>
        <w:t xml:space="preserve"> people will talk to a planner about their goals and what supports they need to meet their goals. An individual support plan will be drawn up and the person with disability, their guardian or nominee then chooses who will provide their supports and how, when and where they </w:t>
      </w:r>
      <w:proofErr w:type="gramStart"/>
      <w:r w:rsidRPr="00493D04">
        <w:rPr>
          <w:lang w:eastAsia="en-AU"/>
        </w:rPr>
        <w:t>get</w:t>
      </w:r>
      <w:proofErr w:type="gramEnd"/>
      <w:r w:rsidRPr="00493D04">
        <w:rPr>
          <w:lang w:eastAsia="en-AU"/>
        </w:rPr>
        <w:t xml:space="preserve"> delivered.</w:t>
      </w:r>
      <w:r>
        <w:rPr>
          <w:rStyle w:val="FootnoteReference"/>
          <w:lang w:eastAsia="en-AU"/>
        </w:rPr>
        <w:footnoteReference w:id="94"/>
      </w:r>
      <w:r w:rsidRPr="00493D04">
        <w:rPr>
          <w:lang w:eastAsia="en-AU"/>
        </w:rPr>
        <w:t xml:space="preserve"> </w:t>
      </w:r>
    </w:p>
    <w:p w:rsidR="00D63B8A" w:rsidRDefault="00D63B8A" w:rsidP="00D63B8A">
      <w:pPr>
        <w:pStyle w:val="NormalAutoChapter"/>
      </w:pPr>
      <w:r>
        <w:t>A question for our review is how the provisions of the Commonwealth regime interact with NSW guardianship laws. For example, in its preliminary submission the Mental Health Review Tribunal noted:</w:t>
      </w:r>
    </w:p>
    <w:p w:rsidR="00D63B8A" w:rsidRDefault="00D63B8A" w:rsidP="00D63B8A">
      <w:pPr>
        <w:pStyle w:val="Normalindent"/>
      </w:pPr>
      <w:r>
        <w:t>[W]</w:t>
      </w:r>
      <w:proofErr w:type="spellStart"/>
      <w:r>
        <w:t>ith</w:t>
      </w:r>
      <w:proofErr w:type="spellEnd"/>
      <w:r>
        <w:t xml:space="preserve"> the NDIS being introduced with its own supported decision-making model in NSW, some consumers, their advisors and practitioners may be faced with a </w:t>
      </w:r>
      <w:r>
        <w:lastRenderedPageBreak/>
        <w:t>confusing level of change and complexity, having to deal with multiple institutions, different legislation and different decision-making models.</w:t>
      </w:r>
      <w:r>
        <w:rPr>
          <w:rStyle w:val="FootnoteReference"/>
        </w:rPr>
        <w:footnoteReference w:id="95"/>
      </w:r>
    </w:p>
    <w:p w:rsidR="00D63B8A" w:rsidRDefault="00D63B8A" w:rsidP="00D63B8A">
      <w:pPr>
        <w:pStyle w:val="NormalAutoChapter"/>
      </w:pPr>
      <w:r w:rsidRPr="0030519D">
        <w:t xml:space="preserve">NCAT has already seen an increase in the number of guardianship applications </w:t>
      </w:r>
      <w:r>
        <w:t>under the Guardianship Act</w:t>
      </w:r>
      <w:r w:rsidRPr="0030519D">
        <w:t xml:space="preserve"> because of the NDIS.</w:t>
      </w:r>
      <w:r>
        <w:rPr>
          <w:rStyle w:val="FootnoteReference"/>
        </w:rPr>
        <w:footnoteReference w:id="96"/>
      </w:r>
      <w:r w:rsidRPr="0030519D">
        <w:t xml:space="preserve"> The Australian Guardianship and Administration Council (AGAC) </w:t>
      </w:r>
      <w:proofErr w:type="gramStart"/>
      <w:r w:rsidRPr="0030519D">
        <w:t>has</w:t>
      </w:r>
      <w:proofErr w:type="gramEnd"/>
      <w:r w:rsidRPr="0030519D">
        <w:t xml:space="preserve"> credited the increase to the fact that the NDIS has created </w:t>
      </w:r>
      <w:r>
        <w:t>“a number of decision-</w:t>
      </w:r>
      <w:r w:rsidRPr="0030519D">
        <w:t>making ‘events’ and a greater degree of scrutiny of informal substitute decision-makers or supporters.</w:t>
      </w:r>
      <w:r>
        <w:t>”</w:t>
      </w:r>
      <w:r w:rsidRPr="0030519D">
        <w:rPr>
          <w:rStyle w:val="FootnoteReference"/>
        </w:rPr>
        <w:footnoteReference w:id="97"/>
      </w:r>
      <w:r>
        <w:t xml:space="preserve"> Given the NDIS roll out begins in July</w:t>
      </w:r>
      <w:r w:rsidR="00C275FC">
        <w:t xml:space="preserve"> 2016</w:t>
      </w:r>
      <w:r>
        <w:t xml:space="preserve">, our review will need to explore whether the increase in guardianship applications is likely to continue, and if so, how this can be managed.   </w:t>
      </w:r>
    </w:p>
    <w:p w:rsidR="00D63B8A" w:rsidRDefault="00D63B8A" w:rsidP="00D63B8A">
      <w:pPr>
        <w:pStyle w:val="NormalAutoChapter"/>
      </w:pPr>
      <w:r>
        <w:t>Another question we will need to consider is the interrelationship between a “nominee” under the NDIS and an appointed guardian or financial manager under NSW law.</w:t>
      </w:r>
      <w:r>
        <w:rPr>
          <w:rStyle w:val="FootnoteReference"/>
        </w:rPr>
        <w:footnoteReference w:id="98"/>
      </w:r>
      <w:r>
        <w:t xml:space="preserve"> One of the preliminary submissions we received expressed the view that there should be a presumption that an existing NSW appointed decision-maker with compara</w:t>
      </w:r>
      <w:r w:rsidR="001D14C5">
        <w:t>ble</w:t>
      </w:r>
      <w:r>
        <w:t xml:space="preserve"> powers and responsibilities </w:t>
      </w:r>
      <w:proofErr w:type="gramStart"/>
      <w:r>
        <w:t>is appointed</w:t>
      </w:r>
      <w:proofErr w:type="gramEnd"/>
      <w:r>
        <w:t xml:space="preserve"> as an NDIS representative.</w:t>
      </w:r>
      <w:r>
        <w:rPr>
          <w:rStyle w:val="FootnoteReference"/>
        </w:rPr>
        <w:footnoteReference w:id="99"/>
      </w:r>
      <w:r>
        <w:t xml:space="preserve"> The ALRC has recommended that amendments to the legislation governing state and territory decision-makers </w:t>
      </w:r>
      <w:proofErr w:type="gramStart"/>
      <w:r>
        <w:t>should be made</w:t>
      </w:r>
      <w:proofErr w:type="gramEnd"/>
      <w:r>
        <w:t xml:space="preserve"> to facilitate this where necessary.</w:t>
      </w:r>
      <w:r>
        <w:rPr>
          <w:rStyle w:val="FootnoteReference"/>
        </w:rPr>
        <w:footnoteReference w:id="100"/>
      </w:r>
    </w:p>
    <w:p w:rsidR="00D63B8A" w:rsidRDefault="00D63B8A" w:rsidP="00D63B8A">
      <w:pPr>
        <w:pStyle w:val="NormalAutoChapter"/>
      </w:pPr>
      <w:r>
        <w:t xml:space="preserve">In its preliminary submission the NSW Ombudsman argues the case for information exchange mechanisms to ensure NSW bodies and the National Disability Insurance Authority are making informed decisions regarding appointments: </w:t>
      </w:r>
    </w:p>
    <w:p w:rsidR="00D63B8A" w:rsidRDefault="00D63B8A" w:rsidP="00D63B8A">
      <w:pPr>
        <w:pStyle w:val="Normalindent"/>
      </w:pPr>
      <w:r>
        <w:t xml:space="preserve">This includes, for example, where information provided to one body raises concerns about the conduct of a person who </w:t>
      </w:r>
      <w:proofErr w:type="gramStart"/>
      <w:r>
        <w:t>may be considered</w:t>
      </w:r>
      <w:proofErr w:type="gramEnd"/>
      <w:r>
        <w:t xml:space="preserve"> by another body as a nominee, guardian or financial manager.</w:t>
      </w:r>
      <w:r>
        <w:rPr>
          <w:rStyle w:val="FootnoteReference"/>
        </w:rPr>
        <w:footnoteReference w:id="101"/>
      </w:r>
    </w:p>
    <w:p w:rsidR="00D63B8A" w:rsidRDefault="00D63B8A" w:rsidP="00D63B8A">
      <w:pPr>
        <w:pStyle w:val="NormalAutoChapter"/>
      </w:pPr>
      <w:r>
        <w:t>We also need to ensure that State and Commonwealth oversight mechanisms interact effectively to guarantee the safety of people with disabilities and prevent abuse. This is especially important considering there are no federal agencies equivalent to the gatekeepers and monitors that operate at a state level, such as the NSW Office of the Public Guardian and the NSW Trustee and Guardian. One key issue is the provision of appropriate oversight in relation to the use of restrictive practices.</w:t>
      </w:r>
      <w:r>
        <w:rPr>
          <w:rStyle w:val="FootnoteReference"/>
        </w:rPr>
        <w:footnoteReference w:id="102"/>
      </w:r>
      <w:r>
        <w:t xml:space="preserve"> A number of stakeholders who made preliminary submissions suggest that the </w:t>
      </w:r>
      <w:r w:rsidRPr="00116EC9">
        <w:rPr>
          <w:i/>
        </w:rPr>
        <w:t>Guardianship Act</w:t>
      </w:r>
      <w:r>
        <w:t xml:space="preserve"> should contain specific provisions about restrictive practices.</w:t>
      </w:r>
      <w:r>
        <w:rPr>
          <w:rStyle w:val="FootnoteReference"/>
        </w:rPr>
        <w:footnoteReference w:id="103"/>
      </w:r>
      <w:r>
        <w:t xml:space="preserve"> Relevant to this issue will be the NDIS Quality and Safeguarding Framework, </w:t>
      </w:r>
      <w:proofErr w:type="gramStart"/>
      <w:r>
        <w:t>expected to be finalised</w:t>
      </w:r>
      <w:proofErr w:type="gramEnd"/>
      <w:r>
        <w:t xml:space="preserve"> this year, which </w:t>
      </w:r>
      <w:r>
        <w:rPr>
          <w:szCs w:val="22"/>
          <w:lang w:eastAsia="en-AU"/>
        </w:rPr>
        <w:t xml:space="preserve">will detail complaint </w:t>
      </w:r>
      <w:r>
        <w:rPr>
          <w:szCs w:val="22"/>
          <w:lang w:eastAsia="en-AU"/>
        </w:rPr>
        <w:lastRenderedPageBreak/>
        <w:t>management requirements and safeguards for people accessing services as part of the NDIS.</w:t>
      </w:r>
      <w:r>
        <w:t xml:space="preserve"> </w:t>
      </w:r>
    </w:p>
    <w:p w:rsidR="00D63B8A" w:rsidRDefault="00D63B8A" w:rsidP="00D63B8A">
      <w:pPr>
        <w:pStyle w:val="NormalAutoChapter"/>
      </w:pPr>
      <w:r>
        <w:t xml:space="preserve">The Commonwealth Government is still considering whether to adopt the suite of NDIS-related recommendations the ALRC made in its 2014 report. If adopted these recommendations may change what recommendations we need to make. </w:t>
      </w:r>
    </w:p>
    <w:p w:rsidR="00D63B8A" w:rsidRDefault="00D63B8A" w:rsidP="00D63B8A">
      <w:pPr>
        <w:pStyle w:val="Heading1"/>
      </w:pPr>
      <w:bookmarkStart w:id="78" w:name="_Toc454196053"/>
      <w:bookmarkStart w:id="79" w:name="_Toc454202793"/>
      <w:r>
        <w:t>The case for uniformity</w:t>
      </w:r>
      <w:bookmarkEnd w:id="78"/>
      <w:bookmarkEnd w:id="79"/>
    </w:p>
    <w:p w:rsidR="00D63B8A" w:rsidRPr="001D7A6A" w:rsidRDefault="00D63B8A" w:rsidP="00D63B8A">
      <w:pPr>
        <w:pStyle w:val="NormalAutoChapter"/>
      </w:pPr>
      <w:r w:rsidRPr="001D7A6A">
        <w:t xml:space="preserve">In its report the ALRC recommended that </w:t>
      </w:r>
      <w:r>
        <w:t xml:space="preserve">Australian states and territories, </w:t>
      </w:r>
      <w:r w:rsidRPr="001D7A6A">
        <w:t>when reviewing their guardianship laws, should have regard to:</w:t>
      </w:r>
    </w:p>
    <w:p w:rsidR="00D63B8A" w:rsidRPr="001D7A6A" w:rsidRDefault="00C613FF" w:rsidP="00D63B8A">
      <w:pPr>
        <w:pStyle w:val="Normalbullet"/>
      </w:pPr>
      <w:r>
        <w:t>i</w:t>
      </w:r>
      <w:r w:rsidR="00D63B8A" w:rsidRPr="001D7A6A">
        <w:t>nteraction with any supporter and representative schemes under Commonwealth legislation</w:t>
      </w:r>
    </w:p>
    <w:p w:rsidR="00D63B8A" w:rsidRPr="001D7A6A" w:rsidRDefault="00C613FF" w:rsidP="00D63B8A">
      <w:pPr>
        <w:pStyle w:val="Normalbullet"/>
      </w:pPr>
      <w:r>
        <w:t>c</w:t>
      </w:r>
      <w:r w:rsidR="00D63B8A" w:rsidRPr="001D7A6A">
        <w:t>onsistency between jurisdictions, including in terminology</w:t>
      </w:r>
    </w:p>
    <w:p w:rsidR="00D63B8A" w:rsidRPr="001D7A6A" w:rsidRDefault="00C613FF" w:rsidP="00D63B8A">
      <w:pPr>
        <w:pStyle w:val="Normalbullet"/>
      </w:pPr>
      <w:r>
        <w:t>m</w:t>
      </w:r>
      <w:r w:rsidR="00D63B8A" w:rsidRPr="001D7A6A">
        <w:t>aximising cross-jurisdictional recognition of arrangements, and</w:t>
      </w:r>
    </w:p>
    <w:p w:rsidR="00D63B8A" w:rsidRPr="001D7A6A" w:rsidRDefault="00C613FF" w:rsidP="00D63B8A">
      <w:pPr>
        <w:pStyle w:val="Normalbullet"/>
      </w:pPr>
      <w:r>
        <w:t>m</w:t>
      </w:r>
      <w:r w:rsidR="00D63B8A" w:rsidRPr="001D7A6A">
        <w:t>echanisms for consistent and national data collection.</w:t>
      </w:r>
      <w:r w:rsidR="00D63B8A">
        <w:rPr>
          <w:rStyle w:val="FootnoteReference"/>
        </w:rPr>
        <w:footnoteReference w:id="104"/>
      </w:r>
    </w:p>
    <w:p w:rsidR="00D63B8A" w:rsidRDefault="00D63B8A" w:rsidP="00D63B8A">
      <w:pPr>
        <w:pStyle w:val="NormalAutoChapter"/>
      </w:pPr>
      <w:r>
        <w:t xml:space="preserve">Given our increasingly mobile population, and the introduction of national schemes like the NDIS, our guardianship laws need to interact meaningfully with laws in other parts of the country. It is also important that appropriate reciprocal arrangements </w:t>
      </w:r>
      <w:proofErr w:type="gramStart"/>
      <w:r>
        <w:t>are</w:t>
      </w:r>
      <w:proofErr w:type="gramEnd"/>
      <w:r>
        <w:t xml:space="preserve"> in place so that appointments are valid across borders. The way our guardianship laws interact with those in other jurisdictions will therefore be a key part of our considerations.</w:t>
      </w:r>
    </w:p>
    <w:p w:rsidR="00D63B8A" w:rsidRDefault="00D63B8A" w:rsidP="00D63B8A">
      <w:pPr>
        <w:pStyle w:val="Heading1"/>
        <w:sectPr w:rsidR="00D63B8A" w:rsidSect="00DD020D">
          <w:headerReference w:type="default" r:id="rId21"/>
          <w:footnotePr>
            <w:numRestart w:val="eachSect"/>
          </w:footnotePr>
          <w:pgSz w:w="11906" w:h="16838" w:code="9"/>
          <w:pgMar w:top="1134" w:right="1321" w:bottom="1134" w:left="1678" w:header="567" w:footer="284" w:gutter="0"/>
          <w:cols w:space="708"/>
          <w:titlePg/>
          <w:docGrid w:linePitch="360"/>
        </w:sectPr>
      </w:pPr>
    </w:p>
    <w:p w:rsidR="00D63B8A" w:rsidRDefault="00DD020D" w:rsidP="00DD020D">
      <w:pPr>
        <w:pStyle w:val="AppendixHeading"/>
      </w:pPr>
      <w:bookmarkStart w:id="80" w:name="_Toc454196054"/>
      <w:bookmarkStart w:id="81" w:name="_Toc454202794"/>
      <w:r>
        <w:lastRenderedPageBreak/>
        <w:t>Appendix A</w:t>
      </w:r>
      <w:r>
        <w:br/>
      </w:r>
      <w:r w:rsidR="00D63B8A">
        <w:t>Preliminary submissions</w:t>
      </w:r>
      <w:bookmarkEnd w:id="80"/>
      <w:bookmarkEnd w:id="81"/>
    </w:p>
    <w:p w:rsidR="00D63B8A" w:rsidRDefault="00D63B8A" w:rsidP="00D63B8A">
      <w:pPr>
        <w:pStyle w:val="Normalsinglelist"/>
      </w:pPr>
      <w:r w:rsidRPr="004F33F2">
        <w:rPr>
          <w:b/>
        </w:rPr>
        <w:t>PGA1</w:t>
      </w:r>
      <w:r>
        <w:rPr>
          <w:b/>
        </w:rPr>
        <w:tab/>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D63B8A" w:rsidRDefault="00D63B8A" w:rsidP="00D63B8A">
      <w:pPr>
        <w:pStyle w:val="Normalsinglelist"/>
      </w:pPr>
      <w:r w:rsidRPr="004F33F2">
        <w:rPr>
          <w:b/>
        </w:rPr>
        <w:t>PGA2</w:t>
      </w:r>
      <w:r w:rsidRPr="004F33F2">
        <w:rPr>
          <w:b/>
        </w:rPr>
        <w:tab/>
      </w:r>
      <w:r>
        <w:rPr>
          <w:b/>
        </w:rPr>
        <w:tab/>
      </w:r>
      <w:proofErr w:type="spellStart"/>
      <w:r>
        <w:t>Lise</w:t>
      </w:r>
      <w:proofErr w:type="spellEnd"/>
      <w:r>
        <w:t xml:space="preserve"> Barry (23 February 2016)</w:t>
      </w:r>
    </w:p>
    <w:p w:rsidR="00D63B8A" w:rsidRDefault="00D63B8A" w:rsidP="00D63B8A">
      <w:pPr>
        <w:pStyle w:val="Normalsinglelist"/>
        <w:ind w:left="1428" w:hanging="708"/>
      </w:pPr>
      <w:r w:rsidRPr="004F33F2">
        <w:rPr>
          <w:b/>
        </w:rPr>
        <w:t>PGA3</w:t>
      </w:r>
      <w:r w:rsidRPr="008231BC">
        <w:rPr>
          <w:b/>
        </w:rPr>
        <w:tab/>
      </w:r>
      <w:r>
        <w:rPr>
          <w:b/>
        </w:rPr>
        <w:tab/>
      </w:r>
      <w:r>
        <w:rPr>
          <w:b/>
        </w:rPr>
        <w:tab/>
      </w:r>
      <w:r>
        <w:t>Dr John Carter (9 March 2016)</w:t>
      </w:r>
    </w:p>
    <w:p w:rsidR="00D63B8A" w:rsidRDefault="00D63B8A" w:rsidP="00D63B8A">
      <w:pPr>
        <w:pStyle w:val="Normalsinglelist"/>
      </w:pPr>
      <w:r w:rsidRPr="004F33F2">
        <w:rPr>
          <w:b/>
        </w:rPr>
        <w:t>PGA4</w:t>
      </w:r>
      <w:r w:rsidRPr="008231BC">
        <w:rPr>
          <w:b/>
        </w:rPr>
        <w:tab/>
      </w:r>
      <w:r>
        <w:rPr>
          <w:b/>
        </w:rPr>
        <w:tab/>
      </w:r>
      <w:proofErr w:type="spellStart"/>
      <w:r w:rsidRPr="000521FD">
        <w:t>Lina</w:t>
      </w:r>
      <w:proofErr w:type="spellEnd"/>
      <w:r w:rsidRPr="000521FD">
        <w:t xml:space="preserve"> Sultana</w:t>
      </w:r>
      <w:r>
        <w:t xml:space="preserve"> (10 March 2016)</w:t>
      </w:r>
    </w:p>
    <w:p w:rsidR="00D63B8A" w:rsidRDefault="00D63B8A" w:rsidP="00D63B8A">
      <w:pPr>
        <w:pStyle w:val="Normalsinglelist"/>
      </w:pPr>
      <w:r w:rsidRPr="004F33F2">
        <w:rPr>
          <w:b/>
        </w:rPr>
        <w:t>PGA5</w:t>
      </w:r>
      <w:r w:rsidRPr="008231BC">
        <w:rPr>
          <w:b/>
        </w:rPr>
        <w:tab/>
      </w:r>
      <w:r>
        <w:rPr>
          <w:b/>
        </w:rPr>
        <w:tab/>
      </w:r>
      <w:r>
        <w:t>NSW Disability Network Forum (18 March 2016)</w:t>
      </w:r>
    </w:p>
    <w:p w:rsidR="00D63B8A" w:rsidRDefault="00D63B8A" w:rsidP="00D63B8A">
      <w:pPr>
        <w:pStyle w:val="Normalsinglelist"/>
      </w:pPr>
      <w:r w:rsidRPr="004F33F2">
        <w:rPr>
          <w:b/>
        </w:rPr>
        <w:t>PGA6</w:t>
      </w:r>
      <w:r w:rsidRPr="004F33F2">
        <w:rPr>
          <w:b/>
        </w:rPr>
        <w:tab/>
      </w:r>
      <w:r>
        <w:tab/>
        <w:t>[Confidential] (18 March 2016)</w:t>
      </w:r>
    </w:p>
    <w:p w:rsidR="00D63B8A" w:rsidRDefault="00D63B8A" w:rsidP="00D63B8A">
      <w:pPr>
        <w:pStyle w:val="Normalsinglelist"/>
      </w:pPr>
      <w:r w:rsidRPr="004F33F2">
        <w:rPr>
          <w:b/>
        </w:rPr>
        <w:t>PGA7</w:t>
      </w:r>
      <w:r w:rsidRPr="008231BC">
        <w:rPr>
          <w:b/>
        </w:rPr>
        <w:tab/>
      </w:r>
      <w:r>
        <w:rPr>
          <w:b/>
        </w:rPr>
        <w:tab/>
      </w:r>
      <w:r>
        <w:t>Senior Rights Service (18 March 2016)</w:t>
      </w:r>
    </w:p>
    <w:p w:rsidR="00D63B8A" w:rsidRDefault="00D63B8A" w:rsidP="00D63B8A">
      <w:pPr>
        <w:pStyle w:val="Normalsinglelist"/>
      </w:pPr>
      <w:r w:rsidRPr="004F33F2">
        <w:rPr>
          <w:b/>
        </w:rPr>
        <w:t>PGA8</w:t>
      </w:r>
      <w:r w:rsidRPr="004F33F2">
        <w:rPr>
          <w:b/>
        </w:rPr>
        <w:tab/>
      </w:r>
      <w:r>
        <w:rPr>
          <w:b/>
        </w:rPr>
        <w:tab/>
      </w:r>
      <w:r>
        <w:t>Mental Health Coordinating Council (18 March 2016)</w:t>
      </w:r>
    </w:p>
    <w:p w:rsidR="00D63B8A" w:rsidRDefault="00D63B8A" w:rsidP="00D63B8A">
      <w:pPr>
        <w:pStyle w:val="Normalsinglelist"/>
      </w:pPr>
      <w:r w:rsidRPr="004F33F2">
        <w:rPr>
          <w:b/>
        </w:rPr>
        <w:t>PGA9</w:t>
      </w:r>
      <w:r w:rsidRPr="004F33F2">
        <w:rPr>
          <w:b/>
        </w:rPr>
        <w:tab/>
      </w:r>
      <w:r>
        <w:rPr>
          <w:b/>
        </w:rPr>
        <w:tab/>
      </w:r>
      <w:r>
        <w:t>Bridgette Pace (19 March 2016)</w:t>
      </w:r>
    </w:p>
    <w:p w:rsidR="00D63B8A" w:rsidRDefault="00D63B8A" w:rsidP="00D63B8A">
      <w:pPr>
        <w:pStyle w:val="Normalsinglelist"/>
      </w:pPr>
      <w:r w:rsidRPr="004F33F2">
        <w:rPr>
          <w:b/>
        </w:rPr>
        <w:t>PGA10</w:t>
      </w:r>
      <w:r w:rsidRPr="004F33F2">
        <w:rPr>
          <w:b/>
        </w:rPr>
        <w:tab/>
      </w:r>
      <w:r>
        <w:t>Council on the Ageing NSW (19 March 2016)</w:t>
      </w:r>
    </w:p>
    <w:p w:rsidR="00D63B8A" w:rsidRDefault="00D63B8A" w:rsidP="00D63B8A">
      <w:pPr>
        <w:pStyle w:val="Normalsinglelist"/>
      </w:pPr>
      <w:r w:rsidRPr="004F33F2">
        <w:rPr>
          <w:b/>
        </w:rPr>
        <w:t>PGA11</w:t>
      </w:r>
      <w:r>
        <w:tab/>
        <w:t>Michael &amp; Hilda Cochran (20 March 2016)</w:t>
      </w:r>
    </w:p>
    <w:p w:rsidR="00D63B8A" w:rsidRDefault="00D63B8A" w:rsidP="00D63B8A">
      <w:pPr>
        <w:pStyle w:val="Normalsinglelist"/>
      </w:pPr>
      <w:r w:rsidRPr="004F33F2">
        <w:rPr>
          <w:b/>
        </w:rPr>
        <w:t>PGA12</w:t>
      </w:r>
      <w:r w:rsidRPr="004F33F2">
        <w:rPr>
          <w:b/>
        </w:rPr>
        <w:tab/>
      </w:r>
      <w:r>
        <w:t>Kellie Jefferson (20 March 2016)</w:t>
      </w:r>
    </w:p>
    <w:p w:rsidR="00D63B8A" w:rsidRDefault="00D63B8A" w:rsidP="00D63B8A">
      <w:pPr>
        <w:pStyle w:val="Normalsinglelist"/>
      </w:pPr>
      <w:r w:rsidRPr="004F33F2">
        <w:rPr>
          <w:b/>
        </w:rPr>
        <w:t>PGA13</w:t>
      </w:r>
      <w:r>
        <w:tab/>
        <w:t>Legal Aid NSW (21 March 2016)</w:t>
      </w:r>
    </w:p>
    <w:p w:rsidR="00D63B8A" w:rsidRDefault="00D63B8A" w:rsidP="00D63B8A">
      <w:pPr>
        <w:pStyle w:val="Normalsinglelist"/>
      </w:pPr>
      <w:r w:rsidRPr="004F33F2">
        <w:rPr>
          <w:b/>
        </w:rPr>
        <w:t>PGA14</w:t>
      </w:r>
      <w:r>
        <w:rPr>
          <w:b/>
        </w:rPr>
        <w:tab/>
      </w:r>
      <w:r>
        <w:t>Alzheimer’s Australia NSW (21 March 2016)</w:t>
      </w:r>
    </w:p>
    <w:p w:rsidR="00D63B8A" w:rsidRDefault="00D63B8A" w:rsidP="00D63B8A">
      <w:pPr>
        <w:pStyle w:val="Normalsinglelist"/>
      </w:pPr>
      <w:r w:rsidRPr="004F33F2">
        <w:rPr>
          <w:b/>
        </w:rPr>
        <w:t>PGA15</w:t>
      </w:r>
      <w:r w:rsidRPr="004F33F2">
        <w:rPr>
          <w:b/>
        </w:rPr>
        <w:tab/>
      </w:r>
      <w:r>
        <w:t>Supreme Court of NSW (21 March 2016)</w:t>
      </w:r>
    </w:p>
    <w:p w:rsidR="00D63B8A" w:rsidRDefault="00D63B8A" w:rsidP="00D63B8A">
      <w:pPr>
        <w:pStyle w:val="Normalsinglelist"/>
      </w:pPr>
      <w:r w:rsidRPr="004F33F2">
        <w:rPr>
          <w:b/>
        </w:rPr>
        <w:t>PGA16</w:t>
      </w:r>
      <w:r w:rsidRPr="004F33F2">
        <w:rPr>
          <w:b/>
        </w:rPr>
        <w:tab/>
      </w:r>
      <w:r>
        <w:t>Medical Insurance Group Australia (MIGA) (21 March 2016)</w:t>
      </w:r>
    </w:p>
    <w:p w:rsidR="00D63B8A" w:rsidRDefault="00D63B8A" w:rsidP="00D63B8A">
      <w:pPr>
        <w:pStyle w:val="Normalsinglelist"/>
      </w:pPr>
      <w:r w:rsidRPr="004F33F2">
        <w:rPr>
          <w:b/>
        </w:rPr>
        <w:t>PGA17</w:t>
      </w:r>
      <w:r w:rsidRPr="004F33F2">
        <w:rPr>
          <w:b/>
        </w:rPr>
        <w:tab/>
      </w:r>
      <w:r>
        <w:t>Carers NSW (21 March 2016)</w:t>
      </w:r>
    </w:p>
    <w:p w:rsidR="00D63B8A" w:rsidRDefault="00D63B8A" w:rsidP="00D63B8A">
      <w:pPr>
        <w:pStyle w:val="Normalsinglelist"/>
      </w:pPr>
      <w:r w:rsidRPr="004F33F2">
        <w:rPr>
          <w:b/>
        </w:rPr>
        <w:t>PGA18</w:t>
      </w:r>
      <w:r w:rsidRPr="004F33F2">
        <w:rPr>
          <w:b/>
        </w:rPr>
        <w:tab/>
      </w:r>
      <w:r>
        <w:t>NSW Council for Intellectual Disability (21 March 2016)</w:t>
      </w:r>
    </w:p>
    <w:p w:rsidR="00D63B8A" w:rsidRDefault="00D63B8A" w:rsidP="00D63B8A">
      <w:pPr>
        <w:pStyle w:val="Normalsinglelist"/>
      </w:pPr>
      <w:r w:rsidRPr="004F33F2">
        <w:rPr>
          <w:b/>
        </w:rPr>
        <w:t>PGA19</w:t>
      </w:r>
      <w:r>
        <w:tab/>
        <w:t>NSW Council for Civil Liberties (21 March 2016)</w:t>
      </w:r>
    </w:p>
    <w:p w:rsidR="00D63B8A" w:rsidRDefault="00D63B8A" w:rsidP="00D63B8A">
      <w:pPr>
        <w:pStyle w:val="Normalsinglelist"/>
      </w:pPr>
      <w:r w:rsidRPr="004F33F2">
        <w:rPr>
          <w:b/>
        </w:rPr>
        <w:t>PGA20</w:t>
      </w:r>
      <w:r w:rsidRPr="004F33F2">
        <w:rPr>
          <w:b/>
        </w:rPr>
        <w:tab/>
      </w:r>
      <w:r>
        <w:t>Avant Mutual Group Limited (21 March 2016)</w:t>
      </w:r>
    </w:p>
    <w:p w:rsidR="00D63B8A" w:rsidRDefault="00D63B8A" w:rsidP="00D63B8A">
      <w:pPr>
        <w:pStyle w:val="Normalsinglelist"/>
      </w:pPr>
      <w:r w:rsidRPr="004F33F2">
        <w:rPr>
          <w:b/>
        </w:rPr>
        <w:t>PGA21</w:t>
      </w:r>
      <w:r>
        <w:rPr>
          <w:b/>
        </w:rPr>
        <w:tab/>
      </w:r>
      <w:r>
        <w:t>Mental Health Review Tribunal (21 March 2016)</w:t>
      </w:r>
    </w:p>
    <w:p w:rsidR="00D63B8A" w:rsidRDefault="00D63B8A" w:rsidP="00D63B8A">
      <w:pPr>
        <w:pStyle w:val="Normalsinglelist"/>
      </w:pPr>
      <w:r w:rsidRPr="004F33F2">
        <w:rPr>
          <w:b/>
        </w:rPr>
        <w:t>PGA22</w:t>
      </w:r>
      <w:r w:rsidRPr="004F33F2">
        <w:rPr>
          <w:b/>
        </w:rPr>
        <w:tab/>
      </w:r>
      <w:r>
        <w:t>BEING</w:t>
      </w:r>
      <w:r w:rsidRPr="00EA42D8">
        <w:tab/>
      </w:r>
      <w:r>
        <w:t xml:space="preserve"> (21 March 2016)</w:t>
      </w:r>
    </w:p>
    <w:p w:rsidR="00D63B8A" w:rsidRDefault="00D63B8A" w:rsidP="00D63B8A">
      <w:pPr>
        <w:pStyle w:val="Normalsinglelist"/>
      </w:pPr>
      <w:r w:rsidRPr="004F33F2">
        <w:rPr>
          <w:b/>
        </w:rPr>
        <w:t>PGA23</w:t>
      </w:r>
      <w:r w:rsidRPr="004F33F2">
        <w:rPr>
          <w:b/>
        </w:rPr>
        <w:tab/>
      </w:r>
      <w:r>
        <w:t xml:space="preserve">People </w:t>
      </w:r>
      <w:proofErr w:type="gramStart"/>
      <w:r>
        <w:t>With</w:t>
      </w:r>
      <w:proofErr w:type="gramEnd"/>
      <w:r>
        <w:t xml:space="preserve"> Disability Australia (</w:t>
      </w:r>
      <w:r w:rsidRPr="00EA42D8">
        <w:tab/>
      </w:r>
      <w:r>
        <w:t>21 March 2016)</w:t>
      </w:r>
    </w:p>
    <w:p w:rsidR="00D63B8A" w:rsidRDefault="00D63B8A" w:rsidP="00D63B8A">
      <w:pPr>
        <w:pStyle w:val="Normalsinglelist"/>
      </w:pPr>
      <w:r w:rsidRPr="004F33F2">
        <w:rPr>
          <w:b/>
        </w:rPr>
        <w:t>PGA24</w:t>
      </w:r>
      <w:r>
        <w:rPr>
          <w:b/>
        </w:rPr>
        <w:tab/>
      </w:r>
      <w:r>
        <w:t>National Disability Services (21 March 2016)</w:t>
      </w:r>
    </w:p>
    <w:p w:rsidR="00D63B8A" w:rsidRDefault="00D63B8A" w:rsidP="00D63B8A">
      <w:pPr>
        <w:pStyle w:val="Normalsinglelist"/>
      </w:pPr>
      <w:r w:rsidRPr="004F33F2">
        <w:rPr>
          <w:b/>
        </w:rPr>
        <w:t>PGA25</w:t>
      </w:r>
      <w:r w:rsidRPr="004F33F2">
        <w:rPr>
          <w:b/>
        </w:rPr>
        <w:tab/>
      </w:r>
      <w:r>
        <w:t>Peter Deane (21 March 2016)</w:t>
      </w:r>
    </w:p>
    <w:p w:rsidR="00D63B8A" w:rsidRDefault="00D63B8A" w:rsidP="00D63B8A">
      <w:pPr>
        <w:pStyle w:val="Normalsinglelist"/>
      </w:pPr>
      <w:r w:rsidRPr="004F33F2">
        <w:rPr>
          <w:b/>
        </w:rPr>
        <w:t>PGA26</w:t>
      </w:r>
      <w:r w:rsidRPr="004F33F2">
        <w:rPr>
          <w:b/>
        </w:rPr>
        <w:tab/>
      </w:r>
      <w:r>
        <w:t>Disability Council NSW (21 March 2016)</w:t>
      </w:r>
    </w:p>
    <w:p w:rsidR="00D63B8A" w:rsidRDefault="00D63B8A" w:rsidP="00D63B8A">
      <w:pPr>
        <w:pStyle w:val="Normalsinglelist"/>
      </w:pPr>
      <w:r w:rsidRPr="004F33F2">
        <w:rPr>
          <w:b/>
        </w:rPr>
        <w:t>PGA27</w:t>
      </w:r>
      <w:r w:rsidRPr="004F33F2">
        <w:rPr>
          <w:b/>
        </w:rPr>
        <w:tab/>
      </w:r>
      <w:r>
        <w:t>Jan Barham (21 March 2016)</w:t>
      </w:r>
    </w:p>
    <w:p w:rsidR="00D63B8A" w:rsidRDefault="00D63B8A" w:rsidP="00D63B8A">
      <w:pPr>
        <w:pStyle w:val="Normalsinglelist"/>
        <w:ind w:left="1785" w:hanging="1065"/>
      </w:pPr>
      <w:r w:rsidRPr="004F33F2">
        <w:rPr>
          <w:b/>
        </w:rPr>
        <w:t>PGA28</w:t>
      </w:r>
      <w:r w:rsidRPr="004F33F2">
        <w:rPr>
          <w:b/>
        </w:rPr>
        <w:tab/>
      </w:r>
      <w:r w:rsidRPr="001A27F0">
        <w:t>Department of Rehabilitation Medicine St Vincent's Hospital</w:t>
      </w:r>
      <w:r>
        <w:t xml:space="preserve"> (21 March 2016)</w:t>
      </w:r>
    </w:p>
    <w:p w:rsidR="00D63B8A" w:rsidRDefault="00D63B8A" w:rsidP="00D63B8A">
      <w:pPr>
        <w:pStyle w:val="Normalsinglelist"/>
      </w:pPr>
      <w:r w:rsidRPr="004F33F2">
        <w:rPr>
          <w:b/>
        </w:rPr>
        <w:t>PGA29</w:t>
      </w:r>
      <w:r w:rsidRPr="004F33F2">
        <w:rPr>
          <w:b/>
        </w:rPr>
        <w:tab/>
      </w:r>
      <w:r>
        <w:t>Vanessa Browne (21 March 2016)</w:t>
      </w:r>
    </w:p>
    <w:p w:rsidR="00D63B8A" w:rsidRDefault="00D63B8A" w:rsidP="00D63B8A">
      <w:pPr>
        <w:pStyle w:val="Normalsinglelist"/>
      </w:pPr>
      <w:r w:rsidRPr="004F33F2">
        <w:rPr>
          <w:b/>
        </w:rPr>
        <w:t>PGA30</w:t>
      </w:r>
      <w:r w:rsidRPr="004F33F2">
        <w:rPr>
          <w:b/>
        </w:rPr>
        <w:tab/>
      </w:r>
      <w:r>
        <w:t>June Walker (21 March 2016)</w:t>
      </w:r>
    </w:p>
    <w:p w:rsidR="00D63B8A" w:rsidRDefault="00D63B8A" w:rsidP="00D63B8A">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D63B8A" w:rsidRDefault="00D63B8A" w:rsidP="00D63B8A">
      <w:pPr>
        <w:pStyle w:val="Normalsinglelist"/>
      </w:pPr>
      <w:r w:rsidRPr="004F33F2">
        <w:rPr>
          <w:b/>
        </w:rPr>
        <w:t>PGA32</w:t>
      </w:r>
      <w:r>
        <w:rPr>
          <w:b/>
        </w:rPr>
        <w:tab/>
      </w:r>
      <w:r>
        <w:t>NSW Young Lawyers (29 March 2016)</w:t>
      </w:r>
    </w:p>
    <w:p w:rsidR="00D63B8A" w:rsidRDefault="00D63B8A" w:rsidP="00D63B8A">
      <w:pPr>
        <w:pStyle w:val="Normalsinglelist"/>
      </w:pPr>
      <w:r w:rsidRPr="004F33F2">
        <w:rPr>
          <w:b/>
        </w:rPr>
        <w:t>PGA33</w:t>
      </w:r>
      <w:r w:rsidRPr="004F33F2">
        <w:rPr>
          <w:b/>
        </w:rPr>
        <w:tab/>
      </w:r>
      <w:r w:rsidRPr="00001B21">
        <w:t>[Confidential]</w:t>
      </w:r>
      <w:r w:rsidRPr="002568C3">
        <w:t xml:space="preserve"> (</w:t>
      </w:r>
      <w:r>
        <w:t>29 March 2016)</w:t>
      </w:r>
    </w:p>
    <w:p w:rsidR="00D63B8A" w:rsidRDefault="00D63B8A" w:rsidP="00D63B8A">
      <w:pPr>
        <w:pStyle w:val="Normalsinglelist"/>
      </w:pPr>
      <w:r w:rsidRPr="004F33F2">
        <w:rPr>
          <w:b/>
        </w:rPr>
        <w:t>PGA34</w:t>
      </w:r>
      <w:r w:rsidRPr="004F33F2">
        <w:rPr>
          <w:b/>
        </w:rPr>
        <w:tab/>
      </w:r>
      <w:r>
        <w:t>John Friedman (30 March 2016)</w:t>
      </w:r>
    </w:p>
    <w:p w:rsidR="00D63B8A" w:rsidRDefault="00D63B8A" w:rsidP="00D63B8A">
      <w:pPr>
        <w:pStyle w:val="Normalsinglelist"/>
      </w:pPr>
      <w:r w:rsidRPr="004F33F2">
        <w:rPr>
          <w:b/>
        </w:rPr>
        <w:t>PGA35</w:t>
      </w:r>
      <w:r>
        <w:tab/>
        <w:t>Institute of Legal Executives (31 March 2016)</w:t>
      </w:r>
    </w:p>
    <w:p w:rsidR="00D63B8A" w:rsidRDefault="00D63B8A" w:rsidP="00D63B8A">
      <w:pPr>
        <w:pStyle w:val="Normalsinglelist"/>
      </w:pPr>
      <w:r w:rsidRPr="004F33F2">
        <w:rPr>
          <w:b/>
        </w:rPr>
        <w:t>PGA36</w:t>
      </w:r>
      <w:r w:rsidRPr="004F33F2">
        <w:rPr>
          <w:b/>
        </w:rPr>
        <w:tab/>
      </w:r>
      <w:r>
        <w:t>[Confidential] (31 March 2016)</w:t>
      </w:r>
    </w:p>
    <w:p w:rsidR="00D63B8A" w:rsidRDefault="00D63B8A" w:rsidP="00D63B8A">
      <w:pPr>
        <w:pStyle w:val="Normalsinglelist"/>
      </w:pPr>
      <w:r w:rsidRPr="004F33F2">
        <w:rPr>
          <w:b/>
        </w:rPr>
        <w:t>PGA37</w:t>
      </w:r>
      <w:r w:rsidRPr="004F33F2">
        <w:rPr>
          <w:b/>
        </w:rPr>
        <w:tab/>
      </w:r>
      <w:r>
        <w:t>Mary Lou Carter (1 April 2016)</w:t>
      </w:r>
    </w:p>
    <w:p w:rsidR="00D63B8A" w:rsidRDefault="00D63B8A" w:rsidP="00D63B8A">
      <w:pPr>
        <w:pStyle w:val="Normalsinglelist"/>
      </w:pPr>
      <w:r w:rsidRPr="004F33F2">
        <w:rPr>
          <w:b/>
        </w:rPr>
        <w:t>PGA38</w:t>
      </w:r>
      <w:r w:rsidRPr="004F33F2">
        <w:rPr>
          <w:b/>
        </w:rPr>
        <w:tab/>
      </w:r>
      <w:r>
        <w:t>Our Voice Australia (1 April 2016)</w:t>
      </w:r>
    </w:p>
    <w:p w:rsidR="00D63B8A" w:rsidRDefault="00D63B8A" w:rsidP="00D63B8A">
      <w:pPr>
        <w:pStyle w:val="Normalsinglelist"/>
      </w:pPr>
      <w:r w:rsidRPr="004F33F2">
        <w:rPr>
          <w:b/>
        </w:rPr>
        <w:t>PGA39</w:t>
      </w:r>
      <w:r w:rsidRPr="004F33F2">
        <w:rPr>
          <w:b/>
        </w:rPr>
        <w:tab/>
      </w:r>
      <w:r>
        <w:t>NSW Mental Health Commission (1 April 2016)</w:t>
      </w:r>
    </w:p>
    <w:p w:rsidR="00D63B8A" w:rsidRDefault="00D63B8A" w:rsidP="00D63B8A">
      <w:pPr>
        <w:pStyle w:val="Normalsinglelist"/>
        <w:ind w:left="1785" w:hanging="1065"/>
      </w:pPr>
      <w:r w:rsidRPr="00001B21">
        <w:rPr>
          <w:b/>
        </w:rPr>
        <w:t>PGA40</w:t>
      </w:r>
      <w:r>
        <w:tab/>
      </w:r>
      <w:r>
        <w:rPr>
          <w:b/>
        </w:rPr>
        <w:tab/>
      </w:r>
      <w:proofErr w:type="gramStart"/>
      <w:r>
        <w:t>The</w:t>
      </w:r>
      <w:proofErr w:type="gramEnd"/>
      <w:r>
        <w:t xml:space="preserve"> </w:t>
      </w:r>
      <w:r w:rsidRPr="00FC3879">
        <w:t>South Eastern Sydney Local Health District (SESLHD) Human Research Ethics Committee (HREC)</w:t>
      </w:r>
      <w:r>
        <w:t xml:space="preserve"> (1 April 2016)</w:t>
      </w:r>
    </w:p>
    <w:p w:rsidR="00D63B8A" w:rsidRDefault="00D63B8A" w:rsidP="00D63B8A">
      <w:pPr>
        <w:pStyle w:val="Normalsinglelist"/>
      </w:pPr>
      <w:r w:rsidRPr="00001B21">
        <w:rPr>
          <w:b/>
        </w:rPr>
        <w:lastRenderedPageBreak/>
        <w:t>PGA41</w:t>
      </w:r>
      <w:r>
        <w:rPr>
          <w:b/>
        </w:rPr>
        <w:tab/>
      </w:r>
      <w:r>
        <w:t>NSW Ombudsman Office (1 April 2016)</w:t>
      </w:r>
    </w:p>
    <w:p w:rsidR="00D63B8A" w:rsidRDefault="00D63B8A" w:rsidP="00D63B8A">
      <w:pPr>
        <w:pStyle w:val="Normalsinglelist"/>
      </w:pPr>
      <w:r w:rsidRPr="00001B21">
        <w:rPr>
          <w:b/>
        </w:rPr>
        <w:t>PGA42</w:t>
      </w:r>
      <w:r w:rsidRPr="00001B21">
        <w:rPr>
          <w:b/>
        </w:rPr>
        <w:tab/>
      </w:r>
      <w:r>
        <w:t>Nell Brown (3 April 2016)</w:t>
      </w:r>
    </w:p>
    <w:p w:rsidR="00D63B8A" w:rsidRDefault="00D63B8A" w:rsidP="00D63B8A">
      <w:pPr>
        <w:pStyle w:val="Normalsinglelist"/>
      </w:pPr>
      <w:r w:rsidRPr="00001B21">
        <w:rPr>
          <w:b/>
        </w:rPr>
        <w:t>PGA43</w:t>
      </w:r>
      <w:r w:rsidRPr="00001B21">
        <w:rPr>
          <w:b/>
        </w:rPr>
        <w:tab/>
      </w:r>
      <w:r>
        <w:t>Law Society of NSW (4 April 2016)</w:t>
      </w:r>
    </w:p>
    <w:p w:rsidR="00D63B8A" w:rsidRDefault="00D63B8A" w:rsidP="00D63B8A">
      <w:pPr>
        <w:pStyle w:val="Normalsinglelist"/>
      </w:pPr>
      <w:r w:rsidRPr="00001B21">
        <w:rPr>
          <w:b/>
        </w:rPr>
        <w:t>PGA44</w:t>
      </w:r>
      <w:r w:rsidRPr="00001B21">
        <w:rPr>
          <w:b/>
        </w:rPr>
        <w:tab/>
      </w:r>
      <w:r>
        <w:t>Intellectual Disability Rights Service (4 April 2016)</w:t>
      </w:r>
    </w:p>
    <w:p w:rsidR="00D63B8A" w:rsidRDefault="00D63B8A" w:rsidP="00D63B8A">
      <w:pPr>
        <w:pStyle w:val="Normalsinglelist"/>
      </w:pPr>
      <w:r w:rsidRPr="00001B21">
        <w:rPr>
          <w:b/>
        </w:rPr>
        <w:t>PGA45</w:t>
      </w:r>
      <w:r w:rsidRPr="00001B21">
        <w:rPr>
          <w:b/>
        </w:rPr>
        <w:tab/>
      </w:r>
      <w:r>
        <w:t>Craig Ward (1 April 2016)</w:t>
      </w:r>
    </w:p>
    <w:p w:rsidR="00D63B8A" w:rsidRDefault="00D63B8A" w:rsidP="00D63B8A">
      <w:pPr>
        <w:pStyle w:val="Normalsinglelist"/>
      </w:pPr>
      <w:r w:rsidRPr="00001B21">
        <w:rPr>
          <w:b/>
        </w:rPr>
        <w:t>PGA46</w:t>
      </w:r>
      <w:r w:rsidRPr="00001B21">
        <w:rPr>
          <w:b/>
        </w:rPr>
        <w:tab/>
      </w:r>
      <w:r>
        <w:t>[Confidential] (30 March 2016)</w:t>
      </w:r>
    </w:p>
    <w:p w:rsidR="00D63B8A" w:rsidRDefault="00D63B8A" w:rsidP="00D63B8A">
      <w:pPr>
        <w:pStyle w:val="Normalsinglelist"/>
      </w:pPr>
      <w:r w:rsidRPr="00001B21">
        <w:rPr>
          <w:b/>
        </w:rPr>
        <w:t>PGA47</w:t>
      </w:r>
      <w:r w:rsidRPr="00001B21">
        <w:rPr>
          <w:b/>
        </w:rPr>
        <w:tab/>
      </w:r>
      <w:r>
        <w:t>Australian Centre for Health Law Research (4 April 2016)</w:t>
      </w:r>
    </w:p>
    <w:p w:rsidR="00D63B8A" w:rsidRDefault="00D63B8A" w:rsidP="00D63B8A">
      <w:pPr>
        <w:pStyle w:val="Normalsinglelist"/>
        <w:ind w:left="1428" w:hanging="708"/>
      </w:pPr>
      <w:r w:rsidRPr="00001B21">
        <w:rPr>
          <w:b/>
        </w:rPr>
        <w:t>PGA48</w:t>
      </w:r>
      <w:r w:rsidRPr="00001B21">
        <w:rPr>
          <w:b/>
        </w:rPr>
        <w:tab/>
      </w:r>
      <w:r>
        <w:t>[Confidential] (4 April 2016)</w:t>
      </w:r>
    </w:p>
    <w:p w:rsidR="00D63B8A" w:rsidRDefault="00D63B8A" w:rsidP="00D63B8A">
      <w:pPr>
        <w:pStyle w:val="Normalsinglelist"/>
      </w:pPr>
      <w:r w:rsidRPr="00001B21">
        <w:rPr>
          <w:b/>
        </w:rPr>
        <w:t>PGA49</w:t>
      </w:r>
      <w:r>
        <w:rPr>
          <w:b/>
        </w:rPr>
        <w:tab/>
      </w:r>
      <w:r>
        <w:t>NSW Health Commission (4 April 2016)</w:t>
      </w:r>
    </w:p>
    <w:p w:rsidR="00D63B8A" w:rsidRDefault="00D63B8A" w:rsidP="00D63B8A">
      <w:pPr>
        <w:pStyle w:val="Normalsinglelist"/>
      </w:pPr>
      <w:r w:rsidRPr="00001B21">
        <w:rPr>
          <w:b/>
        </w:rPr>
        <w:t>PGA50</w:t>
      </w:r>
      <w:r w:rsidRPr="00001B21">
        <w:rPr>
          <w:b/>
        </w:rPr>
        <w:tab/>
      </w:r>
      <w:r w:rsidRPr="00A96BBA">
        <w:t>NSW Trustee &amp; Guardian Submission</w:t>
      </w:r>
      <w:r>
        <w:t xml:space="preserve"> (7 April 2016)</w:t>
      </w:r>
    </w:p>
    <w:p w:rsidR="00D63B8A" w:rsidRDefault="00D63B8A" w:rsidP="00D63B8A">
      <w:pPr>
        <w:pStyle w:val="Normalsinglelist"/>
      </w:pPr>
      <w:r w:rsidRPr="00001B21">
        <w:rPr>
          <w:b/>
        </w:rPr>
        <w:t>PGA51</w:t>
      </w:r>
      <w:r w:rsidRPr="00001B21">
        <w:rPr>
          <w:b/>
        </w:rPr>
        <w:tab/>
      </w:r>
      <w:r>
        <w:t>Michael Murray (6 April 2016)</w:t>
      </w:r>
    </w:p>
    <w:p w:rsidR="00D63B8A" w:rsidRDefault="00D63B8A" w:rsidP="00D63B8A">
      <w:pPr>
        <w:pStyle w:val="Normalsinglelist"/>
      </w:pPr>
      <w:r w:rsidRPr="00001B21">
        <w:rPr>
          <w:b/>
        </w:rPr>
        <w:t>PGA52</w:t>
      </w:r>
      <w:r w:rsidRPr="00001B21">
        <w:rPr>
          <w:b/>
        </w:rPr>
        <w:tab/>
      </w:r>
      <w:r>
        <w:t>Australian Lawyers Alliance (8 April 2016)</w:t>
      </w:r>
    </w:p>
    <w:p w:rsidR="00D63B8A" w:rsidRDefault="00D63B8A" w:rsidP="00D63B8A">
      <w:pPr>
        <w:pStyle w:val="Normalsinglelist"/>
      </w:pPr>
      <w:r w:rsidRPr="00001B21">
        <w:rPr>
          <w:b/>
        </w:rPr>
        <w:t>PGA53</w:t>
      </w:r>
      <w:r w:rsidRPr="00001B21">
        <w:rPr>
          <w:b/>
        </w:rPr>
        <w:tab/>
      </w:r>
      <w:r w:rsidRPr="00A930CE">
        <w:t xml:space="preserve">Mental Health Carers </w:t>
      </w:r>
      <w:proofErr w:type="spellStart"/>
      <w:r w:rsidRPr="00A930CE">
        <w:t>Arafmi</w:t>
      </w:r>
      <w:proofErr w:type="spellEnd"/>
      <w:r w:rsidRPr="00A930CE">
        <w:t xml:space="preserve"> NSW Inc</w:t>
      </w:r>
      <w:proofErr w:type="gramStart"/>
      <w:r w:rsidRPr="00A930CE">
        <w:t>.</w:t>
      </w:r>
      <w:r>
        <w:t>(</w:t>
      </w:r>
      <w:proofErr w:type="gramEnd"/>
      <w:r>
        <w:t>18 April 2016)</w:t>
      </w:r>
    </w:p>
    <w:p w:rsidR="00D63B8A" w:rsidRDefault="00D63B8A" w:rsidP="00D63B8A">
      <w:pPr>
        <w:pStyle w:val="Normalsinglelist"/>
      </w:pPr>
      <w:r w:rsidRPr="00001B21">
        <w:rPr>
          <w:b/>
        </w:rPr>
        <w:t>PGA54</w:t>
      </w:r>
      <w:r w:rsidRPr="00001B21">
        <w:rPr>
          <w:b/>
        </w:rPr>
        <w:tab/>
      </w:r>
      <w:r>
        <w:t>NSW Family &amp; Community Services (27 April 2016)</w:t>
      </w:r>
    </w:p>
    <w:p w:rsidR="00D63B8A" w:rsidRDefault="00D63B8A" w:rsidP="00D63B8A">
      <w:pPr>
        <w:autoSpaceDE w:val="0"/>
        <w:autoSpaceDN w:val="0"/>
        <w:adjustRightInd w:val="0"/>
        <w:jc w:val="left"/>
        <w:rPr>
          <w:rFonts w:ascii="Tms Rmn" w:hAnsi="Tms Rmn" w:cs="Tms Rmn"/>
          <w:color w:val="000000"/>
          <w:sz w:val="24"/>
          <w:lang w:eastAsia="en-AU"/>
        </w:rPr>
      </w:pPr>
    </w:p>
    <w:p w:rsidR="00D63B8A" w:rsidRDefault="00D63B8A" w:rsidP="00D63B8A">
      <w:pPr>
        <w:pStyle w:val="Headingdefault"/>
        <w:sectPr w:rsidR="00D63B8A" w:rsidSect="00DD020D">
          <w:headerReference w:type="default" r:id="rId22"/>
          <w:footnotePr>
            <w:numRestart w:val="eachSect"/>
          </w:footnotePr>
          <w:pgSz w:w="11906" w:h="16838" w:code="9"/>
          <w:pgMar w:top="1134" w:right="1321" w:bottom="1134" w:left="1678" w:header="567" w:footer="284" w:gutter="0"/>
          <w:cols w:space="708"/>
          <w:titlePg/>
          <w:docGrid w:linePitch="360"/>
        </w:sectPr>
      </w:pPr>
    </w:p>
    <w:p w:rsidR="00D63B8A" w:rsidRDefault="00DD020D" w:rsidP="00DD020D">
      <w:pPr>
        <w:pStyle w:val="AppendixHeading"/>
      </w:pPr>
      <w:bookmarkStart w:id="82" w:name="_Toc454196055"/>
      <w:bookmarkStart w:id="83" w:name="_Toc454202795"/>
      <w:r>
        <w:lastRenderedPageBreak/>
        <w:t>Appendix B</w:t>
      </w:r>
      <w:r>
        <w:br/>
      </w:r>
      <w:r w:rsidR="00D63B8A">
        <w:t>Preliminary consultations</w:t>
      </w:r>
      <w:bookmarkEnd w:id="82"/>
      <w:bookmarkEnd w:id="83"/>
      <w:r w:rsidR="00D63B8A">
        <w:t xml:space="preserve"> </w:t>
      </w:r>
    </w:p>
    <w:p w:rsidR="00D63B8A" w:rsidRDefault="00D63B8A" w:rsidP="0087265C">
      <w:pPr>
        <w:pStyle w:val="Heading2"/>
      </w:pPr>
      <w:bookmarkStart w:id="84" w:name="_Toc454196056"/>
      <w:bookmarkStart w:id="85" w:name="_Toc454200615"/>
      <w:bookmarkStart w:id="86" w:name="_Toc454202796"/>
      <w:r>
        <w:t>NSW Trustee and Guardian (PCGA1)</w:t>
      </w:r>
      <w:bookmarkEnd w:id="84"/>
      <w:bookmarkEnd w:id="85"/>
      <w:bookmarkEnd w:id="86"/>
    </w:p>
    <w:p w:rsidR="00D63B8A" w:rsidRPr="00D60F87" w:rsidRDefault="00D63B8A" w:rsidP="0087265C">
      <w:pPr>
        <w:pStyle w:val="Tablecaption"/>
      </w:pPr>
      <w:r w:rsidRPr="00D60F87">
        <w:t>8 February 2016</w:t>
      </w:r>
    </w:p>
    <w:p w:rsidR="00D63B8A" w:rsidRDefault="00D63B8A" w:rsidP="0087265C">
      <w:pPr>
        <w:pStyle w:val="Normalsinglelist"/>
      </w:pPr>
      <w:r>
        <w:t xml:space="preserve">Imelda </w:t>
      </w:r>
      <w:proofErr w:type="spellStart"/>
      <w:r>
        <w:t>Dodds</w:t>
      </w:r>
      <w:proofErr w:type="spellEnd"/>
      <w:r>
        <w:t xml:space="preserve"> – Chief Executive Officer</w:t>
      </w:r>
    </w:p>
    <w:p w:rsidR="00D63B8A" w:rsidRDefault="00D63B8A" w:rsidP="0087265C">
      <w:pPr>
        <w:pStyle w:val="Normalsinglelist"/>
      </w:pPr>
      <w:r>
        <w:t>Ruth Pollard – Director Legal</w:t>
      </w:r>
    </w:p>
    <w:p w:rsidR="00D63B8A" w:rsidRDefault="00D63B8A" w:rsidP="0087265C">
      <w:pPr>
        <w:pStyle w:val="Heading2"/>
      </w:pPr>
      <w:bookmarkStart w:id="87" w:name="_Toc454196057"/>
      <w:bookmarkStart w:id="88" w:name="_Toc454200616"/>
      <w:bookmarkStart w:id="89" w:name="_Toc454202797"/>
      <w:r>
        <w:t>NSW Public Guardian (PCGA2)</w:t>
      </w:r>
      <w:bookmarkEnd w:id="87"/>
      <w:bookmarkEnd w:id="88"/>
      <w:bookmarkEnd w:id="89"/>
    </w:p>
    <w:p w:rsidR="00D63B8A" w:rsidRDefault="00D63B8A" w:rsidP="0087265C">
      <w:pPr>
        <w:pStyle w:val="Tablecaption"/>
      </w:pPr>
      <w:r>
        <w:t>9</w:t>
      </w:r>
      <w:r w:rsidRPr="00D60F87">
        <w:t xml:space="preserve"> February 2016</w:t>
      </w:r>
    </w:p>
    <w:p w:rsidR="00D63B8A" w:rsidRDefault="00D63B8A" w:rsidP="0087265C">
      <w:pPr>
        <w:pStyle w:val="Normalsinglelist"/>
      </w:pPr>
      <w:r>
        <w:t>Graeme Smith – Public Guardian</w:t>
      </w:r>
    </w:p>
    <w:p w:rsidR="00D63B8A" w:rsidRPr="00D60F87" w:rsidRDefault="00D63B8A" w:rsidP="0087265C">
      <w:pPr>
        <w:pStyle w:val="Normalsinglelist"/>
      </w:pPr>
      <w:r>
        <w:t>Justine O’Neill – Assistant Public Guardian, Advocacy &amp; Policy</w:t>
      </w:r>
    </w:p>
    <w:p w:rsidR="00D63B8A" w:rsidRDefault="00D63B8A" w:rsidP="0087265C">
      <w:pPr>
        <w:pStyle w:val="Heading2"/>
      </w:pPr>
      <w:bookmarkStart w:id="90" w:name="_Toc454196058"/>
      <w:bookmarkStart w:id="91" w:name="_Toc454200617"/>
      <w:bookmarkStart w:id="92" w:name="_Toc454202798"/>
      <w:r>
        <w:t>Rodney Lewis (PCGA3)</w:t>
      </w:r>
      <w:bookmarkEnd w:id="90"/>
      <w:bookmarkEnd w:id="91"/>
      <w:bookmarkEnd w:id="92"/>
    </w:p>
    <w:p w:rsidR="00D63B8A" w:rsidRDefault="00D63B8A" w:rsidP="0087265C">
      <w:pPr>
        <w:pStyle w:val="Tablecaption"/>
      </w:pPr>
      <w:r>
        <w:t>15</w:t>
      </w:r>
      <w:r w:rsidRPr="00D60F87">
        <w:t xml:space="preserve"> February 2016</w:t>
      </w:r>
    </w:p>
    <w:p w:rsidR="00D63B8A" w:rsidRDefault="00D63B8A" w:rsidP="0087265C">
      <w:pPr>
        <w:pStyle w:val="Normalsinglelist"/>
      </w:pPr>
      <w:r>
        <w:t>Rodney Lewis – Solicitor</w:t>
      </w:r>
    </w:p>
    <w:p w:rsidR="00D63B8A" w:rsidRDefault="00D63B8A" w:rsidP="0087265C">
      <w:pPr>
        <w:pStyle w:val="Heading2"/>
      </w:pPr>
      <w:bookmarkStart w:id="93" w:name="_Toc454196059"/>
      <w:bookmarkStart w:id="94" w:name="_Toc454200618"/>
      <w:bookmarkStart w:id="95" w:name="_Toc454202799"/>
      <w:r>
        <w:t xml:space="preserve">NSW Civil and Administrative </w:t>
      </w:r>
      <w:proofErr w:type="gramStart"/>
      <w:r>
        <w:t>Tribunal  (</w:t>
      </w:r>
      <w:proofErr w:type="gramEnd"/>
      <w:r>
        <w:t>PCGA4)</w:t>
      </w:r>
      <w:bookmarkEnd w:id="93"/>
      <w:bookmarkEnd w:id="94"/>
      <w:bookmarkEnd w:id="95"/>
    </w:p>
    <w:p w:rsidR="00D63B8A" w:rsidRDefault="00D63B8A" w:rsidP="0087265C">
      <w:pPr>
        <w:pStyle w:val="Tablecaption"/>
      </w:pPr>
      <w:r>
        <w:t>19</w:t>
      </w:r>
      <w:r w:rsidRPr="00D60F87">
        <w:t xml:space="preserve"> February 2016</w:t>
      </w:r>
    </w:p>
    <w:p w:rsidR="00D63B8A" w:rsidRDefault="00D63B8A" w:rsidP="0087265C">
      <w:pPr>
        <w:pStyle w:val="Normalsinglelist"/>
      </w:pPr>
      <w:r>
        <w:t>The Hon Justice Wright – President</w:t>
      </w:r>
    </w:p>
    <w:p w:rsidR="00D63B8A" w:rsidRDefault="00D63B8A" w:rsidP="0087265C">
      <w:pPr>
        <w:pStyle w:val="Normalsinglelist"/>
      </w:pPr>
      <w:proofErr w:type="spellStart"/>
      <w:r>
        <w:t>Malcom</w:t>
      </w:r>
      <w:proofErr w:type="spellEnd"/>
      <w:r>
        <w:t xml:space="preserve"> </w:t>
      </w:r>
      <w:proofErr w:type="spellStart"/>
      <w:r>
        <w:t>Schyvens</w:t>
      </w:r>
      <w:proofErr w:type="spellEnd"/>
      <w:r>
        <w:t xml:space="preserve"> – Deputy President and head of Guardianship Division</w:t>
      </w:r>
    </w:p>
    <w:p w:rsidR="00D63B8A" w:rsidRDefault="00D63B8A" w:rsidP="0087265C">
      <w:pPr>
        <w:pStyle w:val="Normalsinglelist"/>
      </w:pPr>
      <w:r>
        <w:t xml:space="preserve">Cathy </w:t>
      </w:r>
      <w:proofErr w:type="spellStart"/>
      <w:r>
        <w:t>Szczygielksi</w:t>
      </w:r>
      <w:proofErr w:type="spellEnd"/>
      <w:r>
        <w:t xml:space="preserve"> – Principal Registrar </w:t>
      </w:r>
    </w:p>
    <w:p w:rsidR="00D63B8A" w:rsidRDefault="00D63B8A" w:rsidP="0087265C">
      <w:pPr>
        <w:pStyle w:val="Normalsinglelist"/>
      </w:pPr>
      <w:r>
        <w:t>Kelly Roberts – Justice Strategy &amp; Policy, NSW Department of Justice</w:t>
      </w:r>
    </w:p>
    <w:p w:rsidR="00D63B8A" w:rsidRDefault="00D63B8A" w:rsidP="0087265C">
      <w:pPr>
        <w:pStyle w:val="Heading2"/>
      </w:pPr>
      <w:bookmarkStart w:id="96" w:name="_Toc454196060"/>
      <w:bookmarkStart w:id="97" w:name="_Toc454200619"/>
      <w:bookmarkStart w:id="98" w:name="_Toc454202800"/>
      <w:r>
        <w:t>Law Society of NSW, Elder Law and Succession Committee (PCGA5)</w:t>
      </w:r>
      <w:bookmarkEnd w:id="96"/>
      <w:bookmarkEnd w:id="97"/>
      <w:bookmarkEnd w:id="98"/>
    </w:p>
    <w:p w:rsidR="00D63B8A" w:rsidRDefault="00D63B8A" w:rsidP="0087265C">
      <w:pPr>
        <w:pStyle w:val="Tablecaption"/>
      </w:pPr>
      <w:r>
        <w:t>8 March</w:t>
      </w:r>
      <w:r w:rsidRPr="00D60F87">
        <w:t xml:space="preserve"> 2016</w:t>
      </w:r>
    </w:p>
    <w:p w:rsidR="00D63B8A" w:rsidRPr="00E37530" w:rsidRDefault="00D63B8A" w:rsidP="0087265C">
      <w:pPr>
        <w:pStyle w:val="Normalsinglelist"/>
      </w:pPr>
      <w:r w:rsidRPr="00E37530">
        <w:t xml:space="preserve">Michael </w:t>
      </w:r>
      <w:proofErr w:type="spellStart"/>
      <w:r w:rsidRPr="00E37530">
        <w:t>Tidball</w:t>
      </w:r>
      <w:proofErr w:type="spellEnd"/>
      <w:r>
        <w:t xml:space="preserve"> -</w:t>
      </w:r>
      <w:r w:rsidRPr="00E37530">
        <w:t xml:space="preserve"> Chair, Elder Law and Succession Committee</w:t>
      </w:r>
    </w:p>
    <w:p w:rsidR="00D63B8A" w:rsidRPr="00E37530" w:rsidRDefault="00D63B8A" w:rsidP="0087265C">
      <w:pPr>
        <w:pStyle w:val="Normalsinglelist"/>
      </w:pPr>
      <w:r w:rsidRPr="00E37530">
        <w:t>Pam Suttor</w:t>
      </w:r>
      <w:r>
        <w:t xml:space="preserve"> - M</w:t>
      </w:r>
      <w:r w:rsidRPr="00E37530">
        <w:t>ember, Elder Law and Succession Committee</w:t>
      </w:r>
    </w:p>
    <w:p w:rsidR="00D63B8A" w:rsidRPr="00E37530" w:rsidRDefault="00D63B8A" w:rsidP="0087265C">
      <w:pPr>
        <w:pStyle w:val="Normalsinglelist"/>
      </w:pPr>
      <w:r>
        <w:t xml:space="preserve">Emma </w:t>
      </w:r>
      <w:proofErr w:type="spellStart"/>
      <w:r>
        <w:t>Liddle</w:t>
      </w:r>
      <w:proofErr w:type="spellEnd"/>
      <w:r>
        <w:t xml:space="preserve"> -</w:t>
      </w:r>
      <w:r w:rsidRPr="00E37530">
        <w:t xml:space="preserve"> Policy Lawyer, Law Society of NSW</w:t>
      </w:r>
    </w:p>
    <w:p w:rsidR="00D63B8A" w:rsidRDefault="00D63B8A" w:rsidP="0087265C">
      <w:pPr>
        <w:pStyle w:val="Normalsinglelist"/>
      </w:pPr>
      <w:r>
        <w:t>Daryl Browne -</w:t>
      </w:r>
      <w:r w:rsidRPr="00E37530">
        <w:t xml:space="preserve"> Deputy Chair, Elder Law and Succession Committee</w:t>
      </w:r>
    </w:p>
    <w:p w:rsidR="00D63B8A" w:rsidRDefault="00D63B8A" w:rsidP="0087265C">
      <w:pPr>
        <w:pStyle w:val="Heading2"/>
      </w:pPr>
      <w:bookmarkStart w:id="99" w:name="_Toc454196061"/>
      <w:bookmarkStart w:id="100" w:name="_Toc454200620"/>
      <w:bookmarkStart w:id="101" w:name="_Toc454202801"/>
      <w:r>
        <w:t>Australian Law Reform Commission (PCGA6)</w:t>
      </w:r>
      <w:bookmarkEnd w:id="99"/>
      <w:bookmarkEnd w:id="100"/>
      <w:bookmarkEnd w:id="101"/>
    </w:p>
    <w:p w:rsidR="00D63B8A" w:rsidRDefault="00D63B8A" w:rsidP="0087265C">
      <w:pPr>
        <w:pStyle w:val="Tablecaption"/>
      </w:pPr>
      <w:r>
        <w:t>21 March</w:t>
      </w:r>
      <w:r w:rsidRPr="00D60F87">
        <w:t xml:space="preserve"> 2016</w:t>
      </w:r>
    </w:p>
    <w:p w:rsidR="00D63B8A" w:rsidRDefault="00D63B8A" w:rsidP="0087265C">
      <w:pPr>
        <w:pStyle w:val="Normalsinglelist"/>
      </w:pPr>
      <w:r>
        <w:t xml:space="preserve">Rosalind </w:t>
      </w:r>
      <w:proofErr w:type="spellStart"/>
      <w:r>
        <w:t>Croucher</w:t>
      </w:r>
      <w:proofErr w:type="spellEnd"/>
      <w:r>
        <w:t xml:space="preserve"> - President</w:t>
      </w:r>
    </w:p>
    <w:p w:rsidR="00D63B8A" w:rsidRDefault="00D63B8A" w:rsidP="0087265C">
      <w:pPr>
        <w:pStyle w:val="Normalsinglelist"/>
      </w:pPr>
      <w:r>
        <w:lastRenderedPageBreak/>
        <w:t>Bruce Alston - Principal Legal Officer</w:t>
      </w:r>
    </w:p>
    <w:p w:rsidR="00D63B8A" w:rsidRPr="00AA5ADC" w:rsidRDefault="00D63B8A" w:rsidP="0087265C">
      <w:pPr>
        <w:pStyle w:val="Normalsinglelist"/>
      </w:pPr>
      <w:r>
        <w:t>Sabina Wynn - Executive Director</w:t>
      </w:r>
    </w:p>
    <w:p w:rsidR="00D63B8A" w:rsidRDefault="00D63B8A" w:rsidP="0087265C">
      <w:pPr>
        <w:pStyle w:val="Heading2"/>
      </w:pPr>
      <w:bookmarkStart w:id="102" w:name="_Toc454196062"/>
      <w:bookmarkStart w:id="103" w:name="_Toc454200621"/>
      <w:bookmarkStart w:id="104" w:name="_Toc454202802"/>
      <w:r>
        <w:t>Nick O’Neill (PCGA7)</w:t>
      </w:r>
      <w:bookmarkEnd w:id="102"/>
      <w:bookmarkEnd w:id="103"/>
      <w:bookmarkEnd w:id="104"/>
    </w:p>
    <w:p w:rsidR="00D63B8A" w:rsidRDefault="00D63B8A" w:rsidP="0087265C">
      <w:pPr>
        <w:pStyle w:val="Tablecaption"/>
      </w:pPr>
      <w:r>
        <w:t>5 April</w:t>
      </w:r>
      <w:r w:rsidRPr="00D60F87">
        <w:t xml:space="preserve"> 2016</w:t>
      </w:r>
    </w:p>
    <w:p w:rsidR="00D63B8A" w:rsidRPr="00B21F03" w:rsidRDefault="00D63B8A" w:rsidP="0087265C">
      <w:pPr>
        <w:pStyle w:val="Normalsinglelist"/>
      </w:pPr>
      <w:r w:rsidRPr="00B21F03">
        <w:t>Nick O’Neill - President NSW Guardianship Tribunal (1994-2004)</w:t>
      </w:r>
    </w:p>
    <w:p w:rsidR="00D63B8A" w:rsidRDefault="00D63B8A" w:rsidP="0087265C">
      <w:pPr>
        <w:pStyle w:val="Heading2"/>
      </w:pPr>
      <w:bookmarkStart w:id="105" w:name="_Toc454196063"/>
      <w:bookmarkStart w:id="106" w:name="_Toc454200622"/>
      <w:bookmarkStart w:id="107" w:name="_Toc454202803"/>
      <w:r>
        <w:t>Roger West (PCGA8)</w:t>
      </w:r>
      <w:bookmarkEnd w:id="105"/>
      <w:bookmarkEnd w:id="106"/>
      <w:bookmarkEnd w:id="107"/>
    </w:p>
    <w:p w:rsidR="00D63B8A" w:rsidRDefault="00D63B8A" w:rsidP="0087265C">
      <w:pPr>
        <w:pStyle w:val="Tablecaption"/>
      </w:pPr>
      <w:r>
        <w:t>11 April</w:t>
      </w:r>
      <w:r w:rsidRPr="00D60F87">
        <w:t xml:space="preserve"> 2016</w:t>
      </w:r>
    </w:p>
    <w:p w:rsidR="00D63B8A" w:rsidRPr="00B21F03" w:rsidRDefault="00D63B8A" w:rsidP="0087265C">
      <w:pPr>
        <w:pStyle w:val="Normalsinglelist"/>
      </w:pPr>
      <w:r w:rsidRPr="00B21F03">
        <w:t>Roger West - President, NSW Guardianship Tribunal (1989-1994)</w:t>
      </w:r>
    </w:p>
    <w:p w:rsidR="00D63B8A" w:rsidRDefault="00D63B8A" w:rsidP="0087265C">
      <w:pPr>
        <w:pStyle w:val="Heading2"/>
      </w:pPr>
      <w:bookmarkStart w:id="108" w:name="_Toc454196064"/>
      <w:bookmarkStart w:id="109" w:name="_Toc454200623"/>
      <w:bookmarkStart w:id="110" w:name="_Toc454202804"/>
      <w:r>
        <w:t>Carers Advisory Council (PCGA9)</w:t>
      </w:r>
      <w:bookmarkEnd w:id="108"/>
      <w:bookmarkEnd w:id="109"/>
      <w:bookmarkEnd w:id="110"/>
    </w:p>
    <w:p w:rsidR="00D63B8A" w:rsidRDefault="00D63B8A" w:rsidP="0087265C">
      <w:pPr>
        <w:pStyle w:val="Tablecaption"/>
      </w:pPr>
      <w:r>
        <w:t xml:space="preserve">6 June </w:t>
      </w:r>
      <w:r w:rsidRPr="00D60F87">
        <w:t>2016</w:t>
      </w:r>
    </w:p>
    <w:p w:rsidR="00DB362A" w:rsidRPr="00DB362A" w:rsidRDefault="00DB362A" w:rsidP="00DB362A">
      <w:pPr>
        <w:pStyle w:val="Normalsinglelist"/>
      </w:pPr>
      <w:bookmarkStart w:id="111" w:name="_Toc454200624"/>
      <w:bookmarkStart w:id="112" w:name="_Toc454202805"/>
      <w:r w:rsidRPr="00DB362A">
        <w:t xml:space="preserve">Deborah </w:t>
      </w:r>
      <w:proofErr w:type="spellStart"/>
      <w:r w:rsidRPr="00DB362A">
        <w:t>Bewick</w:t>
      </w:r>
      <w:proofErr w:type="spellEnd"/>
    </w:p>
    <w:p w:rsidR="00DB362A" w:rsidRPr="00DB362A" w:rsidRDefault="00DB362A" w:rsidP="00DB362A">
      <w:pPr>
        <w:pStyle w:val="Normalsinglelist"/>
      </w:pPr>
      <w:proofErr w:type="spellStart"/>
      <w:r w:rsidRPr="00DB362A">
        <w:t>Jonothan</w:t>
      </w:r>
      <w:proofErr w:type="spellEnd"/>
      <w:r w:rsidRPr="00DB362A">
        <w:t xml:space="preserve"> </w:t>
      </w:r>
      <w:proofErr w:type="spellStart"/>
      <w:r w:rsidRPr="00DB362A">
        <w:t>Bewick</w:t>
      </w:r>
      <w:proofErr w:type="spellEnd"/>
    </w:p>
    <w:p w:rsidR="00DB362A" w:rsidRPr="00DB362A" w:rsidRDefault="00DB362A" w:rsidP="00DB362A">
      <w:pPr>
        <w:pStyle w:val="Normalsinglelist"/>
      </w:pPr>
      <w:r w:rsidRPr="00DB362A">
        <w:t>Catherine Bourke</w:t>
      </w:r>
    </w:p>
    <w:p w:rsidR="00DB362A" w:rsidRPr="00DB362A" w:rsidRDefault="00DB362A" w:rsidP="00DB362A">
      <w:pPr>
        <w:pStyle w:val="Normalsinglelist"/>
      </w:pPr>
      <w:r w:rsidRPr="00DB362A">
        <w:t xml:space="preserve">Philip </w:t>
      </w:r>
      <w:proofErr w:type="spellStart"/>
      <w:r w:rsidRPr="00DB362A">
        <w:t>Coller</w:t>
      </w:r>
      <w:proofErr w:type="spellEnd"/>
    </w:p>
    <w:p w:rsidR="00DB362A" w:rsidRPr="00DB362A" w:rsidRDefault="00DB362A" w:rsidP="00DB362A">
      <w:pPr>
        <w:pStyle w:val="Normalsinglelist"/>
      </w:pPr>
      <w:r w:rsidRPr="00DB362A">
        <w:t>Rose Cox</w:t>
      </w:r>
    </w:p>
    <w:p w:rsidR="00DB362A" w:rsidRPr="00DB362A" w:rsidRDefault="00DB362A" w:rsidP="00DB362A">
      <w:pPr>
        <w:pStyle w:val="Normalsinglelist"/>
      </w:pPr>
      <w:r w:rsidRPr="00DB362A">
        <w:t>Michael Fine</w:t>
      </w:r>
    </w:p>
    <w:p w:rsidR="00DB362A" w:rsidRPr="00DB362A" w:rsidRDefault="00DB362A" w:rsidP="00DB362A">
      <w:pPr>
        <w:pStyle w:val="Normalsinglelist"/>
      </w:pPr>
      <w:r w:rsidRPr="00DB362A">
        <w:t>Maria Heaton</w:t>
      </w:r>
    </w:p>
    <w:p w:rsidR="00DB362A" w:rsidRPr="00DB362A" w:rsidRDefault="00DB362A" w:rsidP="00DB362A">
      <w:pPr>
        <w:pStyle w:val="Normalsinglelist"/>
      </w:pPr>
      <w:r w:rsidRPr="00DB362A">
        <w:t>Elizabeth Ingram</w:t>
      </w:r>
    </w:p>
    <w:p w:rsidR="00DB362A" w:rsidRPr="00DB362A" w:rsidRDefault="00DB362A" w:rsidP="00DB362A">
      <w:pPr>
        <w:pStyle w:val="Normalsinglelist"/>
      </w:pPr>
      <w:r w:rsidRPr="00DB362A">
        <w:t>Cheryl Koenig</w:t>
      </w:r>
    </w:p>
    <w:p w:rsidR="00DB362A" w:rsidRPr="00DB362A" w:rsidRDefault="00DB362A" w:rsidP="00DB362A">
      <w:pPr>
        <w:pStyle w:val="Normalsinglelist"/>
      </w:pPr>
      <w:r w:rsidRPr="00DB362A">
        <w:t xml:space="preserve">Yvonne </w:t>
      </w:r>
      <w:proofErr w:type="spellStart"/>
      <w:r w:rsidRPr="00DB362A">
        <w:t>Quadros</w:t>
      </w:r>
      <w:proofErr w:type="spellEnd"/>
    </w:p>
    <w:p w:rsidR="00DB362A" w:rsidRPr="00DB362A" w:rsidRDefault="00DB362A" w:rsidP="00DB362A">
      <w:pPr>
        <w:pStyle w:val="Normalsinglelist"/>
      </w:pPr>
      <w:r w:rsidRPr="00DB362A">
        <w:t>Elizabeth Wall</w:t>
      </w:r>
    </w:p>
    <w:p w:rsidR="00DB362A" w:rsidRPr="00DB362A" w:rsidRDefault="00DB362A" w:rsidP="00DB362A">
      <w:pPr>
        <w:pStyle w:val="Normalsinglelist"/>
      </w:pPr>
      <w:r w:rsidRPr="00DB362A">
        <w:t xml:space="preserve">Prue </w:t>
      </w:r>
      <w:proofErr w:type="spellStart"/>
      <w:r w:rsidRPr="00DB362A">
        <w:t>Warrilow</w:t>
      </w:r>
      <w:proofErr w:type="spellEnd"/>
    </w:p>
    <w:p w:rsidR="00DB362A" w:rsidRPr="00DB362A" w:rsidRDefault="00DB362A" w:rsidP="00DB362A">
      <w:pPr>
        <w:pStyle w:val="Normalsinglelist"/>
      </w:pPr>
      <w:r w:rsidRPr="00DB362A">
        <w:t>Pam Webster</w:t>
      </w:r>
    </w:p>
    <w:p w:rsidR="00DB362A" w:rsidRPr="00DB362A" w:rsidRDefault="00DB362A" w:rsidP="00DB362A">
      <w:pPr>
        <w:pStyle w:val="Normalsinglelist"/>
      </w:pPr>
      <w:r w:rsidRPr="00DB362A">
        <w:t>Helen Rogers - Executive Director, Participation and Inclusion</w:t>
      </w:r>
      <w:r>
        <w:t>, FACS</w:t>
      </w:r>
      <w:r w:rsidRPr="00DB362A">
        <w:t xml:space="preserve"> </w:t>
      </w:r>
    </w:p>
    <w:p w:rsidR="00DB362A" w:rsidRPr="00DB362A" w:rsidRDefault="00DB362A" w:rsidP="00DB362A">
      <w:pPr>
        <w:pStyle w:val="Normalsinglelist"/>
      </w:pPr>
      <w:r w:rsidRPr="00DB362A">
        <w:t>Claire Edmonds - Project Officer, Carers, Ageing and Disability Council</w:t>
      </w:r>
      <w:r>
        <w:t>, FACS</w:t>
      </w:r>
      <w:r w:rsidRPr="00DB362A">
        <w:t xml:space="preserve"> </w:t>
      </w:r>
    </w:p>
    <w:p w:rsidR="00DB362A" w:rsidRPr="00DB362A" w:rsidRDefault="00DB362A" w:rsidP="00DB362A">
      <w:pPr>
        <w:pStyle w:val="Normalsinglelist"/>
      </w:pPr>
      <w:r w:rsidRPr="00DB362A">
        <w:t>Alison Parkinson - Project Officer, Carers, Ageing and Disability Council</w:t>
      </w:r>
      <w:r>
        <w:t>, FACS</w:t>
      </w:r>
    </w:p>
    <w:p w:rsidR="00DB362A" w:rsidRPr="00DB362A" w:rsidRDefault="00DB362A" w:rsidP="00DB362A">
      <w:pPr>
        <w:pStyle w:val="Normalsinglelist"/>
      </w:pPr>
      <w:r w:rsidRPr="00DB362A">
        <w:t>Anne Marie Dwyer - Director, Carers, Ageing and Disability Council</w:t>
      </w:r>
      <w:r>
        <w:t>, FACS</w:t>
      </w:r>
      <w:r w:rsidRPr="00DB362A">
        <w:t xml:space="preserve"> </w:t>
      </w:r>
    </w:p>
    <w:p w:rsidR="00DB362A" w:rsidRPr="00DB362A" w:rsidRDefault="00DB362A" w:rsidP="00DB362A">
      <w:pPr>
        <w:pStyle w:val="Normalsinglelist"/>
      </w:pPr>
      <w:r w:rsidRPr="00DB362A">
        <w:t>Helen McFarlane - Manager, Carers, Ageing and Disability Council</w:t>
      </w:r>
      <w:r>
        <w:t>, FACS</w:t>
      </w:r>
    </w:p>
    <w:p w:rsidR="00D63B8A" w:rsidRDefault="00D63B8A" w:rsidP="00DB362A">
      <w:pPr>
        <w:pStyle w:val="Heading2"/>
      </w:pPr>
      <w:r>
        <w:t>Consultative Forum of Guardianship Division of NCAT (PCGA10)</w:t>
      </w:r>
      <w:bookmarkEnd w:id="111"/>
      <w:bookmarkEnd w:id="112"/>
    </w:p>
    <w:p w:rsidR="00D63B8A" w:rsidRDefault="00D63B8A" w:rsidP="0087265C">
      <w:pPr>
        <w:pStyle w:val="Tablecaption"/>
      </w:pPr>
      <w:r>
        <w:t xml:space="preserve">17 June </w:t>
      </w:r>
      <w:r w:rsidRPr="006B6900">
        <w:t>2016</w:t>
      </w:r>
    </w:p>
    <w:p w:rsidR="00D63B8A" w:rsidRPr="0094692B" w:rsidRDefault="00D63B8A" w:rsidP="00DB362A">
      <w:pPr>
        <w:pStyle w:val="Normalsinglelist"/>
        <w:ind w:left="1077" w:hanging="357"/>
      </w:pPr>
      <w:r w:rsidRPr="0094692B">
        <w:t xml:space="preserve">Malcolm </w:t>
      </w:r>
      <w:proofErr w:type="spellStart"/>
      <w:r w:rsidRPr="0094692B">
        <w:t>Schyvens</w:t>
      </w:r>
      <w:proofErr w:type="spellEnd"/>
      <w:r>
        <w:t xml:space="preserve"> - </w:t>
      </w:r>
      <w:r w:rsidRPr="0094692B">
        <w:t>Deput</w:t>
      </w:r>
      <w:r>
        <w:t xml:space="preserve">y President and Division Head, </w:t>
      </w:r>
      <w:r w:rsidRPr="0094692B">
        <w:t>Guardianship Division</w:t>
      </w:r>
    </w:p>
    <w:p w:rsidR="00D63B8A" w:rsidRPr="0094692B" w:rsidRDefault="00D63B8A" w:rsidP="00DB362A">
      <w:pPr>
        <w:pStyle w:val="Normalsinglelist"/>
        <w:ind w:left="1077" w:hanging="357"/>
      </w:pPr>
      <w:r>
        <w:t xml:space="preserve">Anne Britton - </w:t>
      </w:r>
      <w:r w:rsidRPr="0094692B">
        <w:t>Principal Member, Guardianship Division</w:t>
      </w:r>
    </w:p>
    <w:p w:rsidR="00D63B8A" w:rsidRPr="0094692B" w:rsidRDefault="00D63B8A" w:rsidP="00DB362A">
      <w:pPr>
        <w:pStyle w:val="Normalsinglelist"/>
        <w:ind w:left="1077" w:hanging="357"/>
      </w:pPr>
      <w:r>
        <w:t xml:space="preserve">Pauline Green - </w:t>
      </w:r>
      <w:r w:rsidRPr="0094692B">
        <w:t>Acting Divisional Registrar, Guardianship Division</w:t>
      </w:r>
    </w:p>
    <w:p w:rsidR="00D63B8A" w:rsidRPr="0094692B" w:rsidRDefault="00D63B8A" w:rsidP="006B6900">
      <w:pPr>
        <w:pStyle w:val="Normalsinglelist"/>
      </w:pPr>
      <w:r>
        <w:t xml:space="preserve">Nicole D’Souza - </w:t>
      </w:r>
      <w:r w:rsidRPr="0094692B">
        <w:t>Acting Legal Officer, Guardianship Division</w:t>
      </w:r>
    </w:p>
    <w:p w:rsidR="00D63B8A" w:rsidRPr="0094692B" w:rsidRDefault="00D63B8A" w:rsidP="006B6900">
      <w:pPr>
        <w:pStyle w:val="Normalsinglelist"/>
      </w:pPr>
      <w:r>
        <w:lastRenderedPageBreak/>
        <w:t xml:space="preserve">Graeme Smith - </w:t>
      </w:r>
      <w:r w:rsidRPr="0094692B">
        <w:t>Public Guardian</w:t>
      </w:r>
    </w:p>
    <w:p w:rsidR="00D63B8A" w:rsidRPr="0094692B" w:rsidRDefault="00D63B8A" w:rsidP="006B6900">
      <w:pPr>
        <w:pStyle w:val="Normalsinglelist"/>
      </w:pPr>
      <w:r w:rsidRPr="0094692B">
        <w:t xml:space="preserve">Viet Hoang Nguyen </w:t>
      </w:r>
      <w:r>
        <w:t xml:space="preserve">- </w:t>
      </w:r>
      <w:r w:rsidRPr="0094692B">
        <w:t>General Liti</w:t>
      </w:r>
      <w:r>
        <w:t xml:space="preserve">gation and Dispute Resolution, </w:t>
      </w:r>
      <w:r w:rsidRPr="0094692B">
        <w:t>FACS Legal</w:t>
      </w:r>
    </w:p>
    <w:p w:rsidR="00D63B8A" w:rsidRPr="0094692B" w:rsidRDefault="00D63B8A" w:rsidP="006B6900">
      <w:pPr>
        <w:pStyle w:val="Normalsinglelist"/>
      </w:pPr>
      <w:r>
        <w:t xml:space="preserve">Stein Boddington - </w:t>
      </w:r>
      <w:r w:rsidRPr="0094692B">
        <w:t>Disability Council</w:t>
      </w:r>
    </w:p>
    <w:p w:rsidR="00D63B8A" w:rsidRPr="0094692B" w:rsidRDefault="00D63B8A" w:rsidP="006B6900">
      <w:pPr>
        <w:pStyle w:val="Normalsinglelist"/>
      </w:pPr>
      <w:r w:rsidRPr="0094692B">
        <w:t xml:space="preserve">Annabelle </w:t>
      </w:r>
      <w:proofErr w:type="spellStart"/>
      <w:r w:rsidRPr="0094692B">
        <w:t>Bains</w:t>
      </w:r>
      <w:proofErr w:type="spellEnd"/>
      <w:r w:rsidRPr="0094692B">
        <w:t xml:space="preserve"> </w:t>
      </w:r>
      <w:r>
        <w:t xml:space="preserve">- </w:t>
      </w:r>
      <w:r w:rsidRPr="0094692B">
        <w:t>Department of Health, Whole of Health Program</w:t>
      </w:r>
    </w:p>
    <w:p w:rsidR="00D63B8A" w:rsidRPr="0094692B" w:rsidRDefault="00D63B8A" w:rsidP="006B6900">
      <w:pPr>
        <w:pStyle w:val="Normalsinglelist"/>
      </w:pPr>
      <w:r w:rsidRPr="0094692B">
        <w:t>Rosann</w:t>
      </w:r>
      <w:r>
        <w:t xml:space="preserve">e Walters - </w:t>
      </w:r>
      <w:r w:rsidRPr="0094692B">
        <w:t>Geriatric Medicine Department, Westmead Hospital</w:t>
      </w:r>
    </w:p>
    <w:p w:rsidR="00D63B8A" w:rsidRPr="0094692B" w:rsidRDefault="00D63B8A" w:rsidP="006B6900">
      <w:pPr>
        <w:pStyle w:val="Normalsinglelist"/>
      </w:pPr>
      <w:r>
        <w:t xml:space="preserve">Maria </w:t>
      </w:r>
      <w:proofErr w:type="spellStart"/>
      <w:r>
        <w:t>Bisogni</w:t>
      </w:r>
      <w:proofErr w:type="spellEnd"/>
      <w:r>
        <w:t xml:space="preserve"> - </w:t>
      </w:r>
      <w:r w:rsidRPr="0094692B">
        <w:t>Deputy President, Mental Health Review Tribunal</w:t>
      </w:r>
    </w:p>
    <w:p w:rsidR="00D63B8A" w:rsidRPr="0094692B" w:rsidRDefault="00D63B8A" w:rsidP="006B6900">
      <w:pPr>
        <w:pStyle w:val="Normalsinglelist"/>
      </w:pPr>
      <w:proofErr w:type="spellStart"/>
      <w:r w:rsidRPr="0094692B">
        <w:t>Nihal</w:t>
      </w:r>
      <w:proofErr w:type="spellEnd"/>
      <w:r w:rsidRPr="0094692B">
        <w:t xml:space="preserve"> </w:t>
      </w:r>
      <w:proofErr w:type="spellStart"/>
      <w:r w:rsidRPr="0094692B">
        <w:t>Danis</w:t>
      </w:r>
      <w:proofErr w:type="spellEnd"/>
      <w:r w:rsidRPr="0094692B">
        <w:t xml:space="preserve"> </w:t>
      </w:r>
      <w:r>
        <w:t xml:space="preserve">- </w:t>
      </w:r>
      <w:r w:rsidRPr="0094692B">
        <w:t>Mental Health Advocacy Service, Legal Aid NSW</w:t>
      </w:r>
    </w:p>
    <w:p w:rsidR="00D63B8A" w:rsidRPr="0094692B" w:rsidRDefault="00D63B8A" w:rsidP="006B6900">
      <w:pPr>
        <w:pStyle w:val="Normalsinglelist"/>
      </w:pPr>
      <w:r>
        <w:t xml:space="preserve">Melissa </w:t>
      </w:r>
      <w:proofErr w:type="spellStart"/>
      <w:r>
        <w:t>Chaperlin</w:t>
      </w:r>
      <w:proofErr w:type="spellEnd"/>
      <w:r>
        <w:t xml:space="preserve"> - </w:t>
      </w:r>
      <w:r w:rsidRPr="0094692B">
        <w:t>Solicitor, Seniors Rights Service</w:t>
      </w:r>
    </w:p>
    <w:p w:rsidR="004E082A" w:rsidRPr="00C12057" w:rsidRDefault="00D63B8A" w:rsidP="006B6900">
      <w:pPr>
        <w:pStyle w:val="Normalsinglelist"/>
      </w:pPr>
      <w:r>
        <w:t xml:space="preserve">Dennis Bryant - </w:t>
      </w:r>
      <w:r w:rsidRPr="0094692B">
        <w:t>NSW Council for Intellectual Disability</w:t>
      </w:r>
    </w:p>
    <w:sectPr w:rsidR="004E082A" w:rsidRPr="00C12057" w:rsidSect="00DD020D">
      <w:headerReference w:type="default" r:id="rId23"/>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08" w:rsidRDefault="001F1C08">
      <w:r>
        <w:separator/>
      </w:r>
    </w:p>
  </w:endnote>
  <w:endnote w:type="continuationSeparator" w:id="0">
    <w:p w:rsidR="001F1C08" w:rsidRDefault="001F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CYPlain">
    <w:altName w:val="MS Mincho"/>
    <w:panose1 w:val="00000000000000000000"/>
    <w:charset w:val="80"/>
    <w:family w:val="auto"/>
    <w:notTrueType/>
    <w:pitch w:val="default"/>
    <w:sig w:usb0="00000000" w:usb1="08070000" w:usb2="00000010" w:usb3="00000000" w:csb0="00020000" w:csb1="00000000"/>
  </w:font>
  <w:font w:name="FS Me Light">
    <w:altName w:val="FS Me Light"/>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7D76C7" w:rsidRDefault="001F1C08" w:rsidP="007D76C7">
    <w:pPr>
      <w:pStyle w:val="FooterEven"/>
    </w:pPr>
    <w:r>
      <w:rPr>
        <w:b/>
        <w:bCs/>
      </w:rPr>
      <w:fldChar w:fldCharType="begin"/>
    </w:r>
    <w:r>
      <w:rPr>
        <w:b/>
        <w:bCs/>
      </w:rPr>
      <w:instrText xml:space="preserve"> PAGE </w:instrText>
    </w:r>
    <w:r>
      <w:rPr>
        <w:b/>
        <w:bCs/>
      </w:rPr>
      <w:fldChar w:fldCharType="separate"/>
    </w:r>
    <w:r w:rsidR="00B02B41">
      <w:rPr>
        <w:b/>
        <w:bCs/>
        <w:noProof/>
      </w:rPr>
      <w:t>vi</w:t>
    </w:r>
    <w:r>
      <w:rPr>
        <w:b/>
        <w:bCs/>
      </w:rPr>
      <w:fldChar w:fldCharType="end"/>
    </w:r>
    <w:r>
      <w:rPr>
        <w:b/>
        <w:bCs/>
      </w:rPr>
      <w:t xml:space="preserve">  </w:t>
    </w:r>
    <w:r>
      <w:rPr>
        <w:bCs/>
      </w:rPr>
      <w:t>NSW Law Reform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Default="001F1C08" w:rsidP="00D9365D">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Pr>
        <w:b/>
        <w:bCs/>
        <w:noProof/>
      </w:rPr>
      <w:t>33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Default="001F1C08" w:rsidP="00D9365D">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B02B41">
      <w:rPr>
        <w:b/>
        <w:bCs/>
        <w:noProof/>
      </w:rPr>
      <w:t>v</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Default="001F1C08" w:rsidP="00DA02C1">
    <w:pPr>
      <w:pStyle w:val="FooterEven"/>
    </w:pPr>
    <w:r>
      <w:rPr>
        <w:b/>
        <w:bCs/>
      </w:rPr>
      <w:fldChar w:fldCharType="begin"/>
    </w:r>
    <w:r>
      <w:rPr>
        <w:b/>
        <w:bCs/>
      </w:rPr>
      <w:instrText xml:space="preserve"> PAGE </w:instrText>
    </w:r>
    <w:r>
      <w:rPr>
        <w:b/>
        <w:bCs/>
      </w:rPr>
      <w:fldChar w:fldCharType="separate"/>
    </w:r>
    <w:r w:rsidR="00B02B41">
      <w:rPr>
        <w:b/>
        <w:bCs/>
        <w:noProof/>
      </w:rPr>
      <w:t>28</w:t>
    </w:r>
    <w:r>
      <w:rPr>
        <w:b/>
        <w:bCs/>
      </w:rPr>
      <w:fldChar w:fldCharType="end"/>
    </w:r>
    <w:r>
      <w:t xml:space="preserve"> NSW Law Reform Commission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Default="001F1C08" w:rsidP="00DA02C1">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B02B41">
      <w:rPr>
        <w:b/>
        <w:bCs/>
        <w:noProof/>
      </w:rPr>
      <w:t>29</w:t>
    </w:r>
    <w:r>
      <w:rPr>
        <w:b/>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Default="001F1C08" w:rsidP="009A6984">
    <w:pPr>
      <w:pStyle w:val="Footerodd"/>
      <w:rPr>
        <w:b/>
      </w:rPr>
    </w:pPr>
    <w:r>
      <w:t xml:space="preserve">NSW Law Reform Commission </w:t>
    </w:r>
    <w:r>
      <w:rPr>
        <w:b/>
      </w:rPr>
      <w:fldChar w:fldCharType="begin"/>
    </w:r>
    <w:r>
      <w:rPr>
        <w:b/>
      </w:rPr>
      <w:instrText xml:space="preserve"> PAGE </w:instrText>
    </w:r>
    <w:r>
      <w:rPr>
        <w:b/>
      </w:rPr>
      <w:fldChar w:fldCharType="separate"/>
    </w:r>
    <w:r w:rsidR="00B02B4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08" w:rsidRDefault="001F1C08">
      <w:r>
        <w:separator/>
      </w:r>
    </w:p>
  </w:footnote>
  <w:footnote w:type="continuationSeparator" w:id="0">
    <w:p w:rsidR="001F1C08" w:rsidRDefault="001F1C08">
      <w:r>
        <w:continuationSeparator/>
      </w:r>
    </w:p>
  </w:footnote>
  <w:footnote w:type="continuationNotice" w:id="1">
    <w:p w:rsidR="001F1C08" w:rsidRDefault="001F1C08"/>
  </w:footnote>
  <w:footnote w:id="2">
    <w:p w:rsidR="001F1C08" w:rsidRPr="007E0267" w:rsidRDefault="001F1C08" w:rsidP="004E082A">
      <w:pPr>
        <w:pStyle w:val="FootnoteText"/>
        <w:rPr>
          <w:rFonts w:cs="Arial"/>
        </w:rPr>
      </w:pPr>
      <w:r w:rsidRPr="00F96A7A">
        <w:rPr>
          <w:rStyle w:val="FootnoteReference"/>
          <w:rFonts w:cs="Arial"/>
          <w:vertAlign w:val="baseline"/>
        </w:rPr>
        <w:footnoteRef/>
      </w:r>
      <w:r>
        <w:rPr>
          <w:rFonts w:cs="Arial"/>
        </w:rPr>
        <w:t>.</w:t>
      </w:r>
      <w:r>
        <w:rPr>
          <w:rFonts w:cs="Arial"/>
        </w:rPr>
        <w:tab/>
      </w:r>
      <w:r>
        <w:rPr>
          <w:rFonts w:cs="Arial"/>
          <w:i/>
        </w:rPr>
        <w:t>Guardianship and Administration</w:t>
      </w:r>
      <w:r w:rsidRPr="001429B4">
        <w:rPr>
          <w:rFonts w:cs="Arial"/>
          <w:i/>
        </w:rPr>
        <w:t xml:space="preserve"> Board Act 1985 (Vic)</w:t>
      </w:r>
      <w:r>
        <w:rPr>
          <w:rFonts w:cs="Arial"/>
        </w:rPr>
        <w:t xml:space="preserve">: see N O’Neill and C </w:t>
      </w:r>
      <w:proofErr w:type="spellStart"/>
      <w:r>
        <w:rPr>
          <w:rFonts w:cs="Arial"/>
        </w:rPr>
        <w:t>Peisah</w:t>
      </w:r>
      <w:proofErr w:type="spellEnd"/>
      <w:r>
        <w:rPr>
          <w:rFonts w:cs="Arial"/>
        </w:rPr>
        <w:t xml:space="preserve">, </w:t>
      </w:r>
      <w:r>
        <w:rPr>
          <w:rFonts w:cs="Arial"/>
          <w:i/>
        </w:rPr>
        <w:t>Capacity and the Law</w:t>
      </w:r>
      <w:r>
        <w:rPr>
          <w:rFonts w:cs="Arial"/>
        </w:rPr>
        <w:t xml:space="preserve"> (</w:t>
      </w:r>
      <w:r>
        <w:t>Sydney University Press, 2011) [</w:t>
      </w:r>
      <w:r>
        <w:rPr>
          <w:rFonts w:cs="Arial"/>
        </w:rPr>
        <w:t>5.4.3].</w:t>
      </w:r>
    </w:p>
  </w:footnote>
  <w:footnote w:id="3">
    <w:p w:rsidR="001F1C08" w:rsidRPr="0003114A" w:rsidRDefault="001F1C08" w:rsidP="004E082A">
      <w:pPr>
        <w:pStyle w:val="FootnoteText"/>
        <w:rPr>
          <w:rFonts w:cs="Arial"/>
        </w:rPr>
      </w:pPr>
      <w:r w:rsidRPr="0003114A">
        <w:rPr>
          <w:rStyle w:val="FootnoteReference"/>
          <w:rFonts w:cs="Arial"/>
          <w:vertAlign w:val="baseline"/>
        </w:rPr>
        <w:footnoteRef/>
      </w:r>
      <w:r>
        <w:rPr>
          <w:rFonts w:cs="Arial"/>
        </w:rPr>
        <w:t>.</w:t>
      </w:r>
      <w:r>
        <w:rPr>
          <w:rFonts w:cs="Arial"/>
        </w:rPr>
        <w:tab/>
      </w:r>
      <w:proofErr w:type="gramStart"/>
      <w:r>
        <w:rPr>
          <w:rFonts w:cs="Arial"/>
        </w:rPr>
        <w:t xml:space="preserve">N O’Neill and C </w:t>
      </w:r>
      <w:proofErr w:type="spellStart"/>
      <w:r>
        <w:rPr>
          <w:rFonts w:cs="Arial"/>
        </w:rPr>
        <w:t>Peisah</w:t>
      </w:r>
      <w:proofErr w:type="spellEnd"/>
      <w:r>
        <w:rPr>
          <w:rFonts w:cs="Arial"/>
        </w:rPr>
        <w:t xml:space="preserve">, </w:t>
      </w:r>
      <w:r>
        <w:rPr>
          <w:rFonts w:cs="Arial"/>
          <w:i/>
        </w:rPr>
        <w:t>Capacity and the Law</w:t>
      </w:r>
      <w:r>
        <w:rPr>
          <w:rFonts w:cs="Arial"/>
        </w:rPr>
        <w:t xml:space="preserve"> (</w:t>
      </w:r>
      <w:r>
        <w:t>Sydney University Press, 2011) [</w:t>
      </w:r>
      <w:r>
        <w:rPr>
          <w:rFonts w:cs="Arial"/>
        </w:rPr>
        <w:t>5.4.1].</w:t>
      </w:r>
      <w:proofErr w:type="gramEnd"/>
    </w:p>
  </w:footnote>
  <w:footnote w:id="4">
    <w:p w:rsidR="001F1C08" w:rsidRPr="00F6708B" w:rsidRDefault="001F1C08" w:rsidP="004E082A">
      <w:pPr>
        <w:pStyle w:val="FootnoteText"/>
        <w:rPr>
          <w:rFonts w:cs="Arial"/>
        </w:rPr>
      </w:pPr>
      <w:r w:rsidRPr="00F6708B">
        <w:rPr>
          <w:rStyle w:val="FootnoteReference"/>
          <w:rFonts w:cs="Arial"/>
          <w:vertAlign w:val="baseline"/>
        </w:rPr>
        <w:footnoteRef/>
      </w:r>
      <w:r>
        <w:rPr>
          <w:rFonts w:cs="Arial"/>
        </w:rPr>
        <w:t>.</w:t>
      </w:r>
      <w:r>
        <w:rPr>
          <w:rFonts w:cs="Arial"/>
        </w:rPr>
        <w:tab/>
      </w:r>
      <w:r>
        <w:t xml:space="preserve">T Carney and D Tait, </w:t>
      </w:r>
      <w:proofErr w:type="gramStart"/>
      <w:r>
        <w:rPr>
          <w:i/>
        </w:rPr>
        <w:t>The</w:t>
      </w:r>
      <w:proofErr w:type="gramEnd"/>
      <w:r>
        <w:rPr>
          <w:i/>
        </w:rPr>
        <w:t xml:space="preserve"> Adult G</w:t>
      </w:r>
      <w:r w:rsidRPr="00037533">
        <w:rPr>
          <w:i/>
        </w:rPr>
        <w:t>ua</w:t>
      </w:r>
      <w:r>
        <w:rPr>
          <w:i/>
        </w:rPr>
        <w:t>rdianship E</w:t>
      </w:r>
      <w:r w:rsidRPr="00037533">
        <w:rPr>
          <w:i/>
        </w:rPr>
        <w:t>xperiment</w:t>
      </w:r>
      <w:r>
        <w:rPr>
          <w:i/>
        </w:rPr>
        <w:t>: Tribunals and Popular J</w:t>
      </w:r>
      <w:r w:rsidRPr="00037533">
        <w:rPr>
          <w:i/>
        </w:rPr>
        <w:t>ustice</w:t>
      </w:r>
      <w:r>
        <w:t xml:space="preserve"> (Federation Press, 1997) 21.</w:t>
      </w:r>
    </w:p>
  </w:footnote>
  <w:footnote w:id="5">
    <w:p w:rsidR="001F1C08" w:rsidRPr="008449CC" w:rsidRDefault="001F1C08" w:rsidP="004E082A">
      <w:pPr>
        <w:pStyle w:val="FootnoteText"/>
        <w:rPr>
          <w:rFonts w:cs="Arial"/>
        </w:rPr>
      </w:pPr>
      <w:r w:rsidRPr="008449CC">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w:t>
      </w:r>
      <w:proofErr w:type="gramStart"/>
      <w:r>
        <w:rPr>
          <w:rFonts w:cs="Arial"/>
        </w:rPr>
        <w:t>6E(</w:t>
      </w:r>
      <w:proofErr w:type="gramEnd"/>
      <w:r>
        <w:rPr>
          <w:rFonts w:cs="Arial"/>
        </w:rPr>
        <w:t>1).</w:t>
      </w:r>
    </w:p>
  </w:footnote>
  <w:footnote w:id="6">
    <w:p w:rsidR="001F1C08" w:rsidRPr="00037533" w:rsidRDefault="001F1C08" w:rsidP="004E082A">
      <w:pPr>
        <w:pStyle w:val="FootnoteText"/>
        <w:rPr>
          <w:rFonts w:cs="Arial"/>
        </w:rPr>
      </w:pPr>
      <w:r w:rsidRPr="001C53DE">
        <w:rPr>
          <w:rStyle w:val="FootnoteReference"/>
          <w:rFonts w:cs="Arial"/>
          <w:vertAlign w:val="baseline"/>
        </w:rPr>
        <w:footnoteRef/>
      </w:r>
      <w:r>
        <w:rPr>
          <w:rFonts w:cs="Arial"/>
        </w:rPr>
        <w:t>.</w:t>
      </w:r>
      <w:r>
        <w:rPr>
          <w:rFonts w:cs="Arial"/>
        </w:rPr>
        <w:tab/>
        <w:t xml:space="preserve">See </w:t>
      </w:r>
      <w:r>
        <w:rPr>
          <w:rFonts w:cs="Arial"/>
          <w:i/>
        </w:rPr>
        <w:t xml:space="preserve">Powers of Attorney Act 2003 </w:t>
      </w:r>
      <w:r w:rsidRPr="002D42CB">
        <w:rPr>
          <w:rFonts w:cs="Arial"/>
        </w:rPr>
        <w:t>(NSW)</w:t>
      </w:r>
      <w:r>
        <w:rPr>
          <w:rFonts w:cs="Arial"/>
          <w:i/>
        </w:rPr>
        <w:t xml:space="preserve"> </w:t>
      </w:r>
      <w:r>
        <w:rPr>
          <w:rFonts w:cs="Arial"/>
        </w:rPr>
        <w:t xml:space="preserve">and </w:t>
      </w:r>
      <w:r w:rsidRPr="001C53DE">
        <w:rPr>
          <w:rFonts w:cs="Arial"/>
          <w:i/>
        </w:rPr>
        <w:t>Powers of Attorney Regulation 2011</w:t>
      </w:r>
      <w:r>
        <w:rPr>
          <w:rFonts w:cs="Arial"/>
          <w:i/>
        </w:rPr>
        <w:t xml:space="preserve"> </w:t>
      </w:r>
      <w:r>
        <w:rPr>
          <w:rFonts w:cs="Arial"/>
        </w:rPr>
        <w:t>(NSW).</w:t>
      </w:r>
    </w:p>
  </w:footnote>
  <w:footnote w:id="7">
    <w:p w:rsidR="001F1C08" w:rsidRPr="00C87D55" w:rsidRDefault="001F1C08" w:rsidP="004E082A">
      <w:pPr>
        <w:pStyle w:val="FootnoteText"/>
        <w:rPr>
          <w:rFonts w:cs="Arial"/>
        </w:rPr>
      </w:pPr>
      <w:r w:rsidRPr="00C87D55">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6HB.</w:t>
      </w:r>
      <w:proofErr w:type="gramEnd"/>
    </w:p>
  </w:footnote>
  <w:footnote w:id="8">
    <w:p w:rsidR="001F1C08" w:rsidRPr="00A225F7" w:rsidRDefault="001F1C08" w:rsidP="004E082A">
      <w:pPr>
        <w:pStyle w:val="FootnoteText"/>
        <w:rPr>
          <w:rFonts w:cs="Arial"/>
        </w:rPr>
      </w:pPr>
      <w:r w:rsidRPr="00A225F7">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6J, s 6K.</w:t>
      </w:r>
      <w:proofErr w:type="gramEnd"/>
    </w:p>
  </w:footnote>
  <w:footnote w:id="9">
    <w:p w:rsidR="001F1C08" w:rsidRPr="004556CB" w:rsidRDefault="001F1C08" w:rsidP="004E082A">
      <w:pPr>
        <w:pStyle w:val="FootnoteText"/>
        <w:rPr>
          <w:rFonts w:cs="Arial"/>
        </w:rPr>
      </w:pPr>
      <w:r w:rsidRPr="004556CB">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14(1), s 9(2).</w:t>
      </w:r>
      <w:proofErr w:type="gramEnd"/>
    </w:p>
  </w:footnote>
  <w:footnote w:id="10">
    <w:p w:rsidR="001F1C08" w:rsidRPr="002D21B5" w:rsidRDefault="001F1C08" w:rsidP="004E082A">
      <w:pPr>
        <w:pStyle w:val="FootnoteText"/>
        <w:rPr>
          <w:rFonts w:cs="Arial"/>
        </w:rPr>
      </w:pPr>
      <w:r w:rsidRPr="002D21B5">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9(1</w:t>
      </w:r>
      <w:proofErr w:type="gramStart"/>
      <w:r>
        <w:rPr>
          <w:rFonts w:cs="Arial"/>
        </w:rPr>
        <w:t>)(</w:t>
      </w:r>
      <w:proofErr w:type="gramEnd"/>
      <w:r>
        <w:rPr>
          <w:rFonts w:cs="Arial"/>
        </w:rPr>
        <w:t>a), s 9(1)(c), s 9(1)(d).</w:t>
      </w:r>
    </w:p>
  </w:footnote>
  <w:footnote w:id="11">
    <w:p w:rsidR="001F1C08" w:rsidRPr="003B3D8E" w:rsidRDefault="001F1C08" w:rsidP="004E082A">
      <w:pPr>
        <w:pStyle w:val="FootnoteText"/>
        <w:rPr>
          <w:rFonts w:cs="Arial"/>
        </w:rPr>
      </w:pPr>
      <w:r w:rsidRPr="003B3D8E">
        <w:rPr>
          <w:rStyle w:val="FootnoteReference"/>
          <w:rFonts w:cs="Arial"/>
          <w:vertAlign w:val="baseline"/>
        </w:rPr>
        <w:footnoteRef/>
      </w:r>
      <w:r>
        <w:rPr>
          <w:rFonts w:cs="Arial"/>
        </w:rPr>
        <w:t>.</w:t>
      </w:r>
      <w:r>
        <w:rPr>
          <w:rFonts w:cs="Arial"/>
        </w:rPr>
        <w:tab/>
      </w:r>
      <w:proofErr w:type="gramStart"/>
      <w:r>
        <w:rPr>
          <w:rFonts w:cs="Arial"/>
        </w:rPr>
        <w:t>N O’Neill and C </w:t>
      </w:r>
      <w:proofErr w:type="spellStart"/>
      <w:r>
        <w:rPr>
          <w:rFonts w:cs="Arial"/>
        </w:rPr>
        <w:t>Peisah</w:t>
      </w:r>
      <w:proofErr w:type="spellEnd"/>
      <w:r>
        <w:rPr>
          <w:rFonts w:cs="Arial"/>
        </w:rPr>
        <w:t xml:space="preserve">, </w:t>
      </w:r>
      <w:r>
        <w:rPr>
          <w:rFonts w:cs="Arial"/>
          <w:i/>
        </w:rPr>
        <w:t>Capacity and the Law</w:t>
      </w:r>
      <w:r>
        <w:rPr>
          <w:rFonts w:cs="Arial"/>
        </w:rPr>
        <w:t xml:space="preserve"> (</w:t>
      </w:r>
      <w:r>
        <w:t>Sydney University Press, 2011) [</w:t>
      </w:r>
      <w:r>
        <w:rPr>
          <w:rFonts w:cs="Arial"/>
        </w:rPr>
        <w:t>6.3.3].</w:t>
      </w:r>
      <w:proofErr w:type="gramEnd"/>
    </w:p>
  </w:footnote>
  <w:footnote w:id="12">
    <w:p w:rsidR="001F1C08" w:rsidRPr="00534359" w:rsidRDefault="001F1C08" w:rsidP="004E082A">
      <w:pPr>
        <w:pStyle w:val="FootnoteText"/>
        <w:rPr>
          <w:rFonts w:cs="Arial"/>
        </w:rPr>
      </w:pPr>
      <w:r w:rsidRPr="00534359">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14(1), s 3(2).</w:t>
      </w:r>
      <w:proofErr w:type="gramEnd"/>
    </w:p>
  </w:footnote>
  <w:footnote w:id="13">
    <w:p w:rsidR="001F1C08" w:rsidRPr="003D5C40" w:rsidRDefault="001F1C08" w:rsidP="004E082A">
      <w:pPr>
        <w:pStyle w:val="FootnoteText"/>
        <w:rPr>
          <w:rFonts w:cs="Arial"/>
        </w:rPr>
      </w:pPr>
      <w:r w:rsidRPr="003D5C40">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3(2).</w:t>
      </w:r>
      <w:proofErr w:type="gramEnd"/>
    </w:p>
  </w:footnote>
  <w:footnote w:id="14">
    <w:p w:rsidR="001F1C08" w:rsidRPr="00F842CF" w:rsidRDefault="001F1C08" w:rsidP="004E082A">
      <w:pPr>
        <w:pStyle w:val="FootnoteText"/>
        <w:rPr>
          <w:rFonts w:cs="Arial"/>
        </w:rPr>
      </w:pPr>
      <w:r w:rsidRPr="00F842CF">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14(2).</w:t>
      </w:r>
      <w:proofErr w:type="gramEnd"/>
    </w:p>
  </w:footnote>
  <w:footnote w:id="15">
    <w:p w:rsidR="001F1C08" w:rsidRPr="00A20CB8" w:rsidRDefault="001F1C08" w:rsidP="004E082A">
      <w:pPr>
        <w:pStyle w:val="FootnoteText"/>
        <w:rPr>
          <w:rFonts w:cs="Arial"/>
        </w:rPr>
      </w:pPr>
      <w:r w:rsidRPr="00A20CB8">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15(3).</w:t>
      </w:r>
      <w:proofErr w:type="gramEnd"/>
    </w:p>
  </w:footnote>
  <w:footnote w:id="16">
    <w:p w:rsidR="001F1C08" w:rsidRPr="00BB1774" w:rsidRDefault="001F1C08" w:rsidP="004E082A">
      <w:pPr>
        <w:pStyle w:val="FootnoteText"/>
        <w:rPr>
          <w:rFonts w:cs="Arial"/>
        </w:rPr>
      </w:pPr>
      <w:r w:rsidRPr="00BB1774">
        <w:rPr>
          <w:rStyle w:val="FootnoteReference"/>
          <w:rFonts w:cs="Arial"/>
          <w:vertAlign w:val="baseline"/>
        </w:rPr>
        <w:footnoteRef/>
      </w:r>
      <w:r>
        <w:rPr>
          <w:rFonts w:cs="Arial"/>
        </w:rPr>
        <w:t>.</w:t>
      </w:r>
      <w:r>
        <w:rPr>
          <w:rFonts w:cs="Arial"/>
        </w:rPr>
        <w:tab/>
      </w:r>
      <w:proofErr w:type="gramStart"/>
      <w:r>
        <w:rPr>
          <w:rFonts w:cs="Arial"/>
        </w:rPr>
        <w:t xml:space="preserve">NSW, Guardianship Tribunal, </w:t>
      </w:r>
      <w:r w:rsidRPr="00C37A0C">
        <w:rPr>
          <w:rFonts w:cs="Arial"/>
          <w:i/>
        </w:rPr>
        <w:t>Annual Report 2012-2013</w:t>
      </w:r>
      <w:r>
        <w:rPr>
          <w:rFonts w:cs="Arial"/>
        </w:rPr>
        <w:t xml:space="preserve"> (2013) 39.</w:t>
      </w:r>
      <w:proofErr w:type="gramEnd"/>
    </w:p>
  </w:footnote>
  <w:footnote w:id="17">
    <w:p w:rsidR="001F1C08" w:rsidRPr="00C821AA" w:rsidRDefault="001F1C08" w:rsidP="004E082A">
      <w:pPr>
        <w:pStyle w:val="FootnoteText"/>
        <w:rPr>
          <w:rFonts w:cs="Arial"/>
        </w:rPr>
      </w:pPr>
      <w:r w:rsidRPr="00C821AA">
        <w:rPr>
          <w:rStyle w:val="FootnoteReference"/>
          <w:rFonts w:cs="Arial"/>
          <w:vertAlign w:val="baseline"/>
        </w:rPr>
        <w:footnoteRef/>
      </w:r>
      <w:r>
        <w:rPr>
          <w:rFonts w:cs="Arial"/>
        </w:rPr>
        <w:t>.</w:t>
      </w:r>
      <w:r>
        <w:rPr>
          <w:rFonts w:cs="Arial"/>
        </w:rPr>
        <w:tab/>
      </w:r>
      <w:proofErr w:type="gramStart"/>
      <w:r>
        <w:rPr>
          <w:rFonts w:cs="Arial"/>
        </w:rPr>
        <w:t>N O’Neill and C </w:t>
      </w:r>
      <w:proofErr w:type="spellStart"/>
      <w:r>
        <w:rPr>
          <w:rFonts w:cs="Arial"/>
        </w:rPr>
        <w:t>Peisah</w:t>
      </w:r>
      <w:proofErr w:type="spellEnd"/>
      <w:r>
        <w:rPr>
          <w:rFonts w:cs="Arial"/>
        </w:rPr>
        <w:t xml:space="preserve">, </w:t>
      </w:r>
      <w:r>
        <w:rPr>
          <w:rFonts w:cs="Arial"/>
          <w:i/>
        </w:rPr>
        <w:t>Capacity and the Law</w:t>
      </w:r>
      <w:r>
        <w:rPr>
          <w:rFonts w:cs="Arial"/>
        </w:rPr>
        <w:t xml:space="preserve"> (</w:t>
      </w:r>
      <w:r>
        <w:t>Sydney University Press, 2011) [</w:t>
      </w:r>
      <w:r>
        <w:rPr>
          <w:rFonts w:cs="Arial"/>
        </w:rPr>
        <w:t>6.3.6].</w:t>
      </w:r>
      <w:proofErr w:type="gramEnd"/>
    </w:p>
  </w:footnote>
  <w:footnote w:id="18">
    <w:p w:rsidR="001F1C08" w:rsidRPr="003100EF" w:rsidRDefault="001F1C08" w:rsidP="004E082A">
      <w:pPr>
        <w:pStyle w:val="FootnoteText"/>
        <w:rPr>
          <w:rFonts w:cs="Arial"/>
        </w:rPr>
      </w:pPr>
      <w:r w:rsidRPr="003100EF">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16(1</w:t>
      </w:r>
      <w:proofErr w:type="gramStart"/>
      <w:r>
        <w:rPr>
          <w:rFonts w:cs="Arial"/>
        </w:rPr>
        <w:t>)(</w:t>
      </w:r>
      <w:proofErr w:type="gramEnd"/>
      <w:r>
        <w:rPr>
          <w:rFonts w:cs="Arial"/>
        </w:rPr>
        <w:t>c).</w:t>
      </w:r>
    </w:p>
  </w:footnote>
  <w:footnote w:id="19">
    <w:p w:rsidR="001F1C08" w:rsidRPr="003100EF" w:rsidRDefault="001F1C08" w:rsidP="004E082A">
      <w:pPr>
        <w:pStyle w:val="FootnoteText"/>
        <w:rPr>
          <w:rFonts w:cs="Arial"/>
        </w:rPr>
      </w:pPr>
      <w:r w:rsidRPr="003100EF">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21(1)-(2).</w:t>
      </w:r>
    </w:p>
  </w:footnote>
  <w:footnote w:id="20">
    <w:p w:rsidR="001F1C08" w:rsidRPr="00FB18B2" w:rsidRDefault="001F1C08" w:rsidP="004E082A">
      <w:pPr>
        <w:pStyle w:val="FootnoteText"/>
        <w:rPr>
          <w:rFonts w:cs="Arial"/>
        </w:rPr>
      </w:pPr>
      <w:r w:rsidRPr="00FB18B2">
        <w:rPr>
          <w:rStyle w:val="FootnoteReference"/>
          <w:rFonts w:cs="Arial"/>
          <w:vertAlign w:val="baseline"/>
        </w:rPr>
        <w:footnoteRef/>
      </w:r>
      <w:r>
        <w:rPr>
          <w:rFonts w:cs="Arial"/>
        </w:rPr>
        <w:t>.</w:t>
      </w:r>
      <w:r>
        <w:rPr>
          <w:rFonts w:cs="Arial"/>
        </w:rPr>
        <w:tab/>
        <w:t xml:space="preserve">NSW Civil and Administrative Tribunal Guardianship Division, </w:t>
      </w:r>
      <w:r w:rsidRPr="00843DB4">
        <w:rPr>
          <w:rFonts w:cs="Arial"/>
          <w:i/>
        </w:rPr>
        <w:t>Restrictive Practices and Guardianship</w:t>
      </w:r>
      <w:r>
        <w:rPr>
          <w:rFonts w:cs="Arial"/>
          <w:i/>
        </w:rPr>
        <w:t>,</w:t>
      </w:r>
      <w:r w:rsidRPr="00843DB4">
        <w:rPr>
          <w:rFonts w:cs="Arial"/>
          <w:i/>
        </w:rPr>
        <w:t xml:space="preserve"> </w:t>
      </w:r>
      <w:r w:rsidRPr="00EE651B">
        <w:rPr>
          <w:rFonts w:cs="Arial"/>
        </w:rPr>
        <w:t>Fact Sheet</w:t>
      </w:r>
      <w:r>
        <w:rPr>
          <w:rFonts w:cs="Arial"/>
        </w:rPr>
        <w:t> 3.</w:t>
      </w:r>
    </w:p>
  </w:footnote>
  <w:footnote w:id="21">
    <w:p w:rsidR="001F1C08" w:rsidRPr="00580307" w:rsidRDefault="001F1C08" w:rsidP="004E082A">
      <w:pPr>
        <w:pStyle w:val="FootnoteText"/>
        <w:rPr>
          <w:rFonts w:cs="Arial"/>
        </w:rPr>
      </w:pPr>
      <w:r w:rsidRPr="00580307">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4(d).</w:t>
      </w:r>
      <w:proofErr w:type="gramEnd"/>
    </w:p>
  </w:footnote>
  <w:footnote w:id="22">
    <w:p w:rsidR="001F1C08" w:rsidRPr="00377482" w:rsidRDefault="001F1C08" w:rsidP="004E082A">
      <w:pPr>
        <w:pStyle w:val="FootnoteText"/>
        <w:rPr>
          <w:rFonts w:cs="Arial"/>
        </w:rPr>
      </w:pPr>
      <w:r w:rsidRPr="00377482">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w:t>
      </w:r>
      <w:r>
        <w:rPr>
          <w:shd w:val="clear" w:color="auto" w:fill="FFFFFF"/>
        </w:rPr>
        <w:t>s 3C.</w:t>
      </w:r>
      <w:proofErr w:type="gramEnd"/>
    </w:p>
  </w:footnote>
  <w:footnote w:id="23">
    <w:p w:rsidR="001F1C08" w:rsidRPr="004F3005" w:rsidRDefault="001F1C08" w:rsidP="004E082A">
      <w:pPr>
        <w:pStyle w:val="FootnoteText"/>
        <w:rPr>
          <w:rFonts w:cs="Arial"/>
        </w:rPr>
      </w:pPr>
      <w:r w:rsidRPr="004F3005">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w:t>
      </w:r>
      <w:proofErr w:type="gramStart"/>
      <w:r>
        <w:rPr>
          <w:rFonts w:cs="Arial"/>
        </w:rPr>
        <w:t>25I(</w:t>
      </w:r>
      <w:proofErr w:type="gramEnd"/>
      <w:r>
        <w:rPr>
          <w:rFonts w:cs="Arial"/>
        </w:rPr>
        <w:t>1).</w:t>
      </w:r>
    </w:p>
  </w:footnote>
  <w:footnote w:id="24">
    <w:p w:rsidR="001F1C08" w:rsidRPr="004F3005" w:rsidRDefault="001F1C08" w:rsidP="004E082A">
      <w:pPr>
        <w:pStyle w:val="FootnoteText"/>
        <w:rPr>
          <w:rFonts w:cs="Arial"/>
        </w:rPr>
      </w:pPr>
      <w:r w:rsidRPr="004F3005">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25G.</w:t>
      </w:r>
      <w:proofErr w:type="gramEnd"/>
    </w:p>
  </w:footnote>
  <w:footnote w:id="25">
    <w:p w:rsidR="001F1C08" w:rsidRPr="003D681B" w:rsidRDefault="001F1C08" w:rsidP="004E082A">
      <w:pPr>
        <w:pStyle w:val="FootnoteText"/>
        <w:rPr>
          <w:rFonts w:cs="Arial"/>
        </w:rPr>
      </w:pPr>
      <w:r w:rsidRPr="003D681B">
        <w:rPr>
          <w:rStyle w:val="FootnoteReference"/>
          <w:rFonts w:cs="Arial"/>
          <w:vertAlign w:val="baseline"/>
        </w:rPr>
        <w:footnoteRef/>
      </w:r>
      <w:r>
        <w:rPr>
          <w:rFonts w:cs="Arial"/>
        </w:rPr>
        <w:t>.</w:t>
      </w:r>
      <w:r>
        <w:rPr>
          <w:rFonts w:cs="Arial"/>
        </w:rPr>
        <w:tab/>
      </w:r>
      <w:proofErr w:type="gramStart"/>
      <w:r w:rsidRPr="003D681B">
        <w:rPr>
          <w:rFonts w:cs="Arial"/>
          <w:i/>
        </w:rPr>
        <w:t>NSW Trustee and Guardian Act 2009</w:t>
      </w:r>
      <w:r>
        <w:rPr>
          <w:rFonts w:cs="Arial"/>
        </w:rPr>
        <w:t xml:space="preserve"> (NSW) s 64.</w:t>
      </w:r>
      <w:proofErr w:type="gramEnd"/>
    </w:p>
  </w:footnote>
  <w:footnote w:id="26">
    <w:p w:rsidR="001F1C08" w:rsidRPr="00320B78" w:rsidRDefault="001F1C08" w:rsidP="004E082A">
      <w:pPr>
        <w:pStyle w:val="FootnoteText"/>
        <w:rPr>
          <w:rFonts w:cs="Arial"/>
        </w:rPr>
      </w:pPr>
      <w:r w:rsidRPr="00320B78">
        <w:rPr>
          <w:rStyle w:val="FootnoteReference"/>
          <w:rFonts w:cs="Arial"/>
          <w:vertAlign w:val="baseline"/>
        </w:rPr>
        <w:footnoteRef/>
      </w:r>
      <w:r>
        <w:rPr>
          <w:rFonts w:cs="Arial"/>
        </w:rPr>
        <w:t>.</w:t>
      </w:r>
      <w:r>
        <w:rPr>
          <w:rFonts w:cs="Arial"/>
        </w:rPr>
        <w:tab/>
      </w:r>
      <w:r w:rsidRPr="003164F6">
        <w:rPr>
          <w:rFonts w:cs="Arial"/>
          <w:i/>
        </w:rPr>
        <w:t>Courts and Crimes Legislation further Amendment Act 2008</w:t>
      </w:r>
      <w:r>
        <w:rPr>
          <w:rFonts w:cs="Arial"/>
        </w:rPr>
        <w:t xml:space="preserve"> (NSW) sch 16. </w:t>
      </w:r>
      <w:proofErr w:type="gramStart"/>
      <w:r w:rsidRPr="007B69CD">
        <w:rPr>
          <w:rFonts w:cs="Arial"/>
        </w:rPr>
        <w:t>Commenced 21 June 2010.</w:t>
      </w:r>
      <w:proofErr w:type="gramEnd"/>
    </w:p>
  </w:footnote>
  <w:footnote w:id="27">
    <w:p w:rsidR="001F1C08" w:rsidRPr="00CA74D4" w:rsidRDefault="001F1C08" w:rsidP="004E082A">
      <w:pPr>
        <w:pStyle w:val="FootnoteText"/>
        <w:rPr>
          <w:rFonts w:cs="Arial"/>
        </w:rPr>
      </w:pPr>
      <w:r w:rsidRPr="00CA74D4">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25E.</w:t>
      </w:r>
      <w:proofErr w:type="gramEnd"/>
    </w:p>
  </w:footnote>
  <w:footnote w:id="28">
    <w:p w:rsidR="001F1C08" w:rsidRPr="00215A25" w:rsidRDefault="001F1C08" w:rsidP="004E082A">
      <w:pPr>
        <w:pStyle w:val="FootnoteText"/>
        <w:rPr>
          <w:rFonts w:cs="Arial"/>
        </w:rPr>
      </w:pPr>
      <w:r w:rsidRPr="00215A25">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25M.</w:t>
      </w:r>
      <w:proofErr w:type="gramEnd"/>
    </w:p>
  </w:footnote>
  <w:footnote w:id="29">
    <w:p w:rsidR="001F1C08" w:rsidRPr="00154005" w:rsidRDefault="001F1C08" w:rsidP="004E082A">
      <w:pPr>
        <w:pStyle w:val="FootnoteText"/>
        <w:rPr>
          <w:rFonts w:cs="Arial"/>
        </w:rPr>
      </w:pPr>
      <w:r w:rsidRPr="00154005">
        <w:rPr>
          <w:rStyle w:val="FootnoteReference"/>
          <w:rFonts w:cs="Arial"/>
          <w:vertAlign w:val="baseline"/>
        </w:rPr>
        <w:footnoteRef/>
      </w:r>
      <w:r>
        <w:rPr>
          <w:rFonts w:cs="Arial"/>
        </w:rPr>
        <w:t>.</w:t>
      </w:r>
      <w:r>
        <w:rPr>
          <w:rFonts w:cs="Arial"/>
        </w:rPr>
        <w:tab/>
      </w:r>
      <w:proofErr w:type="gramStart"/>
      <w:r w:rsidRPr="003D681B">
        <w:rPr>
          <w:rFonts w:cs="Arial"/>
          <w:i/>
        </w:rPr>
        <w:t>NSW Trustee and Guardian Act 2009</w:t>
      </w:r>
      <w:r>
        <w:rPr>
          <w:rFonts w:cs="Arial"/>
        </w:rPr>
        <w:t xml:space="preserve"> (NSW) s 59.</w:t>
      </w:r>
      <w:proofErr w:type="gramEnd"/>
    </w:p>
  </w:footnote>
  <w:footnote w:id="30">
    <w:p w:rsidR="001F1C08" w:rsidRPr="00877242" w:rsidRDefault="001F1C08" w:rsidP="004E082A">
      <w:pPr>
        <w:pStyle w:val="FootnoteText"/>
        <w:rPr>
          <w:rFonts w:cs="Arial"/>
        </w:rPr>
      </w:pPr>
      <w:r w:rsidRPr="003D1B0E">
        <w:rPr>
          <w:rStyle w:val="FootnoteReference"/>
          <w:rFonts w:cs="Arial"/>
          <w:vertAlign w:val="baseline"/>
        </w:rPr>
        <w:footnoteRef/>
      </w:r>
      <w:r>
        <w:rPr>
          <w:rFonts w:cs="Arial"/>
        </w:rPr>
        <w:t>.</w:t>
      </w:r>
      <w:r>
        <w:rPr>
          <w:rFonts w:cs="Arial"/>
        </w:rPr>
        <w:tab/>
        <w:t xml:space="preserve">NSW Trustee and Guardian, </w:t>
      </w:r>
      <w:r>
        <w:rPr>
          <w:rFonts w:cs="Arial"/>
          <w:i/>
        </w:rPr>
        <w:t>Private Managers Handbook</w:t>
      </w:r>
      <w:r>
        <w:rPr>
          <w:rFonts w:cs="Arial"/>
        </w:rPr>
        <w:t>, 2010</w:t>
      </w:r>
    </w:p>
  </w:footnote>
  <w:footnote w:id="31">
    <w:p w:rsidR="001F1C08" w:rsidRPr="00E14474" w:rsidRDefault="001F1C08" w:rsidP="004E082A">
      <w:pPr>
        <w:pStyle w:val="FootnoteText"/>
        <w:rPr>
          <w:rFonts w:cs="Arial"/>
        </w:rPr>
      </w:pPr>
      <w:r w:rsidRPr="00E14474">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25N, s 25M.</w:t>
      </w:r>
      <w:proofErr w:type="gramEnd"/>
    </w:p>
  </w:footnote>
  <w:footnote w:id="32">
    <w:p w:rsidR="001F1C08" w:rsidRPr="007B6AF4" w:rsidRDefault="001F1C08" w:rsidP="004E082A">
      <w:pPr>
        <w:pStyle w:val="FootnoteText"/>
        <w:rPr>
          <w:rFonts w:cs="Arial"/>
        </w:rPr>
      </w:pPr>
      <w:r w:rsidRPr="007B6AF4">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w:t>
      </w:r>
      <w:proofErr w:type="gramStart"/>
      <w:r>
        <w:rPr>
          <w:rFonts w:cs="Arial"/>
        </w:rPr>
        <w:t>25N(</w:t>
      </w:r>
      <w:proofErr w:type="gramEnd"/>
      <w:r>
        <w:rPr>
          <w:rFonts w:cs="Arial"/>
        </w:rPr>
        <w:t>4), s 25R.</w:t>
      </w:r>
    </w:p>
  </w:footnote>
  <w:footnote w:id="33">
    <w:p w:rsidR="001F1C08" w:rsidRPr="00D31E51" w:rsidRDefault="001F1C08" w:rsidP="004E082A">
      <w:pPr>
        <w:pStyle w:val="FootnoteText"/>
        <w:rPr>
          <w:rFonts w:cs="Arial"/>
        </w:rPr>
      </w:pPr>
      <w:r w:rsidRPr="00D31E51">
        <w:rPr>
          <w:rStyle w:val="FootnoteReference"/>
          <w:rFonts w:cs="Arial"/>
          <w:vertAlign w:val="baseline"/>
        </w:rPr>
        <w:footnoteRef/>
      </w:r>
      <w:r>
        <w:rPr>
          <w:rFonts w:cs="Arial"/>
        </w:rPr>
        <w:t>.</w:t>
      </w:r>
      <w:r>
        <w:rPr>
          <w:rFonts w:cs="Arial"/>
        </w:rPr>
        <w:tab/>
      </w:r>
      <w:proofErr w:type="gramStart"/>
      <w:r w:rsidRPr="00180DE6">
        <w:rPr>
          <w:rFonts w:cs="Arial"/>
          <w:i/>
        </w:rPr>
        <w:t>NSW Trustee and Guardianship Act 2009</w:t>
      </w:r>
      <w:r>
        <w:rPr>
          <w:rFonts w:cs="Arial"/>
        </w:rPr>
        <w:t xml:space="preserve"> (NSW) s 86.</w:t>
      </w:r>
      <w:proofErr w:type="gramEnd"/>
    </w:p>
  </w:footnote>
  <w:footnote w:id="34">
    <w:p w:rsidR="001F1C08" w:rsidRPr="006D44E9" w:rsidRDefault="001F1C08" w:rsidP="004E082A">
      <w:pPr>
        <w:pStyle w:val="FootnoteText"/>
        <w:rPr>
          <w:rFonts w:cs="Arial"/>
        </w:rPr>
      </w:pPr>
      <w:r w:rsidRPr="006D44E9">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34.</w:t>
      </w:r>
      <w:proofErr w:type="gramEnd"/>
    </w:p>
  </w:footnote>
  <w:footnote w:id="35">
    <w:p w:rsidR="001F1C08" w:rsidRPr="00B877AA" w:rsidRDefault="001F1C08" w:rsidP="004E082A">
      <w:pPr>
        <w:pStyle w:val="FootnoteText"/>
        <w:rPr>
          <w:rFonts w:cs="Arial"/>
        </w:rPr>
      </w:pPr>
      <w:r w:rsidRPr="00B877AA">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35.</w:t>
      </w:r>
      <w:proofErr w:type="gramEnd"/>
    </w:p>
  </w:footnote>
  <w:footnote w:id="36">
    <w:p w:rsidR="001F1C08" w:rsidRPr="00BA108D" w:rsidRDefault="001F1C08" w:rsidP="004E082A">
      <w:pPr>
        <w:pStyle w:val="FootnoteText"/>
        <w:rPr>
          <w:rFonts w:cs="Arial"/>
        </w:rPr>
      </w:pPr>
      <w:r w:rsidRPr="00BA108D">
        <w:rPr>
          <w:rStyle w:val="FootnoteReference"/>
          <w:rFonts w:cs="Arial"/>
          <w:vertAlign w:val="baseline"/>
        </w:rPr>
        <w:footnoteRef/>
      </w:r>
      <w:r>
        <w:rPr>
          <w:rFonts w:cs="Arial"/>
        </w:rPr>
        <w:t>.</w:t>
      </w:r>
      <w:r>
        <w:rPr>
          <w:rFonts w:cs="Arial"/>
        </w:rPr>
        <w:tab/>
      </w:r>
      <w:r w:rsidRPr="008449CC">
        <w:rPr>
          <w:rFonts w:cs="Arial"/>
          <w:i/>
        </w:rPr>
        <w:t>Guardianship Act 1987</w:t>
      </w:r>
      <w:r>
        <w:rPr>
          <w:rFonts w:cs="Arial"/>
        </w:rPr>
        <w:t xml:space="preserve"> (NSW) s </w:t>
      </w:r>
      <w:proofErr w:type="gramStart"/>
      <w:r>
        <w:rPr>
          <w:rFonts w:cs="Arial"/>
        </w:rPr>
        <w:t>33A(</w:t>
      </w:r>
      <w:proofErr w:type="gramEnd"/>
      <w:r>
        <w:rPr>
          <w:rFonts w:cs="Arial"/>
        </w:rPr>
        <w:t>4).</w:t>
      </w:r>
    </w:p>
  </w:footnote>
  <w:footnote w:id="37">
    <w:p w:rsidR="001F1C08" w:rsidRPr="00B877AA" w:rsidRDefault="001F1C08" w:rsidP="004E082A">
      <w:pPr>
        <w:pStyle w:val="FootnoteText"/>
        <w:rPr>
          <w:rFonts w:cs="Arial"/>
        </w:rPr>
      </w:pPr>
      <w:r w:rsidRPr="00B877AA">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36(1).</w:t>
      </w:r>
      <w:proofErr w:type="gramEnd"/>
    </w:p>
  </w:footnote>
  <w:footnote w:id="38">
    <w:p w:rsidR="001F1C08" w:rsidRPr="001429B4" w:rsidRDefault="001F1C08" w:rsidP="004E082A">
      <w:pPr>
        <w:pStyle w:val="FootnoteText"/>
        <w:rPr>
          <w:rFonts w:cs="Arial"/>
        </w:rPr>
      </w:pPr>
      <w:r w:rsidRPr="001429B4">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45.</w:t>
      </w:r>
      <w:proofErr w:type="gramEnd"/>
    </w:p>
  </w:footnote>
  <w:footnote w:id="39">
    <w:p w:rsidR="001F1C08" w:rsidRPr="00BE117F" w:rsidRDefault="001F1C08" w:rsidP="004E082A">
      <w:pPr>
        <w:pStyle w:val="FootnoteText"/>
        <w:rPr>
          <w:rFonts w:cs="Arial"/>
        </w:rPr>
      </w:pPr>
      <w:r w:rsidRPr="00BE117F">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45A.</w:t>
      </w:r>
      <w:proofErr w:type="gramEnd"/>
    </w:p>
  </w:footnote>
  <w:footnote w:id="40">
    <w:p w:rsidR="001F1C08" w:rsidRPr="00725704" w:rsidRDefault="001F1C08" w:rsidP="004E082A">
      <w:pPr>
        <w:pStyle w:val="FootnoteText"/>
        <w:rPr>
          <w:rFonts w:cs="Arial"/>
        </w:rPr>
      </w:pPr>
      <w:r w:rsidRPr="00725704">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45AA.</w:t>
      </w:r>
      <w:proofErr w:type="gramEnd"/>
    </w:p>
  </w:footnote>
  <w:footnote w:id="41">
    <w:p w:rsidR="001F1C08" w:rsidRPr="001D57EB" w:rsidRDefault="001F1C08" w:rsidP="004E082A">
      <w:pPr>
        <w:pStyle w:val="FootnoteText"/>
        <w:rPr>
          <w:rFonts w:cs="Arial"/>
        </w:rPr>
      </w:pPr>
      <w:r w:rsidRPr="001D57EB">
        <w:rPr>
          <w:rStyle w:val="FootnoteReference"/>
          <w:rFonts w:cs="Arial"/>
          <w:vertAlign w:val="baseline"/>
        </w:rPr>
        <w:footnoteRef/>
      </w:r>
      <w:r>
        <w:rPr>
          <w:rFonts w:cs="Arial"/>
        </w:rPr>
        <w:t>.</w:t>
      </w:r>
      <w:r>
        <w:rPr>
          <w:rFonts w:cs="Arial"/>
        </w:rPr>
        <w:tab/>
      </w:r>
      <w:proofErr w:type="gramStart"/>
      <w:r w:rsidRPr="008449CC">
        <w:rPr>
          <w:rFonts w:cs="Arial"/>
          <w:i/>
        </w:rPr>
        <w:t>Guardianship Act 1987</w:t>
      </w:r>
      <w:r>
        <w:rPr>
          <w:rFonts w:cs="Arial"/>
        </w:rPr>
        <w:t xml:space="preserve"> (NSW) s 37.</w:t>
      </w:r>
      <w:proofErr w:type="gramEnd"/>
    </w:p>
  </w:footnote>
  <w:footnote w:id="42">
    <w:p w:rsidR="001F1C08" w:rsidRPr="00AD1816" w:rsidRDefault="001F1C08" w:rsidP="00D63B8A">
      <w:pPr>
        <w:pStyle w:val="FootnoteText"/>
        <w:rPr>
          <w:rFonts w:cs="Arial"/>
        </w:rPr>
      </w:pPr>
      <w:r w:rsidRPr="00AD1816">
        <w:rPr>
          <w:rStyle w:val="FootnoteReference"/>
          <w:rFonts w:cs="Arial"/>
          <w:vertAlign w:val="baseline"/>
        </w:rPr>
        <w:footnoteRef/>
      </w:r>
      <w:r>
        <w:rPr>
          <w:rFonts w:cs="Arial"/>
        </w:rPr>
        <w:t>.</w:t>
      </w:r>
      <w:r>
        <w:rPr>
          <w:rFonts w:cs="Arial"/>
        </w:rPr>
        <w:tab/>
      </w:r>
      <w:proofErr w:type="gramStart"/>
      <w:r>
        <w:t xml:space="preserve">NSW Civil and Administrative Tribunal, </w:t>
      </w:r>
      <w:r w:rsidRPr="00F85190">
        <w:rPr>
          <w:i/>
        </w:rPr>
        <w:t xml:space="preserve">NCAT </w:t>
      </w:r>
      <w:r w:rsidRPr="00B769DB">
        <w:rPr>
          <w:i/>
        </w:rPr>
        <w:t>Annual Report</w:t>
      </w:r>
      <w:r>
        <w:t xml:space="preserve"> </w:t>
      </w:r>
      <w:r w:rsidRPr="00F85190">
        <w:rPr>
          <w:i/>
        </w:rPr>
        <w:t>2014-2015</w:t>
      </w:r>
      <w:r>
        <w:t xml:space="preserve"> (c2015) 41.</w:t>
      </w:r>
      <w:proofErr w:type="gramEnd"/>
      <w:r>
        <w:t xml:space="preserve"> In the same financial </w:t>
      </w:r>
      <w:proofErr w:type="gramStart"/>
      <w:r>
        <w:t>year</w:t>
      </w:r>
      <w:proofErr w:type="gramEnd"/>
      <w:r>
        <w:t xml:space="preserve"> intellectual disability was the disability identified in 16% of cases.</w:t>
      </w:r>
    </w:p>
  </w:footnote>
  <w:footnote w:id="43">
    <w:p w:rsidR="001F1C08" w:rsidRPr="005D0DE3" w:rsidRDefault="001F1C08" w:rsidP="00D63B8A">
      <w:pPr>
        <w:pStyle w:val="FootnoteText"/>
        <w:rPr>
          <w:rFonts w:cs="Arial"/>
        </w:rPr>
      </w:pPr>
      <w:r w:rsidRPr="005D0DE3">
        <w:rPr>
          <w:rStyle w:val="FootnoteReference"/>
          <w:rFonts w:cs="Arial"/>
          <w:vertAlign w:val="baseline"/>
        </w:rPr>
        <w:footnoteRef/>
      </w:r>
      <w:r>
        <w:rPr>
          <w:rFonts w:cs="Arial"/>
        </w:rPr>
        <w:t>.</w:t>
      </w:r>
      <w:r>
        <w:rPr>
          <w:rFonts w:cs="Arial"/>
        </w:rPr>
        <w:tab/>
        <w:t xml:space="preserve">The workload of the Guardianship Division of NCAT has seen the application rate grow by about 23% since 2010-2011. In 2014-15 about 63% of applications were made concerning people 65 years of age or older, and 26% concerning people 85 years of age and older: </w:t>
      </w:r>
      <w:r>
        <w:t xml:space="preserve">NSW Civil and Administrative Tribunal, </w:t>
      </w:r>
      <w:r w:rsidRPr="00A077D9">
        <w:rPr>
          <w:i/>
        </w:rPr>
        <w:t xml:space="preserve">NCAT </w:t>
      </w:r>
      <w:r w:rsidRPr="00B80F02">
        <w:rPr>
          <w:i/>
        </w:rPr>
        <w:t>Annual Report</w:t>
      </w:r>
      <w:r w:rsidRPr="00A077D9">
        <w:rPr>
          <w:i/>
        </w:rPr>
        <w:t xml:space="preserve"> 2014-2015</w:t>
      </w:r>
      <w:r>
        <w:t xml:space="preserve"> (c2015) 40.</w:t>
      </w:r>
    </w:p>
  </w:footnote>
  <w:footnote w:id="44">
    <w:p w:rsidR="001F1C08" w:rsidRPr="00690E9A" w:rsidRDefault="001F1C08" w:rsidP="00D63B8A">
      <w:pPr>
        <w:pStyle w:val="FootnoteText"/>
        <w:rPr>
          <w:rFonts w:cs="Arial"/>
        </w:rPr>
      </w:pPr>
      <w:r w:rsidRPr="00690E9A">
        <w:rPr>
          <w:rStyle w:val="FootnoteReference"/>
          <w:rFonts w:cs="Arial"/>
          <w:vertAlign w:val="baseline"/>
        </w:rPr>
        <w:footnoteRef/>
      </w:r>
      <w:r>
        <w:rPr>
          <w:rFonts w:cs="Arial"/>
        </w:rPr>
        <w:t>.</w:t>
      </w:r>
      <w:r>
        <w:rPr>
          <w:rFonts w:cs="Arial"/>
        </w:rPr>
        <w:tab/>
        <w:t xml:space="preserve">NSW Civil and Administrative Tribunal, </w:t>
      </w:r>
      <w:r w:rsidRPr="00A077D9">
        <w:rPr>
          <w:rFonts w:cs="Arial"/>
          <w:i/>
        </w:rPr>
        <w:t>Consultation PCGA4</w:t>
      </w:r>
      <w:r>
        <w:rPr>
          <w:rFonts w:cs="Arial"/>
        </w:rPr>
        <w:t>.</w:t>
      </w:r>
    </w:p>
  </w:footnote>
  <w:footnote w:id="45">
    <w:p w:rsidR="001F1C08" w:rsidRPr="00D402F0" w:rsidRDefault="001F1C08" w:rsidP="00D63B8A">
      <w:pPr>
        <w:pStyle w:val="FootnoteText"/>
        <w:rPr>
          <w:rFonts w:cs="Arial"/>
        </w:rPr>
      </w:pPr>
      <w:r w:rsidRPr="00D402F0">
        <w:rPr>
          <w:rStyle w:val="FootnoteReference"/>
          <w:rFonts w:cs="Arial"/>
          <w:vertAlign w:val="baseline"/>
        </w:rPr>
        <w:footnoteRef/>
      </w:r>
      <w:r>
        <w:rPr>
          <w:rFonts w:cs="Arial"/>
        </w:rPr>
        <w:t>.</w:t>
      </w:r>
      <w:r>
        <w:rPr>
          <w:rFonts w:cs="Arial"/>
        </w:rPr>
        <w:tab/>
      </w:r>
      <w:r>
        <w:t xml:space="preserve">In 2014 there were more than 1.1 million </w:t>
      </w:r>
      <w:proofErr w:type="gramStart"/>
      <w:r>
        <w:t>people</w:t>
      </w:r>
      <w:proofErr w:type="gramEnd"/>
      <w:r>
        <w:t xml:space="preserve"> aged 65 and over living in NSW. </w:t>
      </w:r>
      <w:r w:rsidRPr="008E3FB6">
        <w:t xml:space="preserve">Population projections </w:t>
      </w:r>
      <w:r>
        <w:t xml:space="preserve">in NSW </w:t>
      </w:r>
      <w:r w:rsidRPr="008E3FB6">
        <w:t xml:space="preserve">indicate all areas outside of Sydney will have </w:t>
      </w:r>
      <w:proofErr w:type="gramStart"/>
      <w:r w:rsidRPr="008E3FB6">
        <w:t>more older</w:t>
      </w:r>
      <w:proofErr w:type="gramEnd"/>
      <w:r w:rsidRPr="008E3FB6">
        <w:t xml:space="preserve"> residents than under 15s by as early as 2021</w:t>
      </w:r>
      <w:r>
        <w:t xml:space="preserve">: NSW Department of Planning and Environment, (2015) </w:t>
      </w:r>
      <w:r w:rsidRPr="00B769DB">
        <w:rPr>
          <w:i/>
        </w:rPr>
        <w:t>Population NSW</w:t>
      </w:r>
      <w:r>
        <w:t>, Issue 7, 2.</w:t>
      </w:r>
    </w:p>
  </w:footnote>
  <w:footnote w:id="46">
    <w:p w:rsidR="001F1C08" w:rsidRPr="00CE5877" w:rsidRDefault="001F1C08" w:rsidP="00D63B8A">
      <w:pPr>
        <w:pStyle w:val="FootnoteText"/>
        <w:rPr>
          <w:rFonts w:cs="Arial"/>
        </w:rPr>
      </w:pPr>
      <w:r w:rsidRPr="00CE5877">
        <w:rPr>
          <w:rStyle w:val="FootnoteReference"/>
          <w:rFonts w:cs="Arial"/>
          <w:vertAlign w:val="baseline"/>
        </w:rPr>
        <w:footnoteRef/>
      </w:r>
      <w:r>
        <w:rPr>
          <w:rFonts w:cs="Arial"/>
        </w:rPr>
        <w:t>.</w:t>
      </w:r>
      <w:r>
        <w:rPr>
          <w:rFonts w:cs="Arial"/>
        </w:rPr>
        <w:tab/>
        <w:t xml:space="preserve">In 2014-2015, in 16% of applications to the Guardianship Division of NCAT the disability reported was mental illness, and in 7% the disability reported was brain injury: </w:t>
      </w:r>
      <w:r>
        <w:t xml:space="preserve">NSW Civil and Administrative Tribunal, </w:t>
      </w:r>
      <w:r w:rsidRPr="00C06655">
        <w:rPr>
          <w:i/>
        </w:rPr>
        <w:t>NCAT</w:t>
      </w:r>
      <w:r>
        <w:t xml:space="preserve"> </w:t>
      </w:r>
      <w:r w:rsidRPr="00B769DB">
        <w:rPr>
          <w:i/>
        </w:rPr>
        <w:t>Annual Report</w:t>
      </w:r>
      <w:r>
        <w:t xml:space="preserve"> </w:t>
      </w:r>
      <w:r w:rsidRPr="00C06655">
        <w:rPr>
          <w:i/>
        </w:rPr>
        <w:t>2014-2015</w:t>
      </w:r>
      <w:r>
        <w:t xml:space="preserve"> (c2015) 41.</w:t>
      </w:r>
    </w:p>
  </w:footnote>
  <w:footnote w:id="47">
    <w:p w:rsidR="001F1C08" w:rsidRPr="00613DBB" w:rsidRDefault="001F1C08" w:rsidP="00D63B8A">
      <w:pPr>
        <w:pStyle w:val="FootnoteText"/>
        <w:rPr>
          <w:rFonts w:cs="Arial"/>
        </w:rPr>
      </w:pPr>
      <w:r w:rsidRPr="00613DBB">
        <w:rPr>
          <w:rStyle w:val="FootnoteReference"/>
          <w:rFonts w:cs="Arial"/>
          <w:vertAlign w:val="baseline"/>
        </w:rPr>
        <w:footnoteRef/>
      </w:r>
      <w:r>
        <w:rPr>
          <w:rFonts w:cs="Arial"/>
        </w:rPr>
        <w:t>.</w:t>
      </w:r>
      <w:r>
        <w:rPr>
          <w:rFonts w:cs="Arial"/>
        </w:rPr>
        <w:tab/>
        <w:t xml:space="preserve">United Nations, </w:t>
      </w:r>
      <w:r w:rsidRPr="00613DBB">
        <w:rPr>
          <w:rFonts w:cs="Arial"/>
          <w:i/>
        </w:rPr>
        <w:t>Convention on the Rights of Persons with Disabilities</w:t>
      </w:r>
      <w:r>
        <w:rPr>
          <w:rFonts w:cs="Arial"/>
        </w:rPr>
        <w:t>, 2515 UNTS 3 (entered into force 3 May 2008).</w:t>
      </w:r>
    </w:p>
  </w:footnote>
  <w:footnote w:id="48">
    <w:p w:rsidR="001F1C08" w:rsidRPr="000A3B9A" w:rsidRDefault="001F1C08" w:rsidP="00D63B8A">
      <w:pPr>
        <w:pStyle w:val="FootnoteText"/>
        <w:rPr>
          <w:rFonts w:cs="Arial"/>
        </w:rPr>
      </w:pPr>
      <w:r w:rsidRPr="000A3B9A">
        <w:rPr>
          <w:rStyle w:val="FootnoteReference"/>
          <w:rFonts w:cs="Arial"/>
          <w:vertAlign w:val="baseline"/>
        </w:rPr>
        <w:footnoteRef/>
      </w:r>
      <w:r>
        <w:rPr>
          <w:rFonts w:cs="Arial"/>
        </w:rPr>
        <w:t>.</w:t>
      </w:r>
      <w:r>
        <w:rPr>
          <w:rFonts w:cs="Arial"/>
        </w:rPr>
        <w:tab/>
      </w:r>
      <w:proofErr w:type="gramStart"/>
      <w:r w:rsidRPr="00416C67">
        <w:rPr>
          <w:rFonts w:cs="Arial"/>
          <w:i/>
        </w:rPr>
        <w:t>Minister for Immigration and Ethnic Affairs</w:t>
      </w:r>
      <w:r>
        <w:rPr>
          <w:rFonts w:cs="Arial"/>
          <w:i/>
        </w:rPr>
        <w:t> </w:t>
      </w:r>
      <w:r w:rsidRPr="00416C67">
        <w:rPr>
          <w:rFonts w:cs="Arial"/>
          <w:i/>
        </w:rPr>
        <w:t>v</w:t>
      </w:r>
      <w:r>
        <w:rPr>
          <w:rFonts w:cs="Arial"/>
          <w:i/>
        </w:rPr>
        <w:t> </w:t>
      </w:r>
      <w:proofErr w:type="spellStart"/>
      <w:r w:rsidRPr="00416C67">
        <w:rPr>
          <w:rFonts w:cs="Arial"/>
          <w:i/>
        </w:rPr>
        <w:t>Teoh</w:t>
      </w:r>
      <w:proofErr w:type="spellEnd"/>
      <w:r>
        <w:rPr>
          <w:rFonts w:cs="Arial"/>
        </w:rPr>
        <w:t xml:space="preserve"> (1995) 183 CLR 273, 286-8, 315.</w:t>
      </w:r>
      <w:proofErr w:type="gramEnd"/>
    </w:p>
  </w:footnote>
  <w:footnote w:id="49">
    <w:p w:rsidR="001F1C08" w:rsidRPr="000A3B9A" w:rsidRDefault="001F1C08" w:rsidP="00D63B8A">
      <w:pPr>
        <w:pStyle w:val="FootnoteText"/>
        <w:rPr>
          <w:rFonts w:cs="Arial"/>
        </w:rPr>
      </w:pPr>
      <w:r w:rsidRPr="000A3B9A">
        <w:rPr>
          <w:rStyle w:val="FootnoteReference"/>
          <w:rFonts w:cs="Arial"/>
          <w:vertAlign w:val="baseline"/>
        </w:rPr>
        <w:footnoteRef/>
      </w:r>
      <w:r>
        <w:rPr>
          <w:rFonts w:cs="Arial"/>
        </w:rPr>
        <w:t>.</w:t>
      </w:r>
      <w:r>
        <w:rPr>
          <w:rFonts w:cs="Arial"/>
        </w:rPr>
        <w:tab/>
      </w:r>
      <w:proofErr w:type="gramStart"/>
      <w:r w:rsidRPr="00D224E4">
        <w:rPr>
          <w:rFonts w:cs="Arial"/>
          <w:i/>
        </w:rPr>
        <w:t>Vienna Convention on the Law of Treaties</w:t>
      </w:r>
      <w:r>
        <w:rPr>
          <w:rFonts w:cs="Arial"/>
        </w:rPr>
        <w:t>, 1155 UNTS 331, (entered into force 27 January 1980) art 26.</w:t>
      </w:r>
      <w:proofErr w:type="gramEnd"/>
      <w:r>
        <w:rPr>
          <w:rFonts w:cs="Arial"/>
        </w:rPr>
        <w:t xml:space="preserve"> </w:t>
      </w:r>
    </w:p>
  </w:footnote>
  <w:footnote w:id="50">
    <w:p w:rsidR="001F1C08" w:rsidRPr="00E86339" w:rsidRDefault="001F1C08" w:rsidP="00D63B8A">
      <w:pPr>
        <w:pStyle w:val="FootnoteText"/>
        <w:rPr>
          <w:rFonts w:cs="Arial"/>
        </w:rPr>
      </w:pPr>
      <w:r w:rsidRPr="00E86339">
        <w:rPr>
          <w:rStyle w:val="FootnoteReference"/>
          <w:rFonts w:cs="Arial"/>
          <w:vertAlign w:val="baseline"/>
        </w:rPr>
        <w:footnoteRef/>
      </w:r>
      <w:r>
        <w:rPr>
          <w:rFonts w:cs="Arial"/>
        </w:rPr>
        <w:t>.</w:t>
      </w:r>
      <w:r>
        <w:rPr>
          <w:rFonts w:cs="Arial"/>
        </w:rPr>
        <w:tab/>
      </w:r>
      <w:proofErr w:type="gramStart"/>
      <w:r w:rsidRPr="00A077D9">
        <w:rPr>
          <w:rFonts w:cs="Arial"/>
        </w:rPr>
        <w:t>United Nations</w:t>
      </w:r>
      <w:hyperlink w:history="1"/>
      <w:r>
        <w:rPr>
          <w:rFonts w:cs="Arial"/>
        </w:rPr>
        <w:t xml:space="preserve">, </w:t>
      </w:r>
      <w:r w:rsidRPr="00A077D9">
        <w:rPr>
          <w:rFonts w:cs="Arial"/>
          <w:i/>
        </w:rPr>
        <w:t>Global Issues: Persons with Disabilities</w:t>
      </w:r>
      <w:r>
        <w:rPr>
          <w:rFonts w:cs="Arial"/>
        </w:rPr>
        <w:t xml:space="preserve"> &lt;</w:t>
      </w:r>
      <w:r w:rsidRPr="001F569E">
        <w:rPr>
          <w:rFonts w:cs="Arial"/>
        </w:rPr>
        <w:t>http://www.un.org/en/globalissues/disabilities/</w:t>
      </w:r>
      <w:r>
        <w:rPr>
          <w:rFonts w:cs="Arial"/>
        </w:rPr>
        <w:t>&gt;.</w:t>
      </w:r>
      <w:proofErr w:type="gramEnd"/>
    </w:p>
  </w:footnote>
  <w:footnote w:id="51">
    <w:p w:rsidR="001F1C08" w:rsidRPr="00F92027" w:rsidRDefault="001F1C08" w:rsidP="00D63B8A">
      <w:pPr>
        <w:pStyle w:val="FootnoteText"/>
        <w:rPr>
          <w:rFonts w:cs="Arial"/>
        </w:rPr>
      </w:pPr>
      <w:r w:rsidRPr="00F92027">
        <w:rPr>
          <w:rStyle w:val="FootnoteReference"/>
          <w:rFonts w:cs="Arial"/>
          <w:vertAlign w:val="baseline"/>
        </w:rPr>
        <w:footnoteRef/>
      </w:r>
      <w:r>
        <w:rPr>
          <w:rFonts w:cs="Arial"/>
        </w:rPr>
        <w:t>.</w:t>
      </w:r>
      <w:r>
        <w:rPr>
          <w:rFonts w:cs="Arial"/>
        </w:rPr>
        <w:tab/>
      </w:r>
      <w:proofErr w:type="gramStart"/>
      <w:r w:rsidRPr="00024B9C">
        <w:rPr>
          <w:shd w:val="clear" w:color="auto" w:fill="FFFFFF"/>
        </w:rPr>
        <w:t>Evidence to the Legislative Council Standing Committee on Social Issues</w:t>
      </w:r>
      <w:r>
        <w:rPr>
          <w:i/>
          <w:shd w:val="clear" w:color="auto" w:fill="FFFFFF"/>
        </w:rPr>
        <w:t xml:space="preserve"> Inquiry into Substitute Decision-Making for People Lacking Capacity,</w:t>
      </w:r>
      <w:r>
        <w:rPr>
          <w:shd w:val="clear" w:color="auto" w:fill="FFFFFF"/>
        </w:rPr>
        <w:t xml:space="preserve"> 4 November 2009, 2-3 (R McCallum).</w:t>
      </w:r>
      <w:proofErr w:type="gramEnd"/>
    </w:p>
  </w:footnote>
  <w:footnote w:id="52">
    <w:p w:rsidR="001F1C08" w:rsidRPr="00ED4CD2" w:rsidRDefault="001F1C08" w:rsidP="00D63B8A">
      <w:pPr>
        <w:pStyle w:val="FootnoteText"/>
        <w:rPr>
          <w:rFonts w:cs="Arial"/>
        </w:rPr>
      </w:pPr>
      <w:r w:rsidRPr="00ED4CD2">
        <w:rPr>
          <w:rStyle w:val="FootnoteReference"/>
          <w:rFonts w:cs="Arial"/>
          <w:vertAlign w:val="baseline"/>
        </w:rPr>
        <w:footnoteRef/>
      </w:r>
      <w:r>
        <w:rPr>
          <w:rFonts w:cs="Arial"/>
        </w:rPr>
        <w:t>.</w:t>
      </w:r>
      <w:r>
        <w:rPr>
          <w:rFonts w:cs="Arial"/>
        </w:rPr>
        <w:tab/>
      </w:r>
      <w:proofErr w:type="gramStart"/>
      <w:r>
        <w:rPr>
          <w:rFonts w:cs="Arial"/>
        </w:rPr>
        <w:t xml:space="preserve">United Nations, </w:t>
      </w:r>
      <w:r w:rsidRPr="00613DBB">
        <w:rPr>
          <w:rFonts w:cs="Arial"/>
          <w:i/>
        </w:rPr>
        <w:t>Convention on the Rights of Persons with Disabilities</w:t>
      </w:r>
      <w:r>
        <w:rPr>
          <w:rFonts w:cs="Arial"/>
        </w:rPr>
        <w:t>, 2515 UNTS 3, (entered into force 3 May 2008) Preamble (e).</w:t>
      </w:r>
      <w:proofErr w:type="gramEnd"/>
    </w:p>
  </w:footnote>
  <w:footnote w:id="53">
    <w:p w:rsidR="001F1C08" w:rsidRPr="003050AB" w:rsidRDefault="001F1C08" w:rsidP="00D63B8A">
      <w:pPr>
        <w:pStyle w:val="FootnoteText"/>
        <w:rPr>
          <w:rFonts w:cs="Arial"/>
        </w:rPr>
      </w:pPr>
      <w:r w:rsidRPr="003050AB">
        <w:rPr>
          <w:rStyle w:val="FootnoteReference"/>
          <w:rFonts w:cs="Arial"/>
          <w:vertAlign w:val="baseline"/>
        </w:rPr>
        <w:footnoteRef/>
      </w:r>
      <w:r>
        <w:rPr>
          <w:rFonts w:cs="Arial"/>
        </w:rPr>
        <w:t>.</w:t>
      </w:r>
      <w:r>
        <w:rPr>
          <w:rFonts w:cs="Arial"/>
        </w:rPr>
        <w:tab/>
        <w:t xml:space="preserve">United Nations, </w:t>
      </w:r>
      <w:r w:rsidRPr="00613DBB">
        <w:rPr>
          <w:rFonts w:cs="Arial"/>
          <w:i/>
        </w:rPr>
        <w:t>Convention on the Rights of Persons with Disabilities</w:t>
      </w:r>
      <w:r>
        <w:rPr>
          <w:rFonts w:cs="Arial"/>
        </w:rPr>
        <w:t>, 2515 UNTS 3, (entered into force 3 May 2008) art 12(2).</w:t>
      </w:r>
    </w:p>
  </w:footnote>
  <w:footnote w:id="54">
    <w:p w:rsidR="001F1C08" w:rsidRPr="001D3041" w:rsidRDefault="001F1C08" w:rsidP="00D63B8A">
      <w:pPr>
        <w:pStyle w:val="FootnoteText"/>
        <w:rPr>
          <w:rFonts w:cs="Arial"/>
          <w:i/>
        </w:rPr>
      </w:pPr>
      <w:r w:rsidRPr="001D3041">
        <w:rPr>
          <w:rStyle w:val="FootnoteReference"/>
          <w:rFonts w:cs="Arial"/>
          <w:vertAlign w:val="baseline"/>
        </w:rPr>
        <w:footnoteRef/>
      </w:r>
      <w:r>
        <w:rPr>
          <w:rFonts w:cs="Arial"/>
        </w:rPr>
        <w:t>.</w:t>
      </w:r>
      <w:r>
        <w:rPr>
          <w:rFonts w:cs="Arial"/>
        </w:rPr>
        <w:tab/>
      </w:r>
      <w:proofErr w:type="gramStart"/>
      <w:r w:rsidRPr="001D3041">
        <w:rPr>
          <w:rFonts w:cs="Arial"/>
        </w:rPr>
        <w:t>United Nations Committee on the Rights of Persons with Disabilities</w:t>
      </w:r>
      <w:r>
        <w:rPr>
          <w:rFonts w:cs="Arial"/>
        </w:rPr>
        <w:t xml:space="preserve">, </w:t>
      </w:r>
      <w:r w:rsidRPr="005670FB">
        <w:rPr>
          <w:rFonts w:cs="Arial"/>
          <w:i/>
        </w:rPr>
        <w:t>Convention on the Rights of Persons with Disabilities</w:t>
      </w:r>
      <w:r>
        <w:rPr>
          <w:rFonts w:cs="Arial"/>
        </w:rPr>
        <w:t xml:space="preserve">, </w:t>
      </w:r>
      <w:r w:rsidRPr="005670FB">
        <w:rPr>
          <w:rFonts w:cs="Arial"/>
        </w:rPr>
        <w:t>General Comment No 1</w:t>
      </w:r>
      <w:r>
        <w:rPr>
          <w:rFonts w:cs="Arial"/>
        </w:rPr>
        <w:t xml:space="preserve"> (2014) [13].</w:t>
      </w:r>
      <w:proofErr w:type="gramEnd"/>
    </w:p>
  </w:footnote>
  <w:footnote w:id="55">
    <w:p w:rsidR="001F1C08" w:rsidRPr="009426C7" w:rsidRDefault="001F1C08" w:rsidP="00D63B8A">
      <w:pPr>
        <w:pStyle w:val="FootnoteText"/>
        <w:rPr>
          <w:rFonts w:cs="Arial"/>
        </w:rPr>
      </w:pPr>
      <w:r w:rsidRPr="001D3041">
        <w:rPr>
          <w:rStyle w:val="FootnoteReference"/>
          <w:rFonts w:cs="Arial"/>
          <w:vertAlign w:val="baseline"/>
        </w:rPr>
        <w:footnoteRef/>
      </w:r>
      <w:r>
        <w:rPr>
          <w:rFonts w:cs="Arial"/>
        </w:rPr>
        <w:t>.</w:t>
      </w:r>
      <w:r>
        <w:rPr>
          <w:rFonts w:cs="Arial"/>
        </w:rPr>
        <w:tab/>
      </w:r>
      <w:r w:rsidRPr="00CC209D">
        <w:t>NSW Disability Network Forum</w:t>
      </w:r>
      <w:r>
        <w:rPr>
          <w:rFonts w:cs="Arial"/>
        </w:rPr>
        <w:t xml:space="preserve">, </w:t>
      </w:r>
      <w:r>
        <w:rPr>
          <w:rFonts w:cs="Arial"/>
          <w:i/>
        </w:rPr>
        <w:t>Submission PGA05</w:t>
      </w:r>
      <w:r>
        <w:rPr>
          <w:rFonts w:cs="Arial"/>
        </w:rPr>
        <w:t xml:space="preserve">, 6; </w:t>
      </w:r>
      <w:r w:rsidRPr="000750BF">
        <w:t>Council on the Ageing NSW</w:t>
      </w:r>
      <w:r>
        <w:t xml:space="preserve">, </w:t>
      </w:r>
      <w:r>
        <w:rPr>
          <w:i/>
        </w:rPr>
        <w:t>Submission PGA10</w:t>
      </w:r>
      <w:r>
        <w:t xml:space="preserve">, 3; </w:t>
      </w:r>
      <w:r w:rsidRPr="00400499">
        <w:t>Alzheimer’s Australia NSW</w:t>
      </w:r>
      <w:r>
        <w:t xml:space="preserve">, </w:t>
      </w:r>
      <w:r>
        <w:rPr>
          <w:i/>
        </w:rPr>
        <w:t>Submission PGA14</w:t>
      </w:r>
      <w:r>
        <w:t xml:space="preserve">, 5; </w:t>
      </w:r>
      <w:r w:rsidRPr="00C24A69">
        <w:t>BEING</w:t>
      </w:r>
      <w:r>
        <w:t xml:space="preserve">, </w:t>
      </w:r>
      <w:r>
        <w:rPr>
          <w:i/>
        </w:rPr>
        <w:t xml:space="preserve">Submission PGA22, </w:t>
      </w:r>
      <w:r>
        <w:t xml:space="preserve">4; </w:t>
      </w:r>
      <w:r w:rsidRPr="00C03C78">
        <w:t>Institute of Legal Executives</w:t>
      </w:r>
      <w:r>
        <w:t xml:space="preserve">, </w:t>
      </w:r>
      <w:r>
        <w:rPr>
          <w:i/>
        </w:rPr>
        <w:t>Submission PGA35</w:t>
      </w:r>
      <w:r>
        <w:t>, 4.</w:t>
      </w:r>
    </w:p>
  </w:footnote>
  <w:footnote w:id="56">
    <w:p w:rsidR="001F1C08" w:rsidRPr="001D053D" w:rsidRDefault="001F1C08" w:rsidP="00D63B8A">
      <w:pPr>
        <w:pStyle w:val="FootnoteText"/>
        <w:rPr>
          <w:rFonts w:cs="Arial"/>
        </w:rPr>
      </w:pPr>
      <w:r w:rsidRPr="001D053D">
        <w:rPr>
          <w:rStyle w:val="FootnoteReference"/>
          <w:rFonts w:cs="Arial"/>
          <w:vertAlign w:val="baseline"/>
        </w:rPr>
        <w:footnoteRef/>
      </w:r>
      <w:r>
        <w:rPr>
          <w:rFonts w:cs="Arial"/>
        </w:rPr>
        <w:t>.</w:t>
      </w:r>
      <w:r>
        <w:rPr>
          <w:rFonts w:cs="Arial"/>
        </w:rPr>
        <w:tab/>
      </w:r>
      <w:proofErr w:type="gramStart"/>
      <w:r>
        <w:rPr>
          <w:rFonts w:cs="Arial"/>
        </w:rPr>
        <w:t xml:space="preserve">NSW Department of Family and Community Services, </w:t>
      </w:r>
      <w:r w:rsidRPr="006C6B0E">
        <w:rPr>
          <w:rFonts w:cs="Arial"/>
          <w:i/>
        </w:rPr>
        <w:t>Submission PGA54</w:t>
      </w:r>
      <w:r>
        <w:rPr>
          <w:rFonts w:cs="Arial"/>
        </w:rPr>
        <w:t>, 3.</w:t>
      </w:r>
      <w:proofErr w:type="gramEnd"/>
    </w:p>
  </w:footnote>
  <w:footnote w:id="57">
    <w:p w:rsidR="001F1C08" w:rsidRPr="00060A85" w:rsidRDefault="001F1C08" w:rsidP="00D63B8A">
      <w:pPr>
        <w:pStyle w:val="FootnoteText"/>
        <w:rPr>
          <w:rFonts w:cs="Arial"/>
        </w:rPr>
      </w:pPr>
      <w:r w:rsidRPr="00060A85">
        <w:rPr>
          <w:rStyle w:val="FootnoteReference"/>
          <w:rFonts w:cs="Arial"/>
          <w:vertAlign w:val="baseline"/>
        </w:rPr>
        <w:footnoteRef/>
      </w:r>
      <w:r>
        <w:rPr>
          <w:rFonts w:cs="Arial"/>
        </w:rPr>
        <w:t>.</w:t>
      </w:r>
      <w:r>
        <w:rPr>
          <w:rFonts w:cs="Arial"/>
        </w:rPr>
        <w:tab/>
      </w:r>
      <w:r>
        <w:t xml:space="preserve">M Bach, “Supported decision making under Article 12 of the UN Convention on the Rights of Persons with Disabilities: questions and challenges” Paper presented at the </w:t>
      </w:r>
      <w:r w:rsidRPr="008750FD">
        <w:t>Conference on Legal Capacity and Supported Decision-Making</w:t>
      </w:r>
      <w:r>
        <w:t>,</w:t>
      </w:r>
      <w:r>
        <w:rPr>
          <w:i/>
        </w:rPr>
        <w:t xml:space="preserve"> </w:t>
      </w:r>
      <w:r>
        <w:t>Athlone, Ireland, 3 November 2007, 4.</w:t>
      </w:r>
    </w:p>
  </w:footnote>
  <w:footnote w:id="58">
    <w:p w:rsidR="001F1C08" w:rsidRPr="001F1056" w:rsidRDefault="001F1C08" w:rsidP="00D63B8A">
      <w:pPr>
        <w:pStyle w:val="FootnoteText"/>
        <w:rPr>
          <w:rFonts w:cs="Arial"/>
        </w:rPr>
      </w:pPr>
      <w:r w:rsidRPr="001F1056">
        <w:rPr>
          <w:rStyle w:val="FootnoteReference"/>
          <w:rFonts w:cs="Arial"/>
          <w:vertAlign w:val="baseline"/>
        </w:rPr>
        <w:footnoteRef/>
      </w:r>
      <w:r>
        <w:rPr>
          <w:rFonts w:cs="Arial"/>
        </w:rPr>
        <w:t>.</w:t>
      </w:r>
      <w:r>
        <w:rPr>
          <w:rFonts w:cs="Arial"/>
        </w:rPr>
        <w:tab/>
      </w:r>
      <w:r w:rsidRPr="009C0FE0">
        <w:rPr>
          <w:rFonts w:cs="Arial"/>
          <w:szCs w:val="18"/>
          <w:lang w:eastAsia="en-AU"/>
        </w:rPr>
        <w:t xml:space="preserve">United Nations, Committee on the Rights of Persons with Disabilities, </w:t>
      </w:r>
      <w:r w:rsidRPr="009C0FE0">
        <w:rPr>
          <w:rFonts w:cs="Arial"/>
          <w:i/>
          <w:szCs w:val="18"/>
          <w:lang w:eastAsia="en-AU"/>
        </w:rPr>
        <w:t xml:space="preserve">Convention on the Rights </w:t>
      </w:r>
      <w:r>
        <w:rPr>
          <w:rFonts w:cs="Arial"/>
          <w:i/>
          <w:szCs w:val="18"/>
          <w:lang w:eastAsia="en-AU"/>
        </w:rPr>
        <w:t xml:space="preserve">  </w:t>
      </w:r>
      <w:r w:rsidRPr="009C0FE0">
        <w:rPr>
          <w:rFonts w:cs="Arial"/>
          <w:i/>
          <w:szCs w:val="18"/>
          <w:lang w:eastAsia="en-AU"/>
        </w:rPr>
        <w:t>of Persons with Disabilities</w:t>
      </w:r>
      <w:r w:rsidRPr="009C0FE0">
        <w:rPr>
          <w:rFonts w:cs="Arial"/>
          <w:szCs w:val="18"/>
          <w:lang w:eastAsia="en-AU"/>
        </w:rPr>
        <w:t>, Concluding Observations on the initial report of Australia adopted by the Committee at its tenth session (2-13 September 2013) [25].</w:t>
      </w:r>
    </w:p>
  </w:footnote>
  <w:footnote w:id="59">
    <w:p w:rsidR="001F1C08" w:rsidRPr="0016685F" w:rsidRDefault="001F1C08" w:rsidP="00D63B8A">
      <w:pPr>
        <w:pStyle w:val="FootnoteText"/>
        <w:rPr>
          <w:rFonts w:cs="Arial"/>
        </w:rPr>
      </w:pPr>
      <w:r w:rsidRPr="0016685F">
        <w:rPr>
          <w:rStyle w:val="FootnoteReference"/>
          <w:rFonts w:cs="Arial"/>
          <w:vertAlign w:val="baseline"/>
        </w:rPr>
        <w:footnoteRef/>
      </w:r>
      <w:r>
        <w:rPr>
          <w:rFonts w:cs="Arial"/>
        </w:rPr>
        <w:t>.</w:t>
      </w:r>
      <w:r>
        <w:rPr>
          <w:rFonts w:cs="Arial"/>
        </w:rPr>
        <w:tab/>
        <w:t xml:space="preserve">T Carney, “Supported Decision-Making for People with Cognitive Impairments: An Australian Perspective?” (2015) </w:t>
      </w:r>
      <w:proofErr w:type="gramStart"/>
      <w:r>
        <w:rPr>
          <w:rFonts w:cs="Arial"/>
        </w:rPr>
        <w:t>4</w:t>
      </w:r>
      <w:proofErr w:type="gramEnd"/>
      <w:r>
        <w:rPr>
          <w:rFonts w:cs="Arial"/>
        </w:rPr>
        <w:t> </w:t>
      </w:r>
      <w:r w:rsidRPr="00A77B37">
        <w:rPr>
          <w:i/>
        </w:rPr>
        <w:t>Laws</w:t>
      </w:r>
      <w:r>
        <w:t xml:space="preserve"> 37, </w:t>
      </w:r>
      <w:r>
        <w:rPr>
          <w:rFonts w:cs="Arial"/>
        </w:rPr>
        <w:t>41.</w:t>
      </w:r>
    </w:p>
  </w:footnote>
  <w:footnote w:id="60">
    <w:p w:rsidR="001F1C08" w:rsidRPr="00516189" w:rsidRDefault="001F1C08" w:rsidP="00D63B8A">
      <w:pPr>
        <w:pStyle w:val="FootnoteText"/>
        <w:rPr>
          <w:rFonts w:cs="Arial"/>
        </w:rPr>
      </w:pPr>
      <w:r w:rsidRPr="00516189">
        <w:rPr>
          <w:rStyle w:val="FootnoteReference"/>
          <w:rFonts w:cs="Arial"/>
          <w:vertAlign w:val="baseline"/>
        </w:rPr>
        <w:footnoteRef/>
      </w:r>
      <w:r>
        <w:rPr>
          <w:rFonts w:cs="Arial"/>
        </w:rPr>
        <w:t>.</w:t>
      </w:r>
      <w:r>
        <w:rPr>
          <w:rFonts w:cs="Arial"/>
        </w:rPr>
        <w:tab/>
      </w:r>
      <w:proofErr w:type="gramStart"/>
      <w:r>
        <w:rPr>
          <w:rFonts w:cs="Arial"/>
        </w:rPr>
        <w:t xml:space="preserve">NSW, Legislative Council Standing Committee on Social Issues, </w:t>
      </w:r>
      <w:r>
        <w:rPr>
          <w:rFonts w:cs="Arial"/>
          <w:i/>
        </w:rPr>
        <w:t>Substitute Decision-Making for People Lacking Capacity</w:t>
      </w:r>
      <w:r>
        <w:rPr>
          <w:rFonts w:cs="Arial"/>
        </w:rPr>
        <w:t>, Report</w:t>
      </w:r>
      <w:r>
        <w:t> </w:t>
      </w:r>
      <w:r>
        <w:rPr>
          <w:rFonts w:cs="Arial"/>
        </w:rPr>
        <w:t>43 (2010) [2.12].</w:t>
      </w:r>
      <w:proofErr w:type="gramEnd"/>
    </w:p>
  </w:footnote>
  <w:footnote w:id="61">
    <w:p w:rsidR="001F1C08" w:rsidRPr="008241AA" w:rsidRDefault="001F1C08" w:rsidP="00D63B8A">
      <w:pPr>
        <w:pStyle w:val="FootnoteText"/>
        <w:rPr>
          <w:rFonts w:cs="Arial"/>
        </w:rPr>
      </w:pPr>
      <w:r w:rsidRPr="008241AA">
        <w:rPr>
          <w:rStyle w:val="FootnoteReference"/>
          <w:rFonts w:cs="Arial"/>
          <w:vertAlign w:val="baseline"/>
        </w:rPr>
        <w:footnoteRef/>
      </w:r>
      <w:r>
        <w:rPr>
          <w:rFonts w:cs="Arial"/>
        </w:rPr>
        <w:t>.</w:t>
      </w:r>
      <w:r>
        <w:rPr>
          <w:rFonts w:cs="Arial"/>
        </w:rPr>
        <w:tab/>
      </w:r>
      <w:proofErr w:type="gramStart"/>
      <w:r>
        <w:rPr>
          <w:rFonts w:cs="Arial"/>
        </w:rPr>
        <w:t xml:space="preserve">NSW, Legislative Council Standing Committee on Social Issues, </w:t>
      </w:r>
      <w:r>
        <w:rPr>
          <w:rFonts w:cs="Arial"/>
          <w:i/>
        </w:rPr>
        <w:t>Substitute Decision-Making for People Lacking Capacity</w:t>
      </w:r>
      <w:r>
        <w:rPr>
          <w:rFonts w:cs="Arial"/>
        </w:rPr>
        <w:t>, Report 43 (2010) Rec 1, 2, 4, 5.</w:t>
      </w:r>
      <w:proofErr w:type="gramEnd"/>
    </w:p>
  </w:footnote>
  <w:footnote w:id="62">
    <w:p w:rsidR="001F1C08" w:rsidRPr="00D83CFD" w:rsidRDefault="001F1C08" w:rsidP="00D63B8A">
      <w:pPr>
        <w:pStyle w:val="FootnoteText"/>
        <w:rPr>
          <w:rFonts w:cs="Arial"/>
        </w:rPr>
      </w:pPr>
      <w:r w:rsidRPr="00D83CFD">
        <w:rPr>
          <w:rStyle w:val="FootnoteReference"/>
          <w:rFonts w:cs="Arial"/>
          <w:vertAlign w:val="baseline"/>
        </w:rPr>
        <w:footnoteRef/>
      </w:r>
      <w:r>
        <w:rPr>
          <w:rFonts w:cs="Arial"/>
        </w:rPr>
        <w:t>.</w:t>
      </w:r>
      <w:r>
        <w:rPr>
          <w:rFonts w:cs="Arial"/>
        </w:rPr>
        <w:tab/>
        <w:t xml:space="preserve">NSW, </w:t>
      </w:r>
      <w:r w:rsidRPr="00D83CFD">
        <w:rPr>
          <w:rFonts w:cs="Arial"/>
          <w:i/>
        </w:rPr>
        <w:t>Substitute Decision-Making for People Lacking Capacity</w:t>
      </w:r>
      <w:r>
        <w:rPr>
          <w:rFonts w:cs="Arial"/>
        </w:rPr>
        <w:t>, Government Response to Legislative Council Standing Committee on social Issues Inquiry (2010).</w:t>
      </w:r>
    </w:p>
  </w:footnote>
  <w:footnote w:id="63">
    <w:p w:rsidR="001F1C08" w:rsidRPr="00BC6993" w:rsidRDefault="001F1C08" w:rsidP="00D63B8A">
      <w:pPr>
        <w:pStyle w:val="FootnoteText"/>
        <w:rPr>
          <w:rFonts w:cs="Arial"/>
        </w:rPr>
      </w:pPr>
      <w:r w:rsidRPr="00BA1505">
        <w:rPr>
          <w:rStyle w:val="FootnoteReference"/>
          <w:rFonts w:cs="Arial"/>
          <w:vertAlign w:val="baseline"/>
        </w:rPr>
        <w:footnoteRef/>
      </w:r>
      <w:r>
        <w:rPr>
          <w:rFonts w:cs="Arial"/>
        </w:rPr>
        <w:t>.</w:t>
      </w:r>
      <w:r>
        <w:rPr>
          <w:rFonts w:cs="Arial"/>
        </w:rPr>
        <w:tab/>
      </w:r>
      <w:proofErr w:type="gramStart"/>
      <w:r>
        <w:rPr>
          <w:rFonts w:cs="Arial"/>
        </w:rPr>
        <w:t xml:space="preserve">NSW Ministry of Health, </w:t>
      </w:r>
      <w:r>
        <w:rPr>
          <w:rFonts w:cs="Arial"/>
          <w:i/>
        </w:rPr>
        <w:t>Review of the NSW Mental Health Act 2007</w:t>
      </w:r>
      <w:r>
        <w:rPr>
          <w:rFonts w:cs="Arial"/>
        </w:rPr>
        <w:t xml:space="preserve"> (2013) 17.</w:t>
      </w:r>
      <w:proofErr w:type="gramEnd"/>
      <w:r>
        <w:rPr>
          <w:rFonts w:cs="Arial"/>
        </w:rPr>
        <w:t xml:space="preserve"> </w:t>
      </w:r>
    </w:p>
  </w:footnote>
  <w:footnote w:id="64">
    <w:p w:rsidR="001F1C08" w:rsidRPr="004D11D4" w:rsidRDefault="001F1C08" w:rsidP="00D63B8A">
      <w:pPr>
        <w:pStyle w:val="FootnoteText"/>
        <w:rPr>
          <w:rFonts w:cs="Arial"/>
        </w:rPr>
      </w:pPr>
      <w:r w:rsidRPr="004D11D4">
        <w:rPr>
          <w:rStyle w:val="FootnoteReference"/>
          <w:rFonts w:cs="Arial"/>
          <w:vertAlign w:val="baseline"/>
        </w:rPr>
        <w:footnoteRef/>
      </w:r>
      <w:r>
        <w:rPr>
          <w:rFonts w:cs="Arial"/>
        </w:rPr>
        <w:t>.</w:t>
      </w:r>
      <w:r>
        <w:rPr>
          <w:rFonts w:cs="Arial"/>
        </w:rPr>
        <w:tab/>
      </w:r>
      <w:proofErr w:type="gramStart"/>
      <w:r>
        <w:rPr>
          <w:rFonts w:cs="Arial"/>
          <w:i/>
        </w:rPr>
        <w:t xml:space="preserve">Disability Inclusion Act 2014 </w:t>
      </w:r>
      <w:r>
        <w:rPr>
          <w:rFonts w:cs="Arial"/>
        </w:rPr>
        <w:t>(NSW) s 3.</w:t>
      </w:r>
      <w:proofErr w:type="gramEnd"/>
    </w:p>
  </w:footnote>
  <w:footnote w:id="65">
    <w:p w:rsidR="001F1C08" w:rsidRPr="00E54647" w:rsidRDefault="001F1C08" w:rsidP="00D63B8A">
      <w:pPr>
        <w:pStyle w:val="FootnoteText"/>
        <w:rPr>
          <w:rFonts w:cs="Arial"/>
        </w:rPr>
      </w:pPr>
      <w:r w:rsidRPr="00E54647">
        <w:rPr>
          <w:rStyle w:val="FootnoteReference"/>
          <w:rFonts w:cs="Arial"/>
          <w:vertAlign w:val="baseline"/>
        </w:rPr>
        <w:footnoteRef/>
      </w:r>
      <w:r>
        <w:rPr>
          <w:rFonts w:cs="Arial"/>
        </w:rPr>
        <w:t>.</w:t>
      </w:r>
      <w:r>
        <w:rPr>
          <w:rFonts w:cs="Arial"/>
        </w:rPr>
        <w:tab/>
      </w:r>
      <w:r>
        <w:rPr>
          <w:rFonts w:cs="Arial"/>
          <w:i/>
        </w:rPr>
        <w:t xml:space="preserve">Disability Inclusion Act 2014 </w:t>
      </w:r>
      <w:r>
        <w:rPr>
          <w:rFonts w:cs="Arial"/>
        </w:rPr>
        <w:t xml:space="preserve">(NSW) </w:t>
      </w:r>
      <w:proofErr w:type="spellStart"/>
      <w:r>
        <w:rPr>
          <w:rFonts w:cs="Arial"/>
        </w:rPr>
        <w:t>pt</w:t>
      </w:r>
      <w:proofErr w:type="spellEnd"/>
      <w:r>
        <w:rPr>
          <w:rFonts w:cs="Arial"/>
        </w:rPr>
        <w:t> 2 and s 36.</w:t>
      </w:r>
    </w:p>
  </w:footnote>
  <w:footnote w:id="66">
    <w:p w:rsidR="001F1C08" w:rsidRPr="001F1056" w:rsidRDefault="001F1C08" w:rsidP="00D63B8A">
      <w:pPr>
        <w:pStyle w:val="FootnoteText"/>
        <w:rPr>
          <w:rFonts w:cs="Arial"/>
        </w:rPr>
      </w:pPr>
      <w:r w:rsidRPr="001F1056">
        <w:rPr>
          <w:rStyle w:val="FootnoteReference"/>
          <w:rFonts w:cs="Arial"/>
          <w:vertAlign w:val="baseline"/>
        </w:rPr>
        <w:footnoteRef/>
      </w:r>
      <w:r w:rsidRPr="001F1056">
        <w:rPr>
          <w:rFonts w:cs="Arial"/>
        </w:rPr>
        <w:t>.</w:t>
      </w:r>
      <w:r w:rsidRPr="001F1056">
        <w:rPr>
          <w:rFonts w:cs="Arial"/>
        </w:rPr>
        <w:tab/>
      </w:r>
      <w:r w:rsidRPr="001F1056">
        <w:t xml:space="preserve">Senior Rights Service, </w:t>
      </w:r>
      <w:r w:rsidRPr="001F1056">
        <w:rPr>
          <w:i/>
        </w:rPr>
        <w:t>Submission</w:t>
      </w:r>
      <w:r w:rsidRPr="001F1056">
        <w:t xml:space="preserve"> </w:t>
      </w:r>
      <w:r w:rsidRPr="001F1056">
        <w:rPr>
          <w:rFonts w:cs="Arial"/>
          <w:i/>
        </w:rPr>
        <w:t>PGA07</w:t>
      </w:r>
      <w:r w:rsidRPr="001F1056">
        <w:rPr>
          <w:rFonts w:cs="Arial"/>
        </w:rPr>
        <w:t xml:space="preserve">, 8, 9; </w:t>
      </w:r>
      <w:r w:rsidRPr="001F1056">
        <w:t xml:space="preserve">Bridgette Pace, </w:t>
      </w:r>
      <w:r w:rsidRPr="001F1056">
        <w:rPr>
          <w:i/>
        </w:rPr>
        <w:t>Submission</w:t>
      </w:r>
      <w:r w:rsidRPr="001F1056">
        <w:rPr>
          <w:rFonts w:cs="Arial"/>
        </w:rPr>
        <w:t xml:space="preserve"> </w:t>
      </w:r>
      <w:r w:rsidRPr="001F1056">
        <w:rPr>
          <w:rFonts w:cs="Arial"/>
          <w:i/>
        </w:rPr>
        <w:t>PGA09</w:t>
      </w:r>
      <w:r w:rsidRPr="001F1056">
        <w:rPr>
          <w:rFonts w:cs="Arial"/>
        </w:rPr>
        <w:t xml:space="preserve">, 6; </w:t>
      </w:r>
      <w:r w:rsidRPr="001F1056">
        <w:t xml:space="preserve">Council on the Ageing NSW, </w:t>
      </w:r>
      <w:r w:rsidRPr="001F1056">
        <w:rPr>
          <w:i/>
        </w:rPr>
        <w:t>Submission</w:t>
      </w:r>
      <w:r w:rsidRPr="001F1056">
        <w:rPr>
          <w:rFonts w:cs="Arial"/>
          <w:i/>
        </w:rPr>
        <w:t xml:space="preserve"> PGA10</w:t>
      </w:r>
      <w:r w:rsidRPr="001F1056">
        <w:rPr>
          <w:rFonts w:cs="Arial"/>
        </w:rPr>
        <w:t xml:space="preserve">, 4; </w:t>
      </w:r>
      <w:r w:rsidRPr="001F1056">
        <w:t>BEING,</w:t>
      </w:r>
      <w:r w:rsidRPr="001F1056">
        <w:rPr>
          <w:rFonts w:cs="Arial"/>
        </w:rPr>
        <w:t xml:space="preserve"> </w:t>
      </w:r>
      <w:r w:rsidRPr="001F1056">
        <w:rPr>
          <w:rFonts w:cs="Arial"/>
          <w:i/>
        </w:rPr>
        <w:t>Submission PGA22</w:t>
      </w:r>
      <w:r w:rsidRPr="001F1056">
        <w:rPr>
          <w:rFonts w:cs="Arial"/>
        </w:rPr>
        <w:t xml:space="preserve">, 5; </w:t>
      </w:r>
      <w:r w:rsidRPr="001F1056">
        <w:t xml:space="preserve">Disability Council NSW, </w:t>
      </w:r>
      <w:r w:rsidRPr="001F1056">
        <w:rPr>
          <w:i/>
        </w:rPr>
        <w:t xml:space="preserve">Submission </w:t>
      </w:r>
      <w:r w:rsidRPr="001F1056">
        <w:rPr>
          <w:rFonts w:cs="Arial"/>
          <w:i/>
        </w:rPr>
        <w:t>PGA26</w:t>
      </w:r>
      <w:r w:rsidRPr="001F1056">
        <w:rPr>
          <w:rFonts w:cs="Arial"/>
        </w:rPr>
        <w:t>, 3;</w:t>
      </w:r>
      <w:r w:rsidRPr="001F1056">
        <w:t xml:space="preserve"> NSW Official Visitors Program, </w:t>
      </w:r>
      <w:r w:rsidRPr="001F1056">
        <w:rPr>
          <w:i/>
        </w:rPr>
        <w:t>Submission</w:t>
      </w:r>
      <w:r w:rsidRPr="001F1056">
        <w:rPr>
          <w:rFonts w:cs="Arial"/>
          <w:i/>
        </w:rPr>
        <w:t xml:space="preserve"> PGA33</w:t>
      </w:r>
      <w:r w:rsidRPr="001F1056">
        <w:rPr>
          <w:rFonts w:cs="Arial"/>
        </w:rPr>
        <w:t xml:space="preserve">, 2-3; </w:t>
      </w:r>
      <w:r w:rsidRPr="001F1056">
        <w:t xml:space="preserve">NSW Trustee &amp; Guardian, </w:t>
      </w:r>
      <w:r w:rsidRPr="001F1056">
        <w:rPr>
          <w:i/>
        </w:rPr>
        <w:t>Submission</w:t>
      </w:r>
      <w:r w:rsidRPr="001F1056">
        <w:rPr>
          <w:rFonts w:cs="Arial"/>
          <w:i/>
        </w:rPr>
        <w:t xml:space="preserve"> PGA50</w:t>
      </w:r>
      <w:r w:rsidRPr="001F1056">
        <w:rPr>
          <w:rFonts w:cs="Arial"/>
        </w:rPr>
        <w:t>, 6-7</w:t>
      </w:r>
      <w:r w:rsidRPr="001F1056">
        <w:rPr>
          <w:rFonts w:cs="Arial"/>
          <w:i/>
        </w:rPr>
        <w:t>.</w:t>
      </w:r>
    </w:p>
  </w:footnote>
  <w:footnote w:id="67">
    <w:p w:rsidR="001F1C08" w:rsidRPr="00012983" w:rsidRDefault="001F1C08" w:rsidP="00D63B8A">
      <w:pPr>
        <w:pStyle w:val="FootnoteText"/>
        <w:rPr>
          <w:rFonts w:cs="Arial"/>
        </w:rPr>
      </w:pPr>
      <w:r w:rsidRPr="00012983">
        <w:rPr>
          <w:rStyle w:val="FootnoteReference"/>
          <w:rFonts w:cs="Arial"/>
          <w:vertAlign w:val="baseline"/>
        </w:rPr>
        <w:footnoteRef/>
      </w:r>
      <w:r>
        <w:rPr>
          <w:rFonts w:cs="Arial"/>
        </w:rPr>
        <w:t>.</w:t>
      </w:r>
      <w:r>
        <w:rPr>
          <w:rFonts w:cs="Arial"/>
        </w:rPr>
        <w:tab/>
      </w:r>
      <w:r w:rsidRPr="00F566EA">
        <w:rPr>
          <w:rFonts w:cs="Arial"/>
        </w:rPr>
        <w:t>United Nations</w:t>
      </w:r>
      <w:r>
        <w:rPr>
          <w:rFonts w:cs="Arial"/>
        </w:rPr>
        <w:t>,</w:t>
      </w:r>
      <w:r w:rsidRPr="00416C67">
        <w:rPr>
          <w:rFonts w:cs="Arial"/>
          <w:i/>
        </w:rPr>
        <w:t xml:space="preserve"> Convention on the Rights of Persons with Disabilities</w:t>
      </w:r>
      <w:r>
        <w:rPr>
          <w:rFonts w:cs="Arial"/>
        </w:rPr>
        <w:t>, 2515 UNTS 3 (entered into force 3 May </w:t>
      </w:r>
      <w:r>
        <w:t>2008)</w:t>
      </w:r>
      <w:r>
        <w:rPr>
          <w:rFonts w:cs="Arial"/>
        </w:rPr>
        <w:t xml:space="preserve"> art 12(4).</w:t>
      </w:r>
    </w:p>
  </w:footnote>
  <w:footnote w:id="68">
    <w:p w:rsidR="001F1C08" w:rsidRPr="0056321B" w:rsidRDefault="001F1C08" w:rsidP="00D63B8A">
      <w:pPr>
        <w:pStyle w:val="FootnoteText"/>
        <w:rPr>
          <w:rFonts w:cs="Arial"/>
        </w:rPr>
      </w:pPr>
      <w:r w:rsidRPr="0056321B">
        <w:rPr>
          <w:rStyle w:val="FootnoteReference"/>
          <w:rFonts w:cs="Arial"/>
          <w:vertAlign w:val="baseline"/>
        </w:rPr>
        <w:footnoteRef/>
      </w:r>
      <w:r w:rsidRPr="0056321B">
        <w:rPr>
          <w:rFonts w:cs="Arial"/>
        </w:rPr>
        <w:t>.</w:t>
      </w:r>
      <w:r w:rsidRPr="0056321B">
        <w:rPr>
          <w:rFonts w:cs="Arial"/>
        </w:rPr>
        <w:tab/>
      </w:r>
      <w:r w:rsidRPr="00BE07D5">
        <w:t>NSW Council for Intellectual Disability</w:t>
      </w:r>
      <w:r>
        <w:t>,</w:t>
      </w:r>
      <w:r w:rsidRPr="00BE07D5">
        <w:t xml:space="preserve"> </w:t>
      </w:r>
      <w:r w:rsidRPr="0056321B">
        <w:rPr>
          <w:i/>
        </w:rPr>
        <w:t xml:space="preserve">Submission </w:t>
      </w:r>
      <w:r w:rsidRPr="0056321B">
        <w:rPr>
          <w:rFonts w:cs="Arial"/>
          <w:i/>
        </w:rPr>
        <w:t>PGA18</w:t>
      </w:r>
      <w:r>
        <w:rPr>
          <w:rFonts w:cs="Arial"/>
        </w:rPr>
        <w:t>, 6;</w:t>
      </w:r>
      <w:r w:rsidRPr="0056321B">
        <w:rPr>
          <w:rFonts w:cs="Arial"/>
        </w:rPr>
        <w:t xml:space="preserve"> </w:t>
      </w:r>
      <w:r w:rsidRPr="004B6EC0">
        <w:t>NSW Ombudsman Office</w:t>
      </w:r>
      <w:r>
        <w:t xml:space="preserve">, </w:t>
      </w:r>
      <w:r w:rsidRPr="0056321B">
        <w:rPr>
          <w:i/>
        </w:rPr>
        <w:t xml:space="preserve">Submission </w:t>
      </w:r>
      <w:r w:rsidRPr="0056321B">
        <w:rPr>
          <w:rFonts w:cs="Arial"/>
          <w:i/>
        </w:rPr>
        <w:t>PGA41</w:t>
      </w:r>
      <w:r>
        <w:rPr>
          <w:rFonts w:cs="Arial"/>
        </w:rPr>
        <w:t>, 6;</w:t>
      </w:r>
      <w:r w:rsidRPr="0056321B">
        <w:rPr>
          <w:rFonts w:cs="Arial"/>
        </w:rPr>
        <w:t xml:space="preserve"> </w:t>
      </w:r>
      <w:r w:rsidRPr="00EF5243">
        <w:t>Intellectual Disability Rights Service</w:t>
      </w:r>
      <w:r>
        <w:t xml:space="preserve">, </w:t>
      </w:r>
      <w:r w:rsidRPr="0056321B">
        <w:rPr>
          <w:i/>
        </w:rPr>
        <w:t>Submission</w:t>
      </w:r>
      <w:r w:rsidRPr="0056321B">
        <w:rPr>
          <w:rFonts w:cs="Arial"/>
          <w:i/>
        </w:rPr>
        <w:t xml:space="preserve"> PGA44</w:t>
      </w:r>
      <w:r>
        <w:rPr>
          <w:rFonts w:cs="Arial"/>
        </w:rPr>
        <w:t>, 7-8</w:t>
      </w:r>
      <w:r>
        <w:rPr>
          <w:rFonts w:cs="Arial"/>
          <w:i/>
        </w:rPr>
        <w:t>.</w:t>
      </w:r>
    </w:p>
  </w:footnote>
  <w:footnote w:id="69">
    <w:p w:rsidR="001F1C08" w:rsidRPr="0056321B" w:rsidRDefault="001F1C08" w:rsidP="00D63B8A">
      <w:pPr>
        <w:pStyle w:val="FootnoteText"/>
        <w:rPr>
          <w:rFonts w:cs="Arial"/>
        </w:rPr>
      </w:pPr>
      <w:r w:rsidRPr="0056321B">
        <w:rPr>
          <w:rStyle w:val="FootnoteReference"/>
          <w:rFonts w:cs="Arial"/>
          <w:vertAlign w:val="baseline"/>
        </w:rPr>
        <w:footnoteRef/>
      </w:r>
      <w:r w:rsidRPr="0056321B">
        <w:rPr>
          <w:rFonts w:cs="Arial"/>
        </w:rPr>
        <w:t>.</w:t>
      </w:r>
      <w:r w:rsidRPr="0056321B">
        <w:rPr>
          <w:rFonts w:cs="Arial"/>
        </w:rPr>
        <w:tab/>
      </w:r>
      <w:proofErr w:type="gramStart"/>
      <w:r w:rsidRPr="0056321B">
        <w:t xml:space="preserve">NSW Trustee &amp; Guardian, </w:t>
      </w:r>
      <w:r w:rsidRPr="0056321B">
        <w:rPr>
          <w:i/>
        </w:rPr>
        <w:t>Submission</w:t>
      </w:r>
      <w:r w:rsidRPr="0056321B">
        <w:rPr>
          <w:rFonts w:cs="Arial"/>
          <w:i/>
        </w:rPr>
        <w:t xml:space="preserve"> PGA50</w:t>
      </w:r>
      <w:r w:rsidRPr="0056321B">
        <w:rPr>
          <w:rFonts w:cs="Arial"/>
        </w:rPr>
        <w:t>, 11.</w:t>
      </w:r>
      <w:proofErr w:type="gramEnd"/>
    </w:p>
  </w:footnote>
  <w:footnote w:id="70">
    <w:p w:rsidR="001F1C08" w:rsidRPr="005A2594" w:rsidRDefault="001F1C08" w:rsidP="00D63B8A">
      <w:pPr>
        <w:pStyle w:val="FootnoteText"/>
        <w:rPr>
          <w:rFonts w:cs="Arial"/>
        </w:rPr>
      </w:pPr>
      <w:r w:rsidRPr="005A2594">
        <w:rPr>
          <w:rStyle w:val="FootnoteReference"/>
          <w:rFonts w:cs="Arial"/>
          <w:vertAlign w:val="baseline"/>
        </w:rPr>
        <w:footnoteRef/>
      </w:r>
      <w:r w:rsidRPr="005A2594">
        <w:rPr>
          <w:rFonts w:cs="Arial"/>
        </w:rPr>
        <w:t>.</w:t>
      </w:r>
      <w:r w:rsidRPr="005A2594">
        <w:rPr>
          <w:rFonts w:cs="Arial"/>
        </w:rPr>
        <w:tab/>
      </w:r>
      <w:r w:rsidRPr="005A2594">
        <w:t>Mental Health Coordinating Council,</w:t>
      </w:r>
      <w:r w:rsidRPr="005A2594">
        <w:rPr>
          <w:rFonts w:cs="Arial"/>
        </w:rPr>
        <w:t xml:space="preserve"> </w:t>
      </w:r>
      <w:r w:rsidRPr="005A2594">
        <w:rPr>
          <w:rFonts w:cs="Arial"/>
          <w:i/>
        </w:rPr>
        <w:t>Submission PGA08,</w:t>
      </w:r>
      <w:r w:rsidRPr="005A2594">
        <w:rPr>
          <w:rFonts w:cs="Arial"/>
        </w:rPr>
        <w:t xml:space="preserve"> 5; </w:t>
      </w:r>
      <w:r w:rsidRPr="005A2594">
        <w:t xml:space="preserve">Council on the Ageing NSW, </w:t>
      </w:r>
      <w:r w:rsidRPr="005A2594">
        <w:rPr>
          <w:i/>
        </w:rPr>
        <w:t>Submission</w:t>
      </w:r>
      <w:r w:rsidRPr="005A2594">
        <w:rPr>
          <w:rFonts w:cs="Arial"/>
          <w:i/>
        </w:rPr>
        <w:t xml:space="preserve"> PGA10</w:t>
      </w:r>
      <w:r w:rsidRPr="005A2594">
        <w:rPr>
          <w:rFonts w:cs="Arial"/>
        </w:rPr>
        <w:t xml:space="preserve">, 5; </w:t>
      </w:r>
      <w:r w:rsidRPr="005A2594">
        <w:t xml:space="preserve">NSW Council for Civil Liberties, </w:t>
      </w:r>
      <w:r w:rsidRPr="005A2594">
        <w:rPr>
          <w:i/>
        </w:rPr>
        <w:t xml:space="preserve">Submission </w:t>
      </w:r>
      <w:r w:rsidRPr="005A2594">
        <w:rPr>
          <w:rFonts w:cs="Arial"/>
          <w:i/>
        </w:rPr>
        <w:t>PGA19</w:t>
      </w:r>
      <w:r w:rsidRPr="005A2594">
        <w:rPr>
          <w:rFonts w:cs="Arial"/>
        </w:rPr>
        <w:t xml:space="preserve">, 3, 4; </w:t>
      </w:r>
      <w:r w:rsidRPr="005A2594">
        <w:t xml:space="preserve">Disability Council NSW, </w:t>
      </w:r>
      <w:r w:rsidRPr="005A2594">
        <w:rPr>
          <w:i/>
        </w:rPr>
        <w:t xml:space="preserve">Submission </w:t>
      </w:r>
      <w:r w:rsidRPr="005A2594">
        <w:rPr>
          <w:rFonts w:cs="Arial"/>
          <w:i/>
        </w:rPr>
        <w:t>PGA26</w:t>
      </w:r>
      <w:r w:rsidRPr="005A2594">
        <w:rPr>
          <w:rFonts w:cs="Arial"/>
        </w:rPr>
        <w:t xml:space="preserve">, 11-12; </w:t>
      </w:r>
      <w:r w:rsidRPr="005A2594">
        <w:t xml:space="preserve">NSW Young Lawyers, </w:t>
      </w:r>
      <w:r w:rsidRPr="005A2594">
        <w:rPr>
          <w:i/>
        </w:rPr>
        <w:t xml:space="preserve">Submission </w:t>
      </w:r>
      <w:r w:rsidRPr="005A2594">
        <w:rPr>
          <w:rFonts w:cs="Arial"/>
          <w:i/>
        </w:rPr>
        <w:t>PGA32</w:t>
      </w:r>
      <w:r w:rsidRPr="005A2594">
        <w:rPr>
          <w:rFonts w:cs="Arial"/>
        </w:rPr>
        <w:t xml:space="preserve">, [1.2]; </w:t>
      </w:r>
      <w:r w:rsidRPr="005A2594">
        <w:t xml:space="preserve">NSW Trustee &amp; Guardian, </w:t>
      </w:r>
      <w:r w:rsidRPr="005A2594">
        <w:rPr>
          <w:i/>
        </w:rPr>
        <w:t>Submission</w:t>
      </w:r>
      <w:r w:rsidRPr="005A2594">
        <w:rPr>
          <w:rFonts w:cs="Arial"/>
          <w:i/>
        </w:rPr>
        <w:t xml:space="preserve"> PGA50</w:t>
      </w:r>
      <w:r w:rsidRPr="005A2594">
        <w:rPr>
          <w:rFonts w:cs="Arial"/>
        </w:rPr>
        <w:t>, 1, 9.</w:t>
      </w:r>
    </w:p>
  </w:footnote>
  <w:footnote w:id="71">
    <w:p w:rsidR="001F1C08" w:rsidRPr="005A2594" w:rsidRDefault="001F1C08" w:rsidP="00D63B8A">
      <w:pPr>
        <w:pStyle w:val="FootnoteText"/>
        <w:rPr>
          <w:rFonts w:cs="Arial"/>
        </w:rPr>
      </w:pPr>
      <w:r w:rsidRPr="005A2594">
        <w:rPr>
          <w:rStyle w:val="FootnoteReference"/>
          <w:rFonts w:cs="Arial"/>
          <w:vertAlign w:val="baseline"/>
        </w:rPr>
        <w:footnoteRef/>
      </w:r>
      <w:r w:rsidRPr="005A2594">
        <w:rPr>
          <w:rFonts w:cs="Arial"/>
        </w:rPr>
        <w:t>.</w:t>
      </w:r>
      <w:r w:rsidRPr="005A2594">
        <w:rPr>
          <w:rFonts w:cs="Arial"/>
        </w:rPr>
        <w:tab/>
      </w:r>
      <w:r w:rsidRPr="005A2594">
        <w:t xml:space="preserve">Bridgette Pace, </w:t>
      </w:r>
      <w:r w:rsidRPr="005A2594">
        <w:rPr>
          <w:i/>
        </w:rPr>
        <w:t>Submission</w:t>
      </w:r>
      <w:r w:rsidRPr="005A2594">
        <w:rPr>
          <w:rFonts w:cs="Arial"/>
        </w:rPr>
        <w:t xml:space="preserve"> </w:t>
      </w:r>
      <w:r w:rsidRPr="005A2594">
        <w:rPr>
          <w:rFonts w:cs="Arial"/>
          <w:i/>
        </w:rPr>
        <w:t>PGA09</w:t>
      </w:r>
      <w:r w:rsidRPr="005A2594">
        <w:rPr>
          <w:rFonts w:cs="Arial"/>
        </w:rPr>
        <w:t>, 8.</w:t>
      </w:r>
    </w:p>
  </w:footnote>
  <w:footnote w:id="72">
    <w:p w:rsidR="001F1C08" w:rsidRPr="005A2594" w:rsidRDefault="001F1C08" w:rsidP="00D63B8A">
      <w:pPr>
        <w:pStyle w:val="FootnoteText"/>
        <w:rPr>
          <w:rFonts w:cs="Arial"/>
        </w:rPr>
      </w:pPr>
      <w:r w:rsidRPr="005A2594">
        <w:rPr>
          <w:rStyle w:val="FootnoteReference"/>
          <w:rFonts w:cs="Arial"/>
          <w:vertAlign w:val="baseline"/>
        </w:rPr>
        <w:footnoteRef/>
      </w:r>
      <w:r w:rsidRPr="005A2594">
        <w:rPr>
          <w:rFonts w:cs="Arial"/>
        </w:rPr>
        <w:t>.</w:t>
      </w:r>
      <w:r w:rsidRPr="005A2594">
        <w:rPr>
          <w:rFonts w:cs="Arial"/>
        </w:rPr>
        <w:tab/>
      </w:r>
      <w:r w:rsidRPr="005A2594">
        <w:t xml:space="preserve">Senior Rights Service, </w:t>
      </w:r>
      <w:r w:rsidRPr="005A2594">
        <w:rPr>
          <w:i/>
        </w:rPr>
        <w:t>Submission</w:t>
      </w:r>
      <w:r w:rsidRPr="005A2594">
        <w:t xml:space="preserve"> </w:t>
      </w:r>
      <w:r w:rsidRPr="005A2594">
        <w:rPr>
          <w:rFonts w:cs="Arial"/>
          <w:i/>
        </w:rPr>
        <w:t>PGA07</w:t>
      </w:r>
      <w:r w:rsidRPr="005A2594">
        <w:rPr>
          <w:rFonts w:cs="Arial"/>
        </w:rPr>
        <w:t xml:space="preserve">, 8; </w:t>
      </w:r>
      <w:r w:rsidRPr="005A2594">
        <w:t xml:space="preserve">Council on the Ageing NSW, </w:t>
      </w:r>
      <w:r w:rsidRPr="005A2594">
        <w:rPr>
          <w:i/>
        </w:rPr>
        <w:t>Submission</w:t>
      </w:r>
      <w:r w:rsidRPr="005A2594">
        <w:rPr>
          <w:rFonts w:cs="Arial"/>
          <w:i/>
        </w:rPr>
        <w:t xml:space="preserve"> PGA10</w:t>
      </w:r>
      <w:r w:rsidRPr="005A2594">
        <w:rPr>
          <w:rFonts w:cs="Arial"/>
        </w:rPr>
        <w:t xml:space="preserve">, 2; </w:t>
      </w:r>
      <w:r w:rsidRPr="005A2594">
        <w:t xml:space="preserve">Disability Council NSW, </w:t>
      </w:r>
      <w:r w:rsidRPr="005A2594">
        <w:rPr>
          <w:i/>
        </w:rPr>
        <w:t xml:space="preserve">Submission </w:t>
      </w:r>
      <w:r w:rsidRPr="005A2594">
        <w:rPr>
          <w:rFonts w:cs="Arial"/>
          <w:i/>
        </w:rPr>
        <w:t>PGA26</w:t>
      </w:r>
      <w:r w:rsidRPr="005A2594">
        <w:rPr>
          <w:rFonts w:cs="Arial"/>
        </w:rPr>
        <w:t xml:space="preserve">, 15; </w:t>
      </w:r>
      <w:r w:rsidRPr="005A2594">
        <w:t xml:space="preserve">Mary Lou Carter, </w:t>
      </w:r>
      <w:r w:rsidRPr="005A2594">
        <w:rPr>
          <w:i/>
        </w:rPr>
        <w:t xml:space="preserve">Submission </w:t>
      </w:r>
      <w:r w:rsidRPr="005A2594">
        <w:rPr>
          <w:rFonts w:cs="Arial"/>
          <w:i/>
        </w:rPr>
        <w:t>PGA37</w:t>
      </w:r>
      <w:r w:rsidRPr="005A2594">
        <w:rPr>
          <w:rFonts w:cs="Arial"/>
        </w:rPr>
        <w:t xml:space="preserve">, 4; </w:t>
      </w:r>
      <w:r w:rsidRPr="005A2594">
        <w:t xml:space="preserve">NSW Ombudsman Office, </w:t>
      </w:r>
      <w:r w:rsidRPr="005A2594">
        <w:rPr>
          <w:i/>
        </w:rPr>
        <w:t xml:space="preserve">Submission </w:t>
      </w:r>
      <w:r w:rsidRPr="005A2594">
        <w:rPr>
          <w:rFonts w:cs="Arial"/>
          <w:i/>
        </w:rPr>
        <w:t>PGA41</w:t>
      </w:r>
      <w:r w:rsidRPr="005A2594">
        <w:rPr>
          <w:rFonts w:cs="Arial"/>
        </w:rPr>
        <w:t xml:space="preserve">, 5; </w:t>
      </w:r>
      <w:r w:rsidRPr="005A2594">
        <w:t xml:space="preserve">Law Society of NSW, </w:t>
      </w:r>
      <w:r w:rsidRPr="005A2594">
        <w:rPr>
          <w:i/>
        </w:rPr>
        <w:t>Submission</w:t>
      </w:r>
      <w:r w:rsidRPr="005A2594">
        <w:rPr>
          <w:rFonts w:cs="Arial"/>
          <w:i/>
        </w:rPr>
        <w:t xml:space="preserve"> PGA43</w:t>
      </w:r>
      <w:r w:rsidRPr="005A2594">
        <w:rPr>
          <w:rFonts w:cs="Arial"/>
        </w:rPr>
        <w:t xml:space="preserve">, 2; </w:t>
      </w:r>
      <w:r w:rsidRPr="005A2594">
        <w:t xml:space="preserve">Intellectual Disability Rights Service, </w:t>
      </w:r>
      <w:r w:rsidRPr="005A2594">
        <w:rPr>
          <w:i/>
        </w:rPr>
        <w:t>Submission</w:t>
      </w:r>
      <w:r w:rsidRPr="005A2594">
        <w:rPr>
          <w:rFonts w:cs="Arial"/>
          <w:i/>
        </w:rPr>
        <w:t xml:space="preserve"> PGA44</w:t>
      </w:r>
      <w:r w:rsidRPr="005A2594">
        <w:rPr>
          <w:rFonts w:cs="Arial"/>
        </w:rPr>
        <w:t xml:space="preserve">, 2; </w:t>
      </w:r>
      <w:r w:rsidRPr="005A2594">
        <w:t xml:space="preserve">NSW Trustee &amp; Guardian, </w:t>
      </w:r>
      <w:r w:rsidRPr="005A2594">
        <w:rPr>
          <w:i/>
        </w:rPr>
        <w:t>Submission</w:t>
      </w:r>
      <w:r w:rsidRPr="005A2594">
        <w:rPr>
          <w:rFonts w:cs="Arial"/>
          <w:i/>
        </w:rPr>
        <w:t xml:space="preserve"> PGA50</w:t>
      </w:r>
      <w:r w:rsidRPr="005A2594">
        <w:rPr>
          <w:rFonts w:cs="Arial"/>
        </w:rPr>
        <w:t xml:space="preserve">, 2; </w:t>
      </w:r>
      <w:r w:rsidRPr="005A2594">
        <w:t xml:space="preserve">Australian Lawyers Alliance, </w:t>
      </w:r>
      <w:r w:rsidRPr="005A2594">
        <w:rPr>
          <w:i/>
        </w:rPr>
        <w:t>Submission</w:t>
      </w:r>
      <w:r w:rsidRPr="005A2594">
        <w:rPr>
          <w:rFonts w:cs="Arial"/>
          <w:i/>
        </w:rPr>
        <w:t xml:space="preserve"> PGA52</w:t>
      </w:r>
      <w:r w:rsidRPr="005A2594">
        <w:rPr>
          <w:rFonts w:cs="Arial"/>
        </w:rPr>
        <w:t>, 2.</w:t>
      </w:r>
    </w:p>
  </w:footnote>
  <w:footnote w:id="73">
    <w:p w:rsidR="001F1C08" w:rsidRPr="00F71414" w:rsidRDefault="001F1C08" w:rsidP="00D63B8A">
      <w:pPr>
        <w:pStyle w:val="FootnoteText"/>
        <w:rPr>
          <w:rFonts w:cs="Arial"/>
        </w:rPr>
      </w:pPr>
      <w:r w:rsidRPr="0056321B">
        <w:rPr>
          <w:rStyle w:val="FootnoteReference"/>
          <w:rFonts w:cs="Arial"/>
          <w:vertAlign w:val="baseline"/>
        </w:rPr>
        <w:footnoteRef/>
      </w:r>
      <w:r w:rsidRPr="0056321B">
        <w:rPr>
          <w:rFonts w:cs="Arial"/>
        </w:rPr>
        <w:t>.</w:t>
      </w:r>
      <w:r w:rsidRPr="0056321B">
        <w:rPr>
          <w:rFonts w:cs="Arial"/>
        </w:rPr>
        <w:tab/>
      </w:r>
      <w:proofErr w:type="gramStart"/>
      <w:r w:rsidRPr="00C24A69">
        <w:t>BEING</w:t>
      </w:r>
      <w:r>
        <w:t xml:space="preserve">, </w:t>
      </w:r>
      <w:r w:rsidRPr="00297189">
        <w:rPr>
          <w:i/>
        </w:rPr>
        <w:t>Submission</w:t>
      </w:r>
      <w:r w:rsidRPr="00297189">
        <w:rPr>
          <w:rFonts w:cs="Arial"/>
          <w:i/>
        </w:rPr>
        <w:t xml:space="preserve"> PGA22</w:t>
      </w:r>
      <w:r>
        <w:rPr>
          <w:rFonts w:cs="Arial"/>
        </w:rPr>
        <w:t>, 3.</w:t>
      </w:r>
      <w:proofErr w:type="gramEnd"/>
    </w:p>
  </w:footnote>
  <w:footnote w:id="74">
    <w:p w:rsidR="001F1C08" w:rsidRPr="00297189" w:rsidRDefault="001F1C08" w:rsidP="00D63B8A">
      <w:pPr>
        <w:pStyle w:val="FootnoteText"/>
        <w:rPr>
          <w:rFonts w:cs="Arial"/>
        </w:rPr>
      </w:pPr>
      <w:r w:rsidRPr="00297189">
        <w:rPr>
          <w:rStyle w:val="FootnoteReference"/>
          <w:rFonts w:cs="Arial"/>
          <w:vertAlign w:val="baseline"/>
        </w:rPr>
        <w:footnoteRef/>
      </w:r>
      <w:r>
        <w:rPr>
          <w:rFonts w:cs="Arial"/>
        </w:rPr>
        <w:t>.</w:t>
      </w:r>
      <w:r>
        <w:rPr>
          <w:rFonts w:cs="Arial"/>
        </w:rPr>
        <w:tab/>
        <w:t xml:space="preserve">See </w:t>
      </w:r>
      <w:r w:rsidRPr="00BA1505">
        <w:rPr>
          <w:i/>
          <w:shd w:val="clear" w:color="auto" w:fill="FFFFFF"/>
        </w:rPr>
        <w:t xml:space="preserve">Powers of Attorney Act 2014 </w:t>
      </w:r>
      <w:r w:rsidRPr="0030519D">
        <w:rPr>
          <w:shd w:val="clear" w:color="auto" w:fill="FFFFFF"/>
        </w:rPr>
        <w:t>(Vic)</w:t>
      </w:r>
      <w:r>
        <w:rPr>
          <w:shd w:val="clear" w:color="auto" w:fill="FFFFFF"/>
        </w:rPr>
        <w:t xml:space="preserve"> discussed further </w:t>
      </w:r>
      <w:proofErr w:type="gramStart"/>
      <w:r>
        <w:rPr>
          <w:shd w:val="clear" w:color="auto" w:fill="FFFFFF"/>
        </w:rPr>
        <w:t>below</w:t>
      </w:r>
      <w:proofErr w:type="gramEnd"/>
      <w:r>
        <w:rPr>
          <w:shd w:val="clear" w:color="auto" w:fill="FFFFFF"/>
        </w:rPr>
        <w:t>.</w:t>
      </w:r>
    </w:p>
  </w:footnote>
  <w:footnote w:id="75">
    <w:p w:rsidR="001F1C08" w:rsidRPr="00EA6550" w:rsidRDefault="001F1C08" w:rsidP="00D63B8A">
      <w:pPr>
        <w:pStyle w:val="FootnoteText"/>
        <w:rPr>
          <w:rFonts w:cs="Arial"/>
        </w:rPr>
      </w:pPr>
      <w:r w:rsidRPr="0088088C">
        <w:rPr>
          <w:rStyle w:val="FootnoteReference"/>
          <w:rFonts w:cs="Arial"/>
          <w:vertAlign w:val="baseline"/>
        </w:rPr>
        <w:footnoteRef/>
      </w:r>
      <w:r>
        <w:rPr>
          <w:rFonts w:cs="Arial"/>
        </w:rPr>
        <w:t>.</w:t>
      </w:r>
      <w:r>
        <w:rPr>
          <w:rFonts w:cs="Arial"/>
        </w:rPr>
        <w:tab/>
      </w:r>
      <w:proofErr w:type="gramStart"/>
      <w:r>
        <w:rPr>
          <w:rFonts w:cs="Arial"/>
          <w:i/>
        </w:rPr>
        <w:t xml:space="preserve">Powers of Attorney Act 2014 </w:t>
      </w:r>
      <w:r>
        <w:rPr>
          <w:rFonts w:cs="Arial"/>
        </w:rPr>
        <w:t xml:space="preserve">(Vic) s 4(2); </w:t>
      </w:r>
      <w:r>
        <w:rPr>
          <w:rFonts w:cs="Arial"/>
          <w:i/>
        </w:rPr>
        <w:t xml:space="preserve">Guardianship and Administration Act 2000 </w:t>
      </w:r>
      <w:r>
        <w:rPr>
          <w:rFonts w:cs="Arial"/>
        </w:rPr>
        <w:t xml:space="preserve">(Qld) sch 1 cl 1; </w:t>
      </w:r>
      <w:r>
        <w:rPr>
          <w:rFonts w:cs="Arial"/>
          <w:i/>
        </w:rPr>
        <w:t>Guardianship and Administration Act 1990</w:t>
      </w:r>
      <w:r>
        <w:rPr>
          <w:rFonts w:cs="Arial"/>
        </w:rPr>
        <w:t xml:space="preserve"> (WA) s 4(3).</w:t>
      </w:r>
      <w:proofErr w:type="gramEnd"/>
    </w:p>
  </w:footnote>
  <w:footnote w:id="76">
    <w:p w:rsidR="001F1C08" w:rsidRPr="00EA6550" w:rsidRDefault="001F1C08" w:rsidP="00D63B8A">
      <w:pPr>
        <w:pStyle w:val="FootnoteText"/>
        <w:rPr>
          <w:rFonts w:cs="Arial"/>
          <w:i/>
        </w:rPr>
      </w:pPr>
      <w:r w:rsidRPr="00EA6550">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A Review of Queensland’s Guardianship Laws</w:t>
      </w:r>
      <w:r>
        <w:rPr>
          <w:rFonts w:cs="Arial"/>
        </w:rPr>
        <w:t>, Report 67 (2010).</w:t>
      </w:r>
      <w:proofErr w:type="gramEnd"/>
      <w:r>
        <w:rPr>
          <w:rFonts w:cs="Arial"/>
        </w:rPr>
        <w:t xml:space="preserve"> </w:t>
      </w:r>
      <w:r>
        <w:rPr>
          <w:rFonts w:cs="Arial"/>
          <w:i/>
        </w:rPr>
        <w:t xml:space="preserve"> </w:t>
      </w:r>
    </w:p>
  </w:footnote>
  <w:footnote w:id="77">
    <w:p w:rsidR="001F1C08" w:rsidRPr="00BE3C31" w:rsidRDefault="001F1C08" w:rsidP="00D63B8A">
      <w:pPr>
        <w:pStyle w:val="FootnoteText"/>
        <w:rPr>
          <w:rFonts w:cs="Arial"/>
        </w:rPr>
      </w:pPr>
      <w:r w:rsidRPr="00BE3C31">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w:t>
      </w:r>
      <w:proofErr w:type="gramEnd"/>
    </w:p>
  </w:footnote>
  <w:footnote w:id="78">
    <w:p w:rsidR="001F1C08" w:rsidRPr="00BE3C31" w:rsidRDefault="001F1C08" w:rsidP="00D63B8A">
      <w:pPr>
        <w:pStyle w:val="FootnoteText"/>
        <w:rPr>
          <w:rFonts w:cs="Arial"/>
        </w:rPr>
      </w:pPr>
      <w:r w:rsidRPr="00BE3C31">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sidRPr="00BE3C31">
        <w:rPr>
          <w:i/>
        </w:rPr>
        <w:t>Equality, Capacity and Disability in Commonwealth Laws</w:t>
      </w:r>
      <w:r>
        <w:t>, Final Report 124 (2014).</w:t>
      </w:r>
      <w:proofErr w:type="gramEnd"/>
    </w:p>
  </w:footnote>
  <w:footnote w:id="79">
    <w:p w:rsidR="001F1C08" w:rsidRPr="009A392B" w:rsidRDefault="001F1C08" w:rsidP="00D63B8A">
      <w:pPr>
        <w:pStyle w:val="FootnoteText"/>
        <w:rPr>
          <w:rFonts w:cs="Arial"/>
        </w:rPr>
      </w:pPr>
      <w:r w:rsidRPr="009A392B">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sidRPr="009041BF">
        <w:rPr>
          <w:rFonts w:cs="Arial"/>
          <w:i/>
        </w:rPr>
        <w:t>Equality, Capacity and Disability in Commonwealth Laws</w:t>
      </w:r>
      <w:r>
        <w:rPr>
          <w:rFonts w:cs="Arial"/>
        </w:rPr>
        <w:t>, Final Report 124 (2014) Rec 3-1.</w:t>
      </w:r>
      <w:proofErr w:type="gramEnd"/>
    </w:p>
  </w:footnote>
  <w:footnote w:id="80">
    <w:p w:rsidR="001F1C08" w:rsidRPr="006C5C02" w:rsidRDefault="001F1C08">
      <w:pPr>
        <w:pStyle w:val="FootnoteText"/>
        <w:rPr>
          <w:rFonts w:cs="Arial"/>
        </w:rPr>
      </w:pPr>
      <w:r w:rsidRPr="006C5C02">
        <w:rPr>
          <w:rStyle w:val="FootnoteReference"/>
          <w:rFonts w:cs="Arial"/>
          <w:vertAlign w:val="baseline"/>
        </w:rPr>
        <w:footnoteRef/>
      </w:r>
      <w:r>
        <w:rPr>
          <w:rFonts w:cs="Arial"/>
        </w:rPr>
        <w:t>.</w:t>
      </w:r>
      <w:r>
        <w:rPr>
          <w:rFonts w:cs="Arial"/>
        </w:rPr>
        <w:tab/>
        <w:t xml:space="preserve">Commonwealth, Senate Community Affairs References Committee, </w:t>
      </w:r>
      <w:r>
        <w:rPr>
          <w:rFonts w:cs="Arial"/>
          <w:i/>
        </w:rPr>
        <w:t xml:space="preserve">Violence, Abuse and Neglect against People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Pr>
          <w:rFonts w:cs="Arial"/>
        </w:rPr>
        <w:t>Final Report (2015)</w:t>
      </w:r>
      <w:r>
        <w:rPr>
          <w:rFonts w:cs="Arial"/>
          <w:i/>
        </w:rPr>
        <w:t xml:space="preserve"> </w:t>
      </w:r>
      <w:r>
        <w:rPr>
          <w:rFonts w:cs="Arial"/>
        </w:rPr>
        <w:t xml:space="preserve"> </w:t>
      </w:r>
    </w:p>
  </w:footnote>
  <w:footnote w:id="81">
    <w:p w:rsidR="001F1C08" w:rsidRPr="00376125" w:rsidRDefault="001F1C08">
      <w:pPr>
        <w:pStyle w:val="FootnoteText"/>
        <w:rPr>
          <w:rFonts w:cs="Arial"/>
        </w:rPr>
      </w:pPr>
      <w:r w:rsidRPr="00376125">
        <w:rPr>
          <w:rStyle w:val="FootnoteReference"/>
          <w:rFonts w:cs="Arial"/>
          <w:vertAlign w:val="baseline"/>
        </w:rPr>
        <w:footnoteRef/>
      </w:r>
      <w:r>
        <w:rPr>
          <w:rFonts w:cs="Arial"/>
        </w:rPr>
        <w:t>.</w:t>
      </w:r>
      <w:r>
        <w:rPr>
          <w:rFonts w:cs="Arial"/>
        </w:rPr>
        <w:tab/>
        <w:t xml:space="preserve">Commonwealth, Senate Community Affairs References Committee, </w:t>
      </w:r>
      <w:r>
        <w:rPr>
          <w:rFonts w:cs="Arial"/>
          <w:i/>
        </w:rPr>
        <w:t xml:space="preserve">Violence, Abuse and Neglect against People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Pr>
          <w:rFonts w:cs="Arial"/>
        </w:rPr>
        <w:t>Final Report (2015)</w:t>
      </w:r>
      <w:r>
        <w:rPr>
          <w:rFonts w:cs="Arial"/>
          <w:i/>
        </w:rPr>
        <w:t xml:space="preserve"> </w:t>
      </w:r>
      <w:r>
        <w:rPr>
          <w:rFonts w:cs="Arial"/>
        </w:rPr>
        <w:t>Rec 10.</w:t>
      </w:r>
    </w:p>
  </w:footnote>
  <w:footnote w:id="82">
    <w:p w:rsidR="001F1C08" w:rsidRPr="00FA6237" w:rsidRDefault="001F1C08" w:rsidP="00D63B8A">
      <w:pPr>
        <w:pStyle w:val="FootnoteText"/>
        <w:rPr>
          <w:rFonts w:cs="Arial"/>
        </w:rPr>
      </w:pPr>
      <w:r w:rsidRPr="00FA6237">
        <w:rPr>
          <w:rStyle w:val="FootnoteReference"/>
          <w:rFonts w:cs="Arial"/>
          <w:vertAlign w:val="baseline"/>
        </w:rPr>
        <w:footnoteRef/>
      </w:r>
      <w:r>
        <w:rPr>
          <w:rFonts w:cs="Arial"/>
        </w:rPr>
        <w:t>.</w:t>
      </w:r>
      <w:r>
        <w:rPr>
          <w:rFonts w:cs="Arial"/>
        </w:rPr>
        <w:tab/>
      </w:r>
      <w:r>
        <w:rPr>
          <w:rFonts w:cs="Arial"/>
          <w:i/>
        </w:rPr>
        <w:t xml:space="preserve">Adult Guardianship and Trusteeship Act, </w:t>
      </w:r>
      <w:r>
        <w:rPr>
          <w:rFonts w:cs="Arial"/>
        </w:rPr>
        <w:t xml:space="preserve">SA </w:t>
      </w:r>
      <w:r w:rsidRPr="002D3F2C">
        <w:rPr>
          <w:rFonts w:cs="Arial"/>
        </w:rPr>
        <w:t>2008</w:t>
      </w:r>
      <w:r>
        <w:rPr>
          <w:rFonts w:cs="Arial"/>
        </w:rPr>
        <w:t xml:space="preserve"> (Can).</w:t>
      </w:r>
    </w:p>
  </w:footnote>
  <w:footnote w:id="83">
    <w:p w:rsidR="001F1C08" w:rsidRPr="00A43F8D" w:rsidRDefault="001F1C08" w:rsidP="00D63B8A">
      <w:pPr>
        <w:pStyle w:val="FootnoteText"/>
        <w:rPr>
          <w:rFonts w:cs="Arial"/>
        </w:rPr>
      </w:pPr>
      <w:r w:rsidRPr="00A43F8D">
        <w:rPr>
          <w:rStyle w:val="FootnoteReference"/>
          <w:rFonts w:cs="Arial"/>
          <w:vertAlign w:val="baseline"/>
        </w:rPr>
        <w:footnoteRef/>
      </w:r>
      <w:r>
        <w:rPr>
          <w:rFonts w:cs="Arial"/>
        </w:rPr>
        <w:t>.</w:t>
      </w:r>
      <w:r>
        <w:rPr>
          <w:rFonts w:cs="Arial"/>
        </w:rPr>
        <w:tab/>
      </w:r>
      <w:r>
        <w:rPr>
          <w:rFonts w:cs="Arial"/>
          <w:i/>
        </w:rPr>
        <w:t xml:space="preserve">Adult Guardianship and Co-decision-making Act, </w:t>
      </w:r>
      <w:r>
        <w:rPr>
          <w:rFonts w:cs="Arial"/>
        </w:rPr>
        <w:t>SS 2000 (Can).</w:t>
      </w:r>
    </w:p>
  </w:footnote>
  <w:footnote w:id="84">
    <w:p w:rsidR="001F1C08" w:rsidRPr="00FA6237" w:rsidRDefault="001F1C08" w:rsidP="00D63B8A">
      <w:pPr>
        <w:pStyle w:val="FootnoteText"/>
        <w:rPr>
          <w:rFonts w:cs="Arial"/>
        </w:rPr>
      </w:pPr>
      <w:r w:rsidRPr="00FA6237">
        <w:rPr>
          <w:rStyle w:val="FootnoteReference"/>
          <w:rFonts w:cs="Arial"/>
          <w:vertAlign w:val="baseline"/>
        </w:rPr>
        <w:footnoteRef/>
      </w:r>
      <w:r>
        <w:rPr>
          <w:rFonts w:cs="Arial"/>
        </w:rPr>
        <w:t>.</w:t>
      </w:r>
      <w:r>
        <w:rPr>
          <w:rFonts w:cs="Arial"/>
        </w:rPr>
        <w:tab/>
      </w:r>
      <w:r w:rsidRPr="00FA6237">
        <w:rPr>
          <w:rFonts w:cs="Arial"/>
          <w:i/>
        </w:rPr>
        <w:t>Representation Agreement Act</w:t>
      </w:r>
      <w:r>
        <w:rPr>
          <w:rFonts w:cs="Arial"/>
          <w:i/>
        </w:rPr>
        <w:t>,</w:t>
      </w:r>
      <w:r>
        <w:rPr>
          <w:rFonts w:cs="Arial"/>
        </w:rPr>
        <w:t xml:space="preserve"> RSBC 1996 (Can).</w:t>
      </w:r>
    </w:p>
  </w:footnote>
  <w:footnote w:id="85">
    <w:p w:rsidR="001F1C08" w:rsidRPr="000041B9" w:rsidRDefault="001F1C08" w:rsidP="00D63B8A">
      <w:pPr>
        <w:pStyle w:val="FootnoteText"/>
        <w:rPr>
          <w:rFonts w:cs="Arial"/>
        </w:rPr>
      </w:pPr>
      <w:r w:rsidRPr="000041B9">
        <w:rPr>
          <w:rStyle w:val="FootnoteReference"/>
          <w:rFonts w:cs="Arial"/>
          <w:vertAlign w:val="baseline"/>
        </w:rPr>
        <w:footnoteRef/>
      </w:r>
      <w:r>
        <w:rPr>
          <w:rFonts w:cs="Arial"/>
        </w:rPr>
        <w:t>.</w:t>
      </w:r>
      <w:r>
        <w:rPr>
          <w:rFonts w:cs="Arial"/>
        </w:rPr>
        <w:tab/>
      </w:r>
      <w:proofErr w:type="gramStart"/>
      <w:r w:rsidRPr="009041BF">
        <w:rPr>
          <w:rFonts w:cs="Arial"/>
          <w:i/>
        </w:rPr>
        <w:t>Mental Capacity Act 2005</w:t>
      </w:r>
      <w:r>
        <w:rPr>
          <w:rFonts w:cs="Arial"/>
        </w:rPr>
        <w:t xml:space="preserve"> (UK) s 1.</w:t>
      </w:r>
      <w:proofErr w:type="gramEnd"/>
    </w:p>
  </w:footnote>
  <w:footnote w:id="86">
    <w:p w:rsidR="001F1C08" w:rsidRPr="00C95A32" w:rsidRDefault="001F1C08" w:rsidP="00D63B8A">
      <w:pPr>
        <w:pStyle w:val="FootnoteText"/>
        <w:rPr>
          <w:rFonts w:cs="Arial"/>
        </w:rPr>
      </w:pPr>
      <w:r w:rsidRPr="00C95A32">
        <w:rPr>
          <w:rStyle w:val="FootnoteReference"/>
          <w:rFonts w:cs="Arial"/>
          <w:vertAlign w:val="baseline"/>
        </w:rPr>
        <w:footnoteRef/>
      </w:r>
      <w:r>
        <w:rPr>
          <w:rFonts w:cs="Arial"/>
        </w:rPr>
        <w:t>.</w:t>
      </w:r>
      <w:r>
        <w:rPr>
          <w:rFonts w:cs="Arial"/>
        </w:rPr>
        <w:tab/>
      </w:r>
      <w:proofErr w:type="gramStart"/>
      <w:r w:rsidRPr="00BA1505">
        <w:rPr>
          <w:i/>
        </w:rPr>
        <w:t>Assisted Decision-Making (Capacity) Act 2015</w:t>
      </w:r>
      <w:r>
        <w:t xml:space="preserve"> (</w:t>
      </w:r>
      <w:proofErr w:type="spellStart"/>
      <w:r>
        <w:t>Eir</w:t>
      </w:r>
      <w:proofErr w:type="spellEnd"/>
      <w:r>
        <w:t>) s 3(6).</w:t>
      </w:r>
      <w:proofErr w:type="gramEnd"/>
    </w:p>
  </w:footnote>
  <w:footnote w:id="87">
    <w:p w:rsidR="001F1C08" w:rsidRPr="00C95A32" w:rsidRDefault="001F1C08" w:rsidP="00D63B8A">
      <w:pPr>
        <w:pStyle w:val="FootnoteText"/>
        <w:rPr>
          <w:rFonts w:cs="Arial"/>
        </w:rPr>
      </w:pPr>
      <w:r w:rsidRPr="00C95A32">
        <w:rPr>
          <w:rStyle w:val="FootnoteReference"/>
          <w:rFonts w:cs="Arial"/>
          <w:vertAlign w:val="baseline"/>
        </w:rPr>
        <w:footnoteRef/>
      </w:r>
      <w:r>
        <w:rPr>
          <w:rFonts w:cs="Arial"/>
        </w:rPr>
        <w:t>.</w:t>
      </w:r>
      <w:r>
        <w:rPr>
          <w:rFonts w:cs="Arial"/>
        </w:rPr>
        <w:tab/>
      </w:r>
      <w:proofErr w:type="gramStart"/>
      <w:r w:rsidRPr="00BA1505">
        <w:rPr>
          <w:i/>
        </w:rPr>
        <w:t>Assisted Decision-Making (Capacity) Act 2015</w:t>
      </w:r>
      <w:r>
        <w:t xml:space="preserve"> (</w:t>
      </w:r>
      <w:proofErr w:type="spellStart"/>
      <w:r>
        <w:t>Eir</w:t>
      </w:r>
      <w:proofErr w:type="spellEnd"/>
      <w:r>
        <w:t>) s 3(5).</w:t>
      </w:r>
      <w:proofErr w:type="gramEnd"/>
    </w:p>
  </w:footnote>
  <w:footnote w:id="88">
    <w:p w:rsidR="001F1C08" w:rsidRPr="00BA1505" w:rsidRDefault="001F1C08" w:rsidP="00D63B8A">
      <w:pPr>
        <w:pStyle w:val="FootnoteText"/>
        <w:rPr>
          <w:rFonts w:cs="Arial"/>
        </w:rPr>
      </w:pPr>
      <w:r w:rsidRPr="00BA1505">
        <w:rPr>
          <w:rStyle w:val="FootnoteReference"/>
          <w:rFonts w:cs="Arial"/>
          <w:vertAlign w:val="baseline"/>
        </w:rPr>
        <w:footnoteRef/>
      </w:r>
      <w:r>
        <w:rPr>
          <w:rFonts w:cs="Arial"/>
        </w:rPr>
        <w:t>.</w:t>
      </w:r>
      <w:r>
        <w:rPr>
          <w:rFonts w:cs="Arial"/>
        </w:rPr>
        <w:tab/>
      </w:r>
      <w:proofErr w:type="gramStart"/>
      <w:r w:rsidRPr="00BA1505">
        <w:rPr>
          <w:i/>
        </w:rPr>
        <w:t>Assisted Decision-Making (Capacity) Act 2015</w:t>
      </w:r>
      <w:r>
        <w:t xml:space="preserve"> (</w:t>
      </w:r>
      <w:proofErr w:type="spellStart"/>
      <w:r>
        <w:t>Eir</w:t>
      </w:r>
      <w:proofErr w:type="spellEnd"/>
      <w:r>
        <w:t xml:space="preserve">) </w:t>
      </w:r>
      <w:proofErr w:type="spellStart"/>
      <w:r>
        <w:t>pt</w:t>
      </w:r>
      <w:proofErr w:type="spellEnd"/>
      <w:r>
        <w:t xml:space="preserve"> 3, </w:t>
      </w:r>
      <w:proofErr w:type="spellStart"/>
      <w:r>
        <w:t>pt</w:t>
      </w:r>
      <w:proofErr w:type="spellEnd"/>
      <w:r>
        <w:t xml:space="preserve"> 4 and </w:t>
      </w:r>
      <w:proofErr w:type="spellStart"/>
      <w:r>
        <w:t>pt</w:t>
      </w:r>
      <w:proofErr w:type="spellEnd"/>
      <w:r>
        <w:t xml:space="preserve"> 5 </w:t>
      </w:r>
      <w:proofErr w:type="spellStart"/>
      <w:r>
        <w:t>ch</w:t>
      </w:r>
      <w:proofErr w:type="spellEnd"/>
      <w:r>
        <w:t> 4.</w:t>
      </w:r>
      <w:proofErr w:type="gramEnd"/>
    </w:p>
  </w:footnote>
  <w:footnote w:id="89">
    <w:p w:rsidR="001F1C08" w:rsidRPr="002B5A2B" w:rsidRDefault="001F1C08" w:rsidP="00D63B8A">
      <w:pPr>
        <w:pStyle w:val="FootnoteText"/>
        <w:rPr>
          <w:rFonts w:cs="Arial"/>
        </w:rPr>
      </w:pPr>
      <w:r w:rsidRPr="002B5A2B">
        <w:rPr>
          <w:rStyle w:val="FootnoteReference"/>
          <w:rFonts w:cs="Arial"/>
          <w:vertAlign w:val="baseline"/>
        </w:rPr>
        <w:footnoteRef/>
      </w:r>
      <w:r>
        <w:rPr>
          <w:rFonts w:cs="Arial"/>
        </w:rPr>
        <w:t>.</w:t>
      </w:r>
      <w:r>
        <w:rPr>
          <w:rFonts w:cs="Arial"/>
        </w:rPr>
        <w:tab/>
      </w:r>
      <w:proofErr w:type="gramStart"/>
      <w:r>
        <w:rPr>
          <w:rFonts w:cs="Arial"/>
        </w:rPr>
        <w:t>For example, the Supported Decision Making Project conducted by the South Australian Office of the Public Advocate between 2010 and 2012; the South Australian Office of Health and Community Services Complaints Commissioner’s project to train and mentor disability service workers to implement the model trialled by the Office of the Public Advocate; the ACT Supported Decision Making Research Project conducted in the lead up to the launch of the NDIS; and the Supported Decision Making trial overseen by the Office of the Public Advocate in Victoria that concluded in June 2015.</w:t>
      </w:r>
      <w:proofErr w:type="gramEnd"/>
      <w:r>
        <w:rPr>
          <w:rFonts w:cs="Arial"/>
        </w:rPr>
        <w:t xml:space="preserve"> </w:t>
      </w:r>
    </w:p>
  </w:footnote>
  <w:footnote w:id="90">
    <w:p w:rsidR="001F1C08" w:rsidRPr="00063477" w:rsidRDefault="001F1C08" w:rsidP="00D63B8A">
      <w:pPr>
        <w:pStyle w:val="FootnoteText"/>
        <w:rPr>
          <w:rFonts w:cs="Arial"/>
        </w:rPr>
      </w:pPr>
      <w:r w:rsidRPr="00063477">
        <w:rPr>
          <w:rStyle w:val="FootnoteReference"/>
          <w:rFonts w:cs="Arial"/>
          <w:vertAlign w:val="baseline"/>
        </w:rPr>
        <w:footnoteRef/>
      </w:r>
      <w:r>
        <w:rPr>
          <w:rFonts w:cs="Arial"/>
        </w:rPr>
        <w:t>.</w:t>
      </w:r>
      <w:r>
        <w:rPr>
          <w:rFonts w:cs="Arial"/>
        </w:rPr>
        <w:tab/>
      </w:r>
      <w:proofErr w:type="gramStart"/>
      <w:r>
        <w:rPr>
          <w:rFonts w:cs="Arial"/>
        </w:rPr>
        <w:t xml:space="preserve">NSW Family and Community Services, </w:t>
      </w:r>
      <w:r w:rsidRPr="009041BF">
        <w:rPr>
          <w:rFonts w:cs="Arial"/>
          <w:i/>
        </w:rPr>
        <w:t>Supported Decision Making</w:t>
      </w:r>
      <w:r>
        <w:rPr>
          <w:rFonts w:cs="Arial"/>
        </w:rPr>
        <w:t xml:space="preserve"> </w:t>
      </w:r>
      <w:r>
        <w:t>&lt;</w:t>
      </w:r>
      <w:r w:rsidRPr="00C31298">
        <w:rPr>
          <w:rFonts w:cs="Arial"/>
        </w:rPr>
        <w:t>http://www.adhc.nsw.gov.au/individuals/inclusion_and_participation/supported-decision-making</w:t>
      </w:r>
      <w:r>
        <w:rPr>
          <w:rFonts w:cs="Arial"/>
        </w:rPr>
        <w:t>/&gt;.</w:t>
      </w:r>
      <w:proofErr w:type="gramEnd"/>
    </w:p>
  </w:footnote>
  <w:footnote w:id="91">
    <w:p w:rsidR="001F1C08" w:rsidRPr="00063477" w:rsidRDefault="001F1C08" w:rsidP="00D63B8A">
      <w:pPr>
        <w:pStyle w:val="FootnoteText"/>
        <w:rPr>
          <w:rFonts w:cs="Arial"/>
        </w:rPr>
      </w:pPr>
      <w:r w:rsidRPr="00063477">
        <w:rPr>
          <w:rStyle w:val="FootnoteReference"/>
          <w:rFonts w:cs="Arial"/>
          <w:vertAlign w:val="baseline"/>
        </w:rPr>
        <w:footnoteRef/>
      </w:r>
      <w:r>
        <w:rPr>
          <w:rFonts w:cs="Arial"/>
        </w:rPr>
        <w:t>.</w:t>
      </w:r>
      <w:r>
        <w:rPr>
          <w:rFonts w:cs="Arial"/>
        </w:rPr>
        <w:tab/>
      </w:r>
      <w:proofErr w:type="gramStart"/>
      <w:r>
        <w:rPr>
          <w:rFonts w:cs="Arial"/>
        </w:rPr>
        <w:t xml:space="preserve">NSW Family and Community Services, </w:t>
      </w:r>
      <w:r w:rsidRPr="009041BF">
        <w:rPr>
          <w:rFonts w:cs="Arial"/>
          <w:i/>
        </w:rPr>
        <w:t>Supported Decision Making Projects</w:t>
      </w:r>
      <w:r>
        <w:rPr>
          <w:rFonts w:cs="Arial"/>
          <w:i/>
        </w:rPr>
        <w:t xml:space="preserve"> &lt;</w:t>
      </w:r>
      <w:hyperlink r:id="rId1" w:history="1">
        <w:r w:rsidRPr="008D7BA8">
          <w:rPr>
            <w:rStyle w:val="Hyperlink"/>
            <w:rFonts w:cs="Arial"/>
          </w:rPr>
          <w:t>http://www</w:t>
        </w:r>
      </w:hyperlink>
      <w:r w:rsidRPr="00063477">
        <w:rPr>
          <w:rFonts w:cs="Arial"/>
        </w:rPr>
        <w:t>.</w:t>
      </w:r>
      <w:proofErr w:type="gramEnd"/>
      <w:r>
        <w:rPr>
          <w:rFonts w:cs="Arial"/>
        </w:rPr>
        <w:t xml:space="preserve"> </w:t>
      </w:r>
      <w:r w:rsidRPr="00063477">
        <w:rPr>
          <w:rFonts w:cs="Arial"/>
        </w:rPr>
        <w:t>adhc.nsw.gov.au/individuals/inclusion_and_participation/supported-decision-making/sdm-projects</w:t>
      </w:r>
      <w:r>
        <w:rPr>
          <w:rFonts w:cs="Arial"/>
        </w:rPr>
        <w:t>/&gt;</w:t>
      </w:r>
    </w:p>
  </w:footnote>
  <w:footnote w:id="92">
    <w:p w:rsidR="001F1C08" w:rsidRPr="003E2608" w:rsidRDefault="001F1C08" w:rsidP="00D63B8A">
      <w:pPr>
        <w:pStyle w:val="FootnoteText"/>
        <w:rPr>
          <w:rFonts w:cs="Arial"/>
        </w:rPr>
      </w:pPr>
      <w:r w:rsidRPr="009B6C0C">
        <w:rPr>
          <w:rStyle w:val="FootnoteReference"/>
          <w:rFonts w:cs="Arial"/>
          <w:vertAlign w:val="baseline"/>
        </w:rPr>
        <w:footnoteRef/>
      </w:r>
      <w:r>
        <w:rPr>
          <w:rFonts w:cs="Arial"/>
        </w:rPr>
        <w:t>.</w:t>
      </w:r>
      <w:r>
        <w:rPr>
          <w:rFonts w:cs="Arial"/>
        </w:rPr>
        <w:tab/>
      </w:r>
      <w:r w:rsidRPr="0060174C">
        <w:rPr>
          <w:rFonts w:cs="Arial"/>
        </w:rPr>
        <w:t xml:space="preserve">NSW Public Guardian, </w:t>
      </w:r>
      <w:r w:rsidRPr="0060174C">
        <w:rPr>
          <w:rFonts w:cs="Arial"/>
          <w:i/>
        </w:rPr>
        <w:t>Decision Making Guideline</w:t>
      </w:r>
      <w:r w:rsidRPr="0060174C">
        <w:rPr>
          <w:rFonts w:cs="Arial"/>
        </w:rPr>
        <w:t>, 2015.</w:t>
      </w:r>
    </w:p>
  </w:footnote>
  <w:footnote w:id="93">
    <w:p w:rsidR="001F1C08" w:rsidRPr="00901522" w:rsidRDefault="001F1C08" w:rsidP="00D63B8A">
      <w:pPr>
        <w:pStyle w:val="FootnoteText"/>
        <w:rPr>
          <w:rFonts w:cs="Arial"/>
        </w:rPr>
      </w:pPr>
      <w:r w:rsidRPr="00901522">
        <w:rPr>
          <w:rStyle w:val="FootnoteReference"/>
          <w:rFonts w:cs="Arial"/>
          <w:vertAlign w:val="baseline"/>
        </w:rPr>
        <w:footnoteRef/>
      </w:r>
      <w:r>
        <w:rPr>
          <w:rFonts w:cs="Arial"/>
        </w:rPr>
        <w:t>.</w:t>
      </w:r>
      <w:r>
        <w:rPr>
          <w:rFonts w:cs="Arial"/>
        </w:rPr>
        <w:tab/>
        <w:t xml:space="preserve">Australia, National Disability Insurance Agency, </w:t>
      </w:r>
      <w:r w:rsidRPr="009041BF">
        <w:rPr>
          <w:rFonts w:cs="Arial"/>
          <w:i/>
        </w:rPr>
        <w:t>Our Sites</w:t>
      </w:r>
      <w:r>
        <w:rPr>
          <w:rFonts w:cs="Arial"/>
        </w:rPr>
        <w:t xml:space="preserve"> &lt;</w:t>
      </w:r>
      <w:r w:rsidRPr="00901522">
        <w:rPr>
          <w:rFonts w:cs="Arial"/>
        </w:rPr>
        <w:t>http://www.ndis.gov.au/about-us/our-sites</w:t>
      </w:r>
      <w:r>
        <w:rPr>
          <w:rFonts w:cs="Arial"/>
        </w:rPr>
        <w:t>/&gt;</w:t>
      </w:r>
    </w:p>
  </w:footnote>
  <w:footnote w:id="94">
    <w:p w:rsidR="001F1C08" w:rsidRPr="00493D04" w:rsidRDefault="001F1C08" w:rsidP="00D63B8A">
      <w:pPr>
        <w:pStyle w:val="FootnoteText"/>
        <w:rPr>
          <w:rFonts w:cs="Arial"/>
        </w:rPr>
      </w:pPr>
      <w:r w:rsidRPr="00493D04">
        <w:rPr>
          <w:rStyle w:val="FootnoteReference"/>
          <w:rFonts w:cs="Arial"/>
          <w:vertAlign w:val="baseline"/>
        </w:rPr>
        <w:footnoteRef/>
      </w:r>
      <w:r>
        <w:rPr>
          <w:rFonts w:cs="Arial"/>
        </w:rPr>
        <w:t>.</w:t>
      </w:r>
      <w:r>
        <w:rPr>
          <w:rFonts w:cs="Arial"/>
        </w:rPr>
        <w:tab/>
        <w:t xml:space="preserve">Australia, Disability Reform Council, </w:t>
      </w:r>
      <w:r w:rsidRPr="00EC3BF7">
        <w:rPr>
          <w:rFonts w:cs="Arial"/>
          <w:i/>
        </w:rPr>
        <w:t xml:space="preserve">Consultation Paper: Proposal for a National Disability Insurance </w:t>
      </w:r>
      <w:r>
        <w:rPr>
          <w:rFonts w:cs="Arial"/>
          <w:i/>
        </w:rPr>
        <w:t>S</w:t>
      </w:r>
      <w:r w:rsidRPr="00EC3BF7">
        <w:rPr>
          <w:rFonts w:cs="Arial"/>
          <w:i/>
        </w:rPr>
        <w:t>cheme Quality and Safeguarding Framework</w:t>
      </w:r>
      <w:r>
        <w:rPr>
          <w:rFonts w:cs="Arial"/>
        </w:rPr>
        <w:t xml:space="preserve"> (2015) </w:t>
      </w:r>
      <w:proofErr w:type="gramStart"/>
      <w:r>
        <w:rPr>
          <w:rFonts w:cs="Arial"/>
        </w:rPr>
        <w:t>3</w:t>
      </w:r>
      <w:proofErr w:type="gramEnd"/>
      <w:r>
        <w:rPr>
          <w:rFonts w:cs="Arial"/>
        </w:rPr>
        <w:t>.</w:t>
      </w:r>
    </w:p>
  </w:footnote>
  <w:footnote w:id="95">
    <w:p w:rsidR="001F1C08" w:rsidRPr="00EC3BF7" w:rsidRDefault="001F1C08" w:rsidP="00D63B8A">
      <w:pPr>
        <w:pStyle w:val="FootnoteText"/>
        <w:rPr>
          <w:rFonts w:cs="Arial"/>
          <w:highlight w:val="yellow"/>
        </w:rPr>
      </w:pPr>
      <w:r w:rsidRPr="00BE7E4E">
        <w:rPr>
          <w:rStyle w:val="FootnoteReference"/>
          <w:rFonts w:cs="Arial"/>
          <w:vertAlign w:val="baseline"/>
        </w:rPr>
        <w:footnoteRef/>
      </w:r>
      <w:r>
        <w:rPr>
          <w:rFonts w:cs="Arial"/>
        </w:rPr>
        <w:t>.</w:t>
      </w:r>
      <w:r>
        <w:rPr>
          <w:rFonts w:cs="Arial"/>
        </w:rPr>
        <w:tab/>
      </w:r>
      <w:proofErr w:type="gramStart"/>
      <w:r w:rsidRPr="00BE07D5">
        <w:t xml:space="preserve">Mental Health Review </w:t>
      </w:r>
      <w:r w:rsidRPr="00BB2C8E">
        <w:t xml:space="preserve">Tribunal, </w:t>
      </w:r>
      <w:r w:rsidRPr="00BB2C8E">
        <w:rPr>
          <w:i/>
        </w:rPr>
        <w:t>Submission</w:t>
      </w:r>
      <w:r w:rsidRPr="00BB2C8E">
        <w:rPr>
          <w:rFonts w:cs="Arial"/>
          <w:i/>
        </w:rPr>
        <w:t xml:space="preserve"> PGA21</w:t>
      </w:r>
      <w:r w:rsidRPr="00BB2C8E">
        <w:rPr>
          <w:rFonts w:cs="Arial"/>
        </w:rPr>
        <w:t>, 2</w:t>
      </w:r>
      <w:r>
        <w:rPr>
          <w:rFonts w:cs="Arial"/>
        </w:rPr>
        <w:t>.</w:t>
      </w:r>
      <w:proofErr w:type="gramEnd"/>
    </w:p>
  </w:footnote>
  <w:footnote w:id="96">
    <w:p w:rsidR="001F1C08" w:rsidRPr="003E2608" w:rsidRDefault="001F1C08" w:rsidP="00D63B8A">
      <w:pPr>
        <w:pStyle w:val="FootnoteText"/>
        <w:rPr>
          <w:rFonts w:cs="Arial"/>
        </w:rPr>
      </w:pPr>
      <w:r w:rsidRPr="003E2608">
        <w:rPr>
          <w:rStyle w:val="FootnoteReference"/>
          <w:rFonts w:cs="Arial"/>
          <w:vertAlign w:val="baseline"/>
        </w:rPr>
        <w:footnoteRef/>
      </w:r>
      <w:r>
        <w:rPr>
          <w:rFonts w:cs="Arial"/>
        </w:rPr>
        <w:t>.</w:t>
      </w:r>
      <w:r>
        <w:rPr>
          <w:rFonts w:cs="Arial"/>
        </w:rPr>
        <w:tab/>
      </w:r>
      <w:proofErr w:type="gramStart"/>
      <w:r>
        <w:t xml:space="preserve">NSW Civil and Administrative Tribunal, </w:t>
      </w:r>
      <w:r w:rsidRPr="009041BF">
        <w:rPr>
          <w:i/>
        </w:rPr>
        <w:t>NCAT</w:t>
      </w:r>
      <w:r>
        <w:t xml:space="preserve"> </w:t>
      </w:r>
      <w:r w:rsidRPr="00B769DB">
        <w:rPr>
          <w:i/>
        </w:rPr>
        <w:t>Annual Report</w:t>
      </w:r>
      <w:r>
        <w:t>, 2014-2015 (c2015) 39.</w:t>
      </w:r>
      <w:proofErr w:type="gramEnd"/>
    </w:p>
  </w:footnote>
  <w:footnote w:id="97">
    <w:p w:rsidR="001F1C08" w:rsidRPr="00711C3B" w:rsidRDefault="001F1C08" w:rsidP="00D63B8A">
      <w:pPr>
        <w:pStyle w:val="FootnoteText"/>
        <w:rPr>
          <w:rFonts w:cs="Arial"/>
        </w:rPr>
      </w:pPr>
      <w:r w:rsidRPr="00711C3B">
        <w:rPr>
          <w:rStyle w:val="FootnoteReference"/>
          <w:rFonts w:cs="Arial"/>
          <w:vertAlign w:val="baseline"/>
        </w:rPr>
        <w:footnoteRef/>
      </w:r>
      <w:r>
        <w:rPr>
          <w:rFonts w:cs="Arial"/>
        </w:rPr>
        <w:t>.</w:t>
      </w:r>
      <w:r>
        <w:rPr>
          <w:rFonts w:cs="Arial"/>
        </w:rPr>
        <w:tab/>
      </w:r>
      <w:r w:rsidRPr="0030519D">
        <w:t>Australian Guardianship a</w:t>
      </w:r>
      <w:r>
        <w:t xml:space="preserve">nd Administration Council, AGAC, </w:t>
      </w:r>
      <w:r w:rsidRPr="009041BF">
        <w:rPr>
          <w:i/>
        </w:rPr>
        <w:t>Submission 51</w:t>
      </w:r>
      <w:r>
        <w:t xml:space="preserve"> quoted in Australian Law Reform Commission, </w:t>
      </w:r>
      <w:r w:rsidRPr="00DC5BE5">
        <w:rPr>
          <w:i/>
        </w:rPr>
        <w:t>Equality, Capacity and Disability in Commonwealth Laws</w:t>
      </w:r>
      <w:r>
        <w:t>, Final Report 124 (2014) [5.90].</w:t>
      </w:r>
    </w:p>
  </w:footnote>
  <w:footnote w:id="98">
    <w:p w:rsidR="001F1C08" w:rsidRPr="00BB2C8E" w:rsidRDefault="001F1C08" w:rsidP="00D63B8A">
      <w:pPr>
        <w:pStyle w:val="FootnoteText"/>
        <w:rPr>
          <w:rFonts w:cs="Arial"/>
          <w:i/>
        </w:rPr>
      </w:pPr>
      <w:r w:rsidRPr="00BB2C8E">
        <w:rPr>
          <w:rStyle w:val="FootnoteReference"/>
          <w:rFonts w:cs="Arial"/>
          <w:vertAlign w:val="baseline"/>
        </w:rPr>
        <w:footnoteRef/>
      </w:r>
      <w:r w:rsidRPr="00BB2C8E">
        <w:rPr>
          <w:rFonts w:cs="Arial"/>
        </w:rPr>
        <w:t>.</w:t>
      </w:r>
      <w:r w:rsidRPr="00BB2C8E">
        <w:rPr>
          <w:rFonts w:cs="Arial"/>
        </w:rPr>
        <w:tab/>
        <w:t>See</w:t>
      </w:r>
      <w:r>
        <w:rPr>
          <w:rFonts w:cs="Arial"/>
        </w:rPr>
        <w:t>,</w:t>
      </w:r>
      <w:r w:rsidRPr="00BB2C8E">
        <w:rPr>
          <w:rFonts w:cs="Arial"/>
        </w:rPr>
        <w:t xml:space="preserve"> for example</w:t>
      </w:r>
      <w:r>
        <w:rPr>
          <w:rFonts w:cs="Arial"/>
        </w:rPr>
        <w:t>,</w:t>
      </w:r>
      <w:r w:rsidRPr="00BB2C8E">
        <w:rPr>
          <w:rFonts w:cs="Arial"/>
        </w:rPr>
        <w:t xml:space="preserve"> </w:t>
      </w:r>
      <w:r>
        <w:rPr>
          <w:rFonts w:cs="Arial"/>
        </w:rPr>
        <w:t xml:space="preserve">the discussion in </w:t>
      </w:r>
      <w:r w:rsidRPr="00BB2C8E">
        <w:rPr>
          <w:rFonts w:cs="Arial"/>
          <w:i/>
        </w:rPr>
        <w:t xml:space="preserve">KCG </w:t>
      </w:r>
      <w:r w:rsidRPr="00931856">
        <w:rPr>
          <w:rFonts w:cs="Arial"/>
        </w:rPr>
        <w:t>[2014] NSWCATGD</w:t>
      </w:r>
      <w:r w:rsidRPr="00BB2C8E">
        <w:rPr>
          <w:rFonts w:cs="Arial"/>
          <w:i/>
        </w:rPr>
        <w:t xml:space="preserve"> 7</w:t>
      </w:r>
      <w:r>
        <w:rPr>
          <w:rFonts w:cs="Arial"/>
          <w:i/>
        </w:rPr>
        <w:t>.</w:t>
      </w:r>
    </w:p>
  </w:footnote>
  <w:footnote w:id="99">
    <w:p w:rsidR="001F1C08" w:rsidRPr="00BB2C8E" w:rsidRDefault="001F1C08" w:rsidP="00D63B8A">
      <w:pPr>
        <w:pStyle w:val="FootnoteText"/>
        <w:rPr>
          <w:rFonts w:cs="Arial"/>
        </w:rPr>
      </w:pPr>
      <w:r w:rsidRPr="00BB2C8E">
        <w:rPr>
          <w:rStyle w:val="FootnoteReference"/>
          <w:rFonts w:cs="Arial"/>
          <w:vertAlign w:val="baseline"/>
        </w:rPr>
        <w:footnoteRef/>
      </w:r>
      <w:r w:rsidRPr="00BB2C8E">
        <w:rPr>
          <w:rFonts w:cs="Arial"/>
        </w:rPr>
        <w:t>.</w:t>
      </w:r>
      <w:r w:rsidRPr="00BB2C8E">
        <w:rPr>
          <w:rFonts w:cs="Arial"/>
        </w:rPr>
        <w:tab/>
      </w:r>
      <w:r w:rsidRPr="00BE07D5">
        <w:t>NSW Council for Intellectual Disability</w:t>
      </w:r>
      <w:r>
        <w:t xml:space="preserve">, </w:t>
      </w:r>
      <w:r w:rsidRPr="00BB2C8E">
        <w:rPr>
          <w:i/>
        </w:rPr>
        <w:t xml:space="preserve">Submission </w:t>
      </w:r>
      <w:r w:rsidRPr="00BB2C8E">
        <w:rPr>
          <w:rFonts w:cs="Arial"/>
          <w:i/>
        </w:rPr>
        <w:t>PGA18</w:t>
      </w:r>
      <w:r>
        <w:rPr>
          <w:rFonts w:cs="Arial"/>
        </w:rPr>
        <w:t>, 5-6</w:t>
      </w:r>
    </w:p>
  </w:footnote>
  <w:footnote w:id="100">
    <w:p w:rsidR="001F1C08" w:rsidRPr="00BB2C8E" w:rsidRDefault="001F1C08" w:rsidP="00D63B8A">
      <w:pPr>
        <w:pStyle w:val="FootnoteText"/>
        <w:rPr>
          <w:rFonts w:cs="Arial"/>
        </w:rPr>
      </w:pPr>
      <w:r w:rsidRPr="00BB2C8E">
        <w:rPr>
          <w:rStyle w:val="FootnoteReference"/>
          <w:rFonts w:cs="Arial"/>
          <w:vertAlign w:val="baseline"/>
        </w:rPr>
        <w:footnoteRef/>
      </w:r>
      <w:r w:rsidRPr="00BB2C8E">
        <w:rPr>
          <w:rFonts w:cs="Arial"/>
        </w:rPr>
        <w:t>.</w:t>
      </w:r>
      <w:r w:rsidRPr="00BB2C8E">
        <w:rPr>
          <w:rFonts w:cs="Arial"/>
        </w:rPr>
        <w:tab/>
      </w:r>
      <w:proofErr w:type="gramStart"/>
      <w:r>
        <w:t xml:space="preserve">Australian Law Reform Commission, </w:t>
      </w:r>
      <w:r w:rsidRPr="00DC5BE5">
        <w:rPr>
          <w:i/>
        </w:rPr>
        <w:t>Equality, Capacity and Disability in Commonwealth Laws</w:t>
      </w:r>
      <w:r>
        <w:t>, Final Report 124 (2014) [5.4].</w:t>
      </w:r>
      <w:proofErr w:type="gramEnd"/>
    </w:p>
  </w:footnote>
  <w:footnote w:id="101">
    <w:p w:rsidR="001F1C08" w:rsidRPr="00FA134A" w:rsidRDefault="001F1C08" w:rsidP="00D63B8A">
      <w:pPr>
        <w:pStyle w:val="FootnoteText"/>
        <w:rPr>
          <w:rFonts w:cs="Arial"/>
        </w:rPr>
      </w:pPr>
      <w:r w:rsidRPr="00FA134A">
        <w:rPr>
          <w:rStyle w:val="FootnoteReference"/>
          <w:rFonts w:cs="Arial"/>
          <w:vertAlign w:val="baseline"/>
        </w:rPr>
        <w:footnoteRef/>
      </w:r>
      <w:r w:rsidRPr="00FA134A">
        <w:rPr>
          <w:rFonts w:cs="Arial"/>
        </w:rPr>
        <w:t>.</w:t>
      </w:r>
      <w:r w:rsidRPr="00FA134A">
        <w:rPr>
          <w:rFonts w:cs="Arial"/>
        </w:rPr>
        <w:tab/>
      </w:r>
      <w:proofErr w:type="gramStart"/>
      <w:r w:rsidRPr="004B6EC0">
        <w:t>NSW Ombudsman Office</w:t>
      </w:r>
      <w:r>
        <w:t xml:space="preserve">, </w:t>
      </w:r>
      <w:r w:rsidRPr="00FA134A">
        <w:rPr>
          <w:i/>
        </w:rPr>
        <w:t xml:space="preserve">Submission </w:t>
      </w:r>
      <w:r w:rsidRPr="00FA134A">
        <w:rPr>
          <w:rFonts w:cs="Arial"/>
          <w:i/>
        </w:rPr>
        <w:t>PGA41</w:t>
      </w:r>
      <w:r w:rsidRPr="00FA134A">
        <w:rPr>
          <w:rFonts w:cs="Arial"/>
        </w:rPr>
        <w:t>, 7</w:t>
      </w:r>
      <w:r>
        <w:rPr>
          <w:rFonts w:cs="Arial"/>
        </w:rPr>
        <w:t>.</w:t>
      </w:r>
      <w:proofErr w:type="gramEnd"/>
    </w:p>
  </w:footnote>
  <w:footnote w:id="102">
    <w:p w:rsidR="001F1C08" w:rsidRPr="00FA134A" w:rsidRDefault="001F1C08" w:rsidP="00D63B8A">
      <w:pPr>
        <w:pStyle w:val="FootnoteText"/>
        <w:rPr>
          <w:rFonts w:cs="Arial"/>
        </w:rPr>
      </w:pPr>
      <w:r w:rsidRPr="00FA134A">
        <w:rPr>
          <w:rStyle w:val="FootnoteReference"/>
          <w:rFonts w:cs="Arial"/>
          <w:vertAlign w:val="baseline"/>
        </w:rPr>
        <w:footnoteRef/>
      </w:r>
      <w:r>
        <w:rPr>
          <w:rFonts w:cs="Arial"/>
        </w:rPr>
        <w:t>.</w:t>
      </w:r>
      <w:r>
        <w:rPr>
          <w:rFonts w:cs="Arial"/>
        </w:rPr>
        <w:tab/>
        <w:t>For a brief overview of restrictive practices, s</w:t>
      </w:r>
      <w:r w:rsidRPr="00FA134A">
        <w:rPr>
          <w:rFonts w:cs="Arial"/>
        </w:rPr>
        <w:t xml:space="preserve">ee </w:t>
      </w:r>
      <w:r>
        <w:rPr>
          <w:rFonts w:cs="Arial"/>
        </w:rPr>
        <w:t xml:space="preserve">Chapter 2 </w:t>
      </w:r>
      <w:r w:rsidRPr="009F223D">
        <w:rPr>
          <w:rFonts w:cs="Arial"/>
        </w:rPr>
        <w:t>[2.21]</w:t>
      </w:r>
      <w:r>
        <w:rPr>
          <w:rFonts w:cs="Arial"/>
        </w:rPr>
        <w:t xml:space="preserve"> above.</w:t>
      </w:r>
    </w:p>
  </w:footnote>
  <w:footnote w:id="103">
    <w:p w:rsidR="001F1C08" w:rsidRPr="00BA41D3" w:rsidRDefault="001F1C08" w:rsidP="00D63B8A">
      <w:pPr>
        <w:pStyle w:val="FootnoteText"/>
        <w:rPr>
          <w:rFonts w:cs="Arial"/>
        </w:rPr>
      </w:pPr>
      <w:r w:rsidRPr="00FA134A">
        <w:rPr>
          <w:rStyle w:val="FootnoteReference"/>
          <w:rFonts w:cs="Arial"/>
          <w:vertAlign w:val="baseline"/>
        </w:rPr>
        <w:footnoteRef/>
      </w:r>
      <w:r w:rsidRPr="00FA134A">
        <w:rPr>
          <w:rFonts w:cs="Arial"/>
        </w:rPr>
        <w:t>.</w:t>
      </w:r>
      <w:r w:rsidRPr="00FA134A">
        <w:rPr>
          <w:rFonts w:cs="Arial"/>
        </w:rPr>
        <w:tab/>
      </w:r>
      <w:proofErr w:type="gramStart"/>
      <w:r w:rsidRPr="00400499">
        <w:t>Alzheimer’s Australia NSW</w:t>
      </w:r>
      <w:r>
        <w:t xml:space="preserve">, </w:t>
      </w:r>
      <w:r w:rsidRPr="00FA134A">
        <w:rPr>
          <w:i/>
        </w:rPr>
        <w:t>Submission</w:t>
      </w:r>
      <w:r w:rsidRPr="00FA134A">
        <w:rPr>
          <w:rFonts w:cs="Arial"/>
          <w:i/>
        </w:rPr>
        <w:t xml:space="preserve"> PGA14</w:t>
      </w:r>
      <w:r w:rsidRPr="00FA134A">
        <w:rPr>
          <w:rFonts w:cs="Arial"/>
        </w:rPr>
        <w:t>,</w:t>
      </w:r>
      <w:r>
        <w:rPr>
          <w:rFonts w:cs="Arial"/>
        </w:rPr>
        <w:t xml:space="preserve"> 6;</w:t>
      </w:r>
      <w:r w:rsidRPr="00FA134A">
        <w:rPr>
          <w:rFonts w:cs="Arial"/>
        </w:rPr>
        <w:t xml:space="preserve"> </w:t>
      </w:r>
      <w:r w:rsidRPr="00C24A69">
        <w:t>National Disability Services</w:t>
      </w:r>
      <w:r>
        <w:t xml:space="preserve">, </w:t>
      </w:r>
      <w:r w:rsidRPr="00FA134A">
        <w:rPr>
          <w:i/>
        </w:rPr>
        <w:t xml:space="preserve">Submission </w:t>
      </w:r>
      <w:r w:rsidRPr="00FA134A">
        <w:rPr>
          <w:rFonts w:cs="Arial"/>
          <w:i/>
        </w:rPr>
        <w:t>PGA24</w:t>
      </w:r>
      <w:r w:rsidRPr="00FA134A">
        <w:rPr>
          <w:rFonts w:cs="Arial"/>
        </w:rPr>
        <w:t>,</w:t>
      </w:r>
      <w:r>
        <w:rPr>
          <w:rFonts w:cs="Arial"/>
        </w:rPr>
        <w:t xml:space="preserve"> 6;</w:t>
      </w:r>
      <w:r w:rsidRPr="00FA134A">
        <w:rPr>
          <w:rFonts w:cs="Arial"/>
        </w:rPr>
        <w:t xml:space="preserve"> </w:t>
      </w:r>
      <w:r w:rsidRPr="00982E40">
        <w:t>Disability Council NSW</w:t>
      </w:r>
      <w:r>
        <w:t xml:space="preserve">, </w:t>
      </w:r>
      <w:r w:rsidRPr="00FA134A">
        <w:rPr>
          <w:i/>
        </w:rPr>
        <w:t xml:space="preserve">Submission </w:t>
      </w:r>
      <w:r w:rsidRPr="00FA134A">
        <w:rPr>
          <w:rFonts w:cs="Arial"/>
          <w:i/>
        </w:rPr>
        <w:t>PGA26</w:t>
      </w:r>
      <w:r w:rsidRPr="00FA134A">
        <w:rPr>
          <w:rFonts w:cs="Arial"/>
        </w:rPr>
        <w:t>,</w:t>
      </w:r>
      <w:r>
        <w:rPr>
          <w:rFonts w:cs="Arial"/>
        </w:rPr>
        <w:t xml:space="preserve"> 3;</w:t>
      </w:r>
      <w:r w:rsidRPr="00FA134A">
        <w:rPr>
          <w:rFonts w:cs="Arial"/>
        </w:rPr>
        <w:t xml:space="preserve"> </w:t>
      </w:r>
      <w:r w:rsidRPr="00B97F61">
        <w:t xml:space="preserve">Bernhard </w:t>
      </w:r>
      <w:proofErr w:type="spellStart"/>
      <w:r w:rsidRPr="00B97F61">
        <w:t>Ripperger</w:t>
      </w:r>
      <w:proofErr w:type="spellEnd"/>
      <w:r w:rsidRPr="00B97F61">
        <w:t xml:space="preserve"> and Laura Joseph</w:t>
      </w:r>
      <w:r>
        <w:t xml:space="preserve">, </w:t>
      </w:r>
      <w:r w:rsidRPr="00FA134A">
        <w:rPr>
          <w:i/>
        </w:rPr>
        <w:t xml:space="preserve">Submission </w:t>
      </w:r>
      <w:r w:rsidRPr="00FA134A">
        <w:rPr>
          <w:rFonts w:cs="Arial"/>
          <w:i/>
        </w:rPr>
        <w:t>PGA31</w:t>
      </w:r>
      <w:r w:rsidRPr="00FA134A">
        <w:rPr>
          <w:rFonts w:cs="Arial"/>
        </w:rPr>
        <w:t>,</w:t>
      </w:r>
      <w:r>
        <w:rPr>
          <w:rFonts w:cs="Arial"/>
        </w:rPr>
        <w:t xml:space="preserve"> 11-12;</w:t>
      </w:r>
      <w:r w:rsidRPr="00FA134A">
        <w:rPr>
          <w:rFonts w:cs="Arial"/>
        </w:rPr>
        <w:t xml:space="preserve"> </w:t>
      </w:r>
      <w:r w:rsidRPr="004B6EC0">
        <w:t>NSW Ombudsman Office</w:t>
      </w:r>
      <w:r>
        <w:t xml:space="preserve">, </w:t>
      </w:r>
      <w:r w:rsidRPr="00FA134A">
        <w:rPr>
          <w:i/>
        </w:rPr>
        <w:t xml:space="preserve">Submission </w:t>
      </w:r>
      <w:r w:rsidRPr="00FA134A">
        <w:rPr>
          <w:rFonts w:cs="Arial"/>
          <w:i/>
        </w:rPr>
        <w:t>PGA41</w:t>
      </w:r>
      <w:r>
        <w:rPr>
          <w:rFonts w:cs="Arial"/>
        </w:rPr>
        <w:t xml:space="preserve">, 7; </w:t>
      </w:r>
      <w:r w:rsidRPr="004B6EC0">
        <w:t>Nell Brown</w:t>
      </w:r>
      <w:r>
        <w:t xml:space="preserve">, </w:t>
      </w:r>
      <w:r w:rsidRPr="00FA134A">
        <w:rPr>
          <w:i/>
        </w:rPr>
        <w:t>Submission</w:t>
      </w:r>
      <w:r w:rsidRPr="00FA134A">
        <w:rPr>
          <w:rFonts w:cs="Arial"/>
          <w:i/>
        </w:rPr>
        <w:t xml:space="preserve"> PGA42</w:t>
      </w:r>
      <w:r w:rsidRPr="00FA134A">
        <w:rPr>
          <w:rFonts w:cs="Arial"/>
        </w:rPr>
        <w:t>,</w:t>
      </w:r>
      <w:r>
        <w:rPr>
          <w:rFonts w:cs="Arial"/>
        </w:rPr>
        <w:t xml:space="preserve"> 6;</w:t>
      </w:r>
      <w:r w:rsidRPr="00FA134A">
        <w:rPr>
          <w:rFonts w:cs="Arial"/>
        </w:rPr>
        <w:t xml:space="preserve"> </w:t>
      </w:r>
      <w:r w:rsidRPr="00EF5243">
        <w:t>Intellectual Disability Rights Service</w:t>
      </w:r>
      <w:r>
        <w:t xml:space="preserve">, </w:t>
      </w:r>
      <w:r w:rsidRPr="00FA134A">
        <w:rPr>
          <w:i/>
        </w:rPr>
        <w:t>Submission</w:t>
      </w:r>
      <w:r w:rsidRPr="00FA134A">
        <w:rPr>
          <w:rFonts w:cs="Arial"/>
          <w:i/>
        </w:rPr>
        <w:t xml:space="preserve"> PGA44</w:t>
      </w:r>
      <w:r w:rsidRPr="00FA134A">
        <w:rPr>
          <w:rFonts w:cs="Arial"/>
        </w:rPr>
        <w:t>,</w:t>
      </w:r>
      <w:r>
        <w:rPr>
          <w:rFonts w:cs="Arial"/>
        </w:rPr>
        <w:t xml:space="preserve"> 9;</w:t>
      </w:r>
      <w:r w:rsidRPr="00FA134A">
        <w:rPr>
          <w:rFonts w:cs="Arial"/>
        </w:rPr>
        <w:t xml:space="preserve"> </w:t>
      </w:r>
      <w:r>
        <w:t>K </w:t>
      </w:r>
      <w:r w:rsidRPr="00E669B8">
        <w:t xml:space="preserve">Chandler &amp; Professors White and </w:t>
      </w:r>
      <w:proofErr w:type="spellStart"/>
      <w:r w:rsidRPr="00E669B8">
        <w:t>Willmott</w:t>
      </w:r>
      <w:proofErr w:type="spellEnd"/>
      <w:r>
        <w:t xml:space="preserve"> </w:t>
      </w:r>
      <w:r w:rsidRPr="00E669B8">
        <w:t>- Australian Centre for Health Law Research</w:t>
      </w:r>
      <w:r>
        <w:t xml:space="preserve">, </w:t>
      </w:r>
      <w:r w:rsidRPr="00FA134A">
        <w:rPr>
          <w:i/>
        </w:rPr>
        <w:t>Submission</w:t>
      </w:r>
      <w:r w:rsidRPr="00FA134A">
        <w:rPr>
          <w:rFonts w:cs="Arial"/>
          <w:i/>
        </w:rPr>
        <w:t xml:space="preserve"> PGA48</w:t>
      </w:r>
      <w:r w:rsidRPr="00FA134A">
        <w:rPr>
          <w:rFonts w:cs="Arial"/>
        </w:rPr>
        <w:t>,</w:t>
      </w:r>
      <w:r>
        <w:rPr>
          <w:rFonts w:cs="Arial"/>
        </w:rPr>
        <w:t xml:space="preserve"> 1;</w:t>
      </w:r>
      <w:r w:rsidRPr="00FA134A">
        <w:rPr>
          <w:rFonts w:cs="Arial"/>
        </w:rPr>
        <w:t xml:space="preserve"> </w:t>
      </w:r>
      <w:r w:rsidRPr="00814E14">
        <w:t>NSW Trustee &amp; Guardian</w:t>
      </w:r>
      <w:r>
        <w:t>,</w:t>
      </w:r>
      <w:r w:rsidRPr="00814E14">
        <w:t xml:space="preserve"> </w:t>
      </w:r>
      <w:r w:rsidRPr="00FA134A">
        <w:rPr>
          <w:i/>
        </w:rPr>
        <w:t>Submission</w:t>
      </w:r>
      <w:r w:rsidRPr="00FA134A">
        <w:rPr>
          <w:rFonts w:cs="Arial"/>
          <w:i/>
        </w:rPr>
        <w:t xml:space="preserve"> PGA50</w:t>
      </w:r>
      <w:r>
        <w:rPr>
          <w:rFonts w:cs="Arial"/>
        </w:rPr>
        <w:t>, 11.</w:t>
      </w:r>
      <w:proofErr w:type="gramEnd"/>
    </w:p>
  </w:footnote>
  <w:footnote w:id="104">
    <w:p w:rsidR="001F1C08" w:rsidRPr="00332C1A" w:rsidRDefault="001F1C08" w:rsidP="00D63B8A">
      <w:pPr>
        <w:pStyle w:val="FootnoteText"/>
        <w:rPr>
          <w:rFonts w:cs="Arial"/>
        </w:rPr>
      </w:pPr>
      <w:r w:rsidRPr="00332C1A">
        <w:rPr>
          <w:rStyle w:val="FootnoteReference"/>
          <w:rFonts w:cs="Arial"/>
          <w:vertAlign w:val="baseline"/>
        </w:rPr>
        <w:footnoteRef/>
      </w:r>
      <w:r>
        <w:rPr>
          <w:rFonts w:cs="Arial"/>
        </w:rPr>
        <w:t>.</w:t>
      </w:r>
      <w:r>
        <w:rPr>
          <w:rFonts w:cs="Arial"/>
        </w:rPr>
        <w:tab/>
      </w:r>
      <w:proofErr w:type="gramStart"/>
      <w:r>
        <w:t xml:space="preserve">Australian Law Reform Commission, </w:t>
      </w:r>
      <w:r w:rsidRPr="00DC5BE5">
        <w:rPr>
          <w:i/>
        </w:rPr>
        <w:t>Equality, Capacity and Disability in Commonwealth Laws</w:t>
      </w:r>
      <w:r>
        <w:t>, Final Report 124 (2014) Rec 10-1.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7D76C7" w:rsidRDefault="001F1C08" w:rsidP="007D76C7">
    <w:pPr>
      <w:pStyle w:val="Headereven"/>
    </w:pPr>
    <w:r>
      <w:t xml:space="preserve">Background </w:t>
    </w:r>
    <w:proofErr w:type="gramStart"/>
    <w:r>
      <w:t xml:space="preserve">Paper  </w:t>
    </w:r>
    <w:r>
      <w:rPr>
        <w:b/>
      </w:rPr>
      <w:t>Review</w:t>
    </w:r>
    <w:proofErr w:type="gramEnd"/>
    <w:r>
      <w:rPr>
        <w:b/>
      </w:rPr>
      <w:t xml:space="preserve"> of the Guardianship Act 1987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DA02C1" w:rsidRDefault="001F1C08" w:rsidP="0002101A">
    <w:pPr>
      <w:pStyle w:val="Headerodd"/>
    </w:pPr>
    <w:r>
      <w:rPr>
        <w:b/>
      </w:rPr>
      <w:t>Third party claims on insurance money</w:t>
    </w:r>
    <w:r>
      <w:t xml:space="preserve">  CP 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6B6900" w:rsidRDefault="001F1C08" w:rsidP="006B6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DA02C1" w:rsidRDefault="001F1C08" w:rsidP="0002101A">
    <w:pPr>
      <w:pStyle w:val="Headerodd"/>
    </w:pPr>
    <w:r>
      <w:rPr>
        <w:b/>
      </w:rPr>
      <w:t>Introduction</w:t>
    </w:r>
    <w:r>
      <w:t xml:space="preserve">  Ch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DA02C1" w:rsidRDefault="001F1C08" w:rsidP="001D505D">
    <w:pPr>
      <w:pStyle w:val="Headerodd"/>
    </w:pPr>
    <w:r>
      <w:rPr>
        <w:b/>
      </w:rPr>
      <w:t>The Guardianship Act 1987</w:t>
    </w:r>
    <w:r>
      <w:t xml:space="preserve">  Ch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DA02C1" w:rsidRDefault="001F1C08" w:rsidP="00DD020D">
    <w:pPr>
      <w:pStyle w:val="Headerodd"/>
    </w:pPr>
    <w:r>
      <w:rPr>
        <w:b/>
      </w:rPr>
      <w:t>A changing environment</w:t>
    </w:r>
    <w:r>
      <w:t xml:space="preserve">  Ch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DA02C1" w:rsidRDefault="001F1C08" w:rsidP="00DD020D">
    <w:pPr>
      <w:pStyle w:val="Headerod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8" w:rsidRPr="0087265C" w:rsidRDefault="001F1C08" w:rsidP="00DD020D">
    <w:pPr>
      <w:pStyle w:val="Headerodd"/>
    </w:pPr>
    <w:r>
      <w:rPr>
        <w:b/>
      </w:rPr>
      <w:t xml:space="preserve">Preliminary consultations  </w:t>
    </w: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182C78"/>
    <w:lvl w:ilvl="0">
      <w:start w:val="1"/>
      <w:numFmt w:val="decimal"/>
      <w:lvlText w:val="%1."/>
      <w:lvlJc w:val="left"/>
      <w:pPr>
        <w:tabs>
          <w:tab w:val="num" w:pos="1492"/>
        </w:tabs>
        <w:ind w:left="1492" w:hanging="360"/>
      </w:pPr>
    </w:lvl>
  </w:abstractNum>
  <w:abstractNum w:abstractNumId="1">
    <w:nsid w:val="FFFFFF7D"/>
    <w:multiLevelType w:val="singleLevel"/>
    <w:tmpl w:val="B4080400"/>
    <w:lvl w:ilvl="0">
      <w:start w:val="1"/>
      <w:numFmt w:val="decimal"/>
      <w:lvlText w:val="%1."/>
      <w:lvlJc w:val="left"/>
      <w:pPr>
        <w:tabs>
          <w:tab w:val="num" w:pos="1209"/>
        </w:tabs>
        <w:ind w:left="1209" w:hanging="360"/>
      </w:pPr>
    </w:lvl>
  </w:abstractNum>
  <w:abstractNum w:abstractNumId="2">
    <w:nsid w:val="FFFFFF7E"/>
    <w:multiLevelType w:val="singleLevel"/>
    <w:tmpl w:val="19A63AEA"/>
    <w:lvl w:ilvl="0">
      <w:start w:val="1"/>
      <w:numFmt w:val="decimal"/>
      <w:lvlText w:val="%1."/>
      <w:lvlJc w:val="left"/>
      <w:pPr>
        <w:tabs>
          <w:tab w:val="num" w:pos="926"/>
        </w:tabs>
        <w:ind w:left="926" w:hanging="360"/>
      </w:pPr>
    </w:lvl>
  </w:abstractNum>
  <w:abstractNum w:abstractNumId="3">
    <w:nsid w:val="FFFFFF7F"/>
    <w:multiLevelType w:val="singleLevel"/>
    <w:tmpl w:val="5A40E3CE"/>
    <w:lvl w:ilvl="0">
      <w:start w:val="1"/>
      <w:numFmt w:val="decimal"/>
      <w:lvlText w:val="%1."/>
      <w:lvlJc w:val="left"/>
      <w:pPr>
        <w:tabs>
          <w:tab w:val="num" w:pos="643"/>
        </w:tabs>
        <w:ind w:left="643" w:hanging="360"/>
      </w:pPr>
    </w:lvl>
  </w:abstractNum>
  <w:abstractNum w:abstractNumId="4">
    <w:nsid w:val="FFFFFF80"/>
    <w:multiLevelType w:val="singleLevel"/>
    <w:tmpl w:val="904A00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9EA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89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EB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AAE62"/>
    <w:lvl w:ilvl="0">
      <w:start w:val="1"/>
      <w:numFmt w:val="decimal"/>
      <w:lvlText w:val="%1."/>
      <w:lvlJc w:val="left"/>
      <w:pPr>
        <w:tabs>
          <w:tab w:val="num" w:pos="360"/>
        </w:tabs>
        <w:ind w:left="360" w:hanging="360"/>
      </w:pPr>
    </w:lvl>
  </w:abstractNum>
  <w:abstractNum w:abstractNumId="9">
    <w:nsid w:val="FFFFFF89"/>
    <w:multiLevelType w:val="singleLevel"/>
    <w:tmpl w:val="5C22DE54"/>
    <w:lvl w:ilvl="0">
      <w:start w:val="1"/>
      <w:numFmt w:val="bullet"/>
      <w:lvlText w:val=""/>
      <w:lvlJc w:val="left"/>
      <w:pPr>
        <w:tabs>
          <w:tab w:val="num" w:pos="360"/>
        </w:tabs>
        <w:ind w:left="360" w:hanging="360"/>
      </w:pPr>
      <w:rPr>
        <w:rFonts w:ascii="Symbol" w:hAnsi="Symbol" w:hint="default"/>
      </w:rPr>
    </w:lvl>
  </w:abstractNum>
  <w:abstractNum w:abstractNumId="10">
    <w:nsid w:val="026C1507"/>
    <w:multiLevelType w:val="multilevel"/>
    <w:tmpl w:val="B9A68B00"/>
    <w:styleLink w:val="LCRNumberingList"/>
    <w:lvl w:ilvl="0">
      <w:start w:val="1"/>
      <w:numFmt w:val="decimal"/>
      <w:lvlText w:val="%1."/>
      <w:lvlJc w:val="left"/>
      <w:pPr>
        <w:tabs>
          <w:tab w:val="num" w:pos="720"/>
        </w:tabs>
        <w:ind w:left="720" w:hanging="720"/>
      </w:pPr>
      <w:rPr>
        <w:rFonts w:ascii="Arial Bold" w:hAnsi="Arial Bold" w:hint="default"/>
        <w:b/>
        <w:i w:val="0"/>
        <w:color w:val="365F91"/>
        <w:sz w:val="32"/>
      </w:rPr>
    </w:lvl>
    <w:lvl w:ilvl="1">
      <w:start w:val="1"/>
      <w:numFmt w:val="decimal"/>
      <w:lvlText w:val="%1.%2"/>
      <w:lvlJc w:val="left"/>
      <w:pPr>
        <w:tabs>
          <w:tab w:val="num" w:pos="720"/>
        </w:tabs>
        <w:ind w:left="720" w:hanging="720"/>
      </w:pPr>
      <w:rPr>
        <w:rFonts w:ascii="Arial" w:hAnsi="Arial" w:hint="default"/>
        <w:b w:val="0"/>
        <w:i w:val="0"/>
        <w:sz w:val="18"/>
      </w:rPr>
    </w:lvl>
    <w:lvl w:ilvl="2">
      <w:start w:val="1"/>
      <w:numFmt w:val="upperLetter"/>
      <w:lvlRestart w:val="0"/>
      <w:suff w:val="nothing"/>
      <w:lvlText w:val="%3"/>
      <w:lvlJc w:val="right"/>
      <w:pPr>
        <w:ind w:left="720" w:hanging="720"/>
      </w:pPr>
      <w:rPr>
        <w:rFonts w:hint="default"/>
        <w:b w:val="0"/>
        <w:i w:val="0"/>
        <w:vanish/>
        <w:color w:val="FFFFFF"/>
        <w:sz w:val="22"/>
      </w:rPr>
    </w:lvl>
    <w:lvl w:ilvl="3">
      <w:start w:val="1"/>
      <w:numFmt w:val="decimal"/>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1">
    <w:nsid w:val="0C955527"/>
    <w:multiLevelType w:val="multilevel"/>
    <w:tmpl w:val="F92A71C4"/>
    <w:lvl w:ilvl="0">
      <w:start w:val="1"/>
      <w:numFmt w:val="decimal"/>
      <w:pStyle w:val="ChapterHeading"/>
      <w:lvlText w:val="%1."/>
      <w:lvlJc w:val="left"/>
      <w:pPr>
        <w:tabs>
          <w:tab w:val="num" w:pos="720"/>
        </w:tabs>
        <w:ind w:left="720" w:hanging="720"/>
      </w:pPr>
      <w:rPr>
        <w:rFonts w:ascii="Arial Bold" w:hAnsi="Arial Bold" w:hint="default"/>
        <w:b/>
        <w:i w:val="0"/>
        <w:color w:val="365F91"/>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2">
    <w:nsid w:val="0D5A5AE9"/>
    <w:multiLevelType w:val="multilevel"/>
    <w:tmpl w:val="B9A68B00"/>
    <w:numStyleLink w:val="LCRNumberingList"/>
  </w:abstractNum>
  <w:abstractNum w:abstractNumId="13">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162239A6"/>
    <w:multiLevelType w:val="hybridMultilevel"/>
    <w:tmpl w:val="0728CE94"/>
    <w:lvl w:ilvl="0" w:tplc="9AD66AAE">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542E96"/>
    <w:multiLevelType w:val="hybridMultilevel"/>
    <w:tmpl w:val="307EA21C"/>
    <w:lvl w:ilvl="0" w:tplc="AFFCCFF6">
      <w:start w:val="1"/>
      <w:numFmt w:val="upperLetter"/>
      <w:lvlText w:val="(%1)"/>
      <w:lvlJc w:val="left"/>
      <w:pPr>
        <w:ind w:left="1435"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255278"/>
    <w:multiLevelType w:val="hybridMultilevel"/>
    <w:tmpl w:val="6B787A50"/>
    <w:lvl w:ilvl="0" w:tplc="15886D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C487C09"/>
    <w:multiLevelType w:val="hybridMultilevel"/>
    <w:tmpl w:val="C582AA1E"/>
    <w:lvl w:ilvl="0" w:tplc="BB4A9DF8">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4">
    <w:nsid w:val="58075137"/>
    <w:multiLevelType w:val="multilevel"/>
    <w:tmpl w:val="F4889960"/>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Arial" w:hAnsi="Arial" w:hint="default"/>
        <w:b w:val="0"/>
        <w:i w:val="0"/>
        <w:sz w:val="18"/>
      </w:rPr>
    </w:lvl>
    <w:lvl w:ilvl="2">
      <w:start w:val="1"/>
      <w:numFmt w:val="bullet"/>
      <w:lvlText w:val=""/>
      <w:lvlJc w:val="left"/>
      <w:pPr>
        <w:tabs>
          <w:tab w:val="num" w:pos="2664"/>
        </w:tabs>
        <w:ind w:left="2664" w:hanging="504"/>
      </w:pPr>
      <w:rPr>
        <w:rFonts w:ascii="Wingdings" w:hAnsi="Wingdings" w:hint="default"/>
      </w:rPr>
    </w:lvl>
    <w:lvl w:ilvl="3">
      <w:numFmt w:val="decimal"/>
      <w:lvlText w:val="%1.%2.%3.%4."/>
      <w:lvlJc w:val="left"/>
      <w:pPr>
        <w:tabs>
          <w:tab w:val="num" w:pos="3600"/>
        </w:tabs>
        <w:ind w:left="3168" w:hanging="648"/>
      </w:pPr>
      <w:rPr>
        <w:rFonts w:hint="default"/>
      </w:rPr>
    </w:lvl>
    <w:lvl w:ilvl="4">
      <w:numFmt w:val="decimal"/>
      <w:lvlText w:val="%1.%2.%3.%4.%5."/>
      <w:lvlJc w:val="left"/>
      <w:pPr>
        <w:tabs>
          <w:tab w:val="num" w:pos="4320"/>
        </w:tabs>
        <w:ind w:left="3672" w:hanging="792"/>
      </w:pPr>
      <w:rPr>
        <w:rFonts w:hint="default"/>
      </w:rPr>
    </w:lvl>
    <w:lvl w:ilvl="5">
      <w:numFmt w:val="decimal"/>
      <w:lvlText w:val="%1.%2.%3.%4.%5.%6."/>
      <w:lvlJc w:val="left"/>
      <w:pPr>
        <w:tabs>
          <w:tab w:val="num" w:pos="4680"/>
        </w:tabs>
        <w:ind w:left="4176" w:hanging="936"/>
      </w:pPr>
      <w:rPr>
        <w:rFonts w:hint="default"/>
      </w:rPr>
    </w:lvl>
    <w:lvl w:ilvl="6">
      <w:start w:val="35269980"/>
      <w:numFmt w:val="decimal"/>
      <w:lvlText w:val="%1.%2.%3.%4.%5.%6.%7."/>
      <w:lvlJc w:val="left"/>
      <w:pPr>
        <w:tabs>
          <w:tab w:val="num" w:pos="5400"/>
        </w:tabs>
        <w:ind w:left="4680" w:hanging="1080"/>
      </w:pPr>
      <w:rPr>
        <w:rFonts w:hint="default"/>
      </w:rPr>
    </w:lvl>
    <w:lvl w:ilvl="7">
      <w:start w:val="38040"/>
      <w:numFmt w:val="decimal"/>
      <w:lvlText w:val="%1.%2.%3.%4.%5.%6.%7.%8."/>
      <w:lvlJc w:val="left"/>
      <w:pPr>
        <w:tabs>
          <w:tab w:val="num" w:pos="6120"/>
        </w:tabs>
        <w:ind w:left="5184" w:hanging="1224"/>
      </w:pPr>
      <w:rPr>
        <w:rFonts w:hint="default"/>
      </w:rPr>
    </w:lvl>
    <w:lvl w:ilvl="8">
      <w:start w:val="1358771997"/>
      <w:numFmt w:val="decimal"/>
      <w:lvlText w:val="%1.%2.%3.%4.%5.%6.%7.%8.%9."/>
      <w:lvlJc w:val="left"/>
      <w:pPr>
        <w:tabs>
          <w:tab w:val="num" w:pos="6480"/>
        </w:tabs>
        <w:ind w:left="5760" w:hanging="1440"/>
      </w:pPr>
      <w:rPr>
        <w:rFonts w:hint="default"/>
      </w:rPr>
    </w:lvl>
  </w:abstractNum>
  <w:abstractNum w:abstractNumId="25">
    <w:nsid w:val="64AE391C"/>
    <w:multiLevelType w:val="hybridMultilevel"/>
    <w:tmpl w:val="A402812A"/>
    <w:lvl w:ilvl="0" w:tplc="99107592">
      <w:start w:val="1"/>
      <w:numFmt w:val="lowerRoman"/>
      <w:lvlText w:val="(%1)"/>
      <w:lvlJc w:val="left"/>
      <w:pPr>
        <w:tabs>
          <w:tab w:val="num" w:pos="1077"/>
        </w:tabs>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657D0E"/>
    <w:multiLevelType w:val="hybridMultilevel"/>
    <w:tmpl w:val="DDA0E82C"/>
    <w:lvl w:ilvl="0" w:tplc="3DF08676">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77541C9E"/>
    <w:multiLevelType w:val="hybridMultilevel"/>
    <w:tmpl w:val="1A64BAAA"/>
    <w:lvl w:ilvl="0" w:tplc="90B2A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CF04F2A"/>
    <w:multiLevelType w:val="hybridMultilevel"/>
    <w:tmpl w:val="9C783D84"/>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A67738"/>
    <w:multiLevelType w:val="hybridMultilevel"/>
    <w:tmpl w:val="54B4E55E"/>
    <w:lvl w:ilvl="0" w:tplc="F1362772">
      <w:start w:val="1"/>
      <w:numFmt w:val="bullet"/>
      <w:lvlText w:val=""/>
      <w:lvlJc w:val="left"/>
      <w:pPr>
        <w:ind w:left="35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8"/>
  </w:num>
  <w:num w:numId="4">
    <w:abstractNumId w:val="13"/>
  </w:num>
  <w:num w:numId="5">
    <w:abstractNumId w:val="17"/>
  </w:num>
  <w:num w:numId="6">
    <w:abstractNumId w:val="15"/>
  </w:num>
  <w:num w:numId="7">
    <w:abstractNumId w:val="21"/>
  </w:num>
  <w:num w:numId="8">
    <w:abstractNumId w:val="10"/>
  </w:num>
  <w:num w:numId="9">
    <w:abstractNumId w:val="12"/>
  </w:num>
  <w:num w:numId="10">
    <w:abstractNumId w:val="23"/>
  </w:num>
  <w:num w:numId="11">
    <w:abstractNumId w:val="30"/>
  </w:num>
  <w:num w:numId="12">
    <w:abstractNumId w:val="14"/>
  </w:num>
  <w:num w:numId="13">
    <w:abstractNumId w:val="27"/>
  </w:num>
  <w:num w:numId="14">
    <w:abstractNumId w:val="25"/>
  </w:num>
  <w:num w:numId="15">
    <w:abstractNumId w:val="26"/>
  </w:num>
  <w:num w:numId="16">
    <w:abstractNumId w:val="19"/>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1"/>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2767"/>
    </w:lvlOverride>
    <w:lvlOverride w:ilvl="7">
      <w:startOverride w:val="32767"/>
    </w:lvlOverride>
    <w:lvlOverride w:ilvl="8">
      <w:startOverride w:val="32767"/>
    </w:lvlOverride>
  </w:num>
  <w:num w:numId="32">
    <w:abstractNumId w:val="24"/>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mirrorMargin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evenAndOddHeaders/>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1"/>
    <w:rsid w:val="00000665"/>
    <w:rsid w:val="000012E4"/>
    <w:rsid w:val="00003FD9"/>
    <w:rsid w:val="00006ADF"/>
    <w:rsid w:val="00011E54"/>
    <w:rsid w:val="00012918"/>
    <w:rsid w:val="0001299D"/>
    <w:rsid w:val="00013020"/>
    <w:rsid w:val="0001572B"/>
    <w:rsid w:val="00020076"/>
    <w:rsid w:val="0002101A"/>
    <w:rsid w:val="00026B23"/>
    <w:rsid w:val="00033435"/>
    <w:rsid w:val="000353BD"/>
    <w:rsid w:val="000433B6"/>
    <w:rsid w:val="000472F4"/>
    <w:rsid w:val="000548D4"/>
    <w:rsid w:val="0005624E"/>
    <w:rsid w:val="0005772C"/>
    <w:rsid w:val="0006000C"/>
    <w:rsid w:val="00063AE3"/>
    <w:rsid w:val="00065613"/>
    <w:rsid w:val="0007184B"/>
    <w:rsid w:val="00080181"/>
    <w:rsid w:val="00080AA5"/>
    <w:rsid w:val="0009291F"/>
    <w:rsid w:val="000A0ED7"/>
    <w:rsid w:val="000A1108"/>
    <w:rsid w:val="000A16E4"/>
    <w:rsid w:val="000A3D71"/>
    <w:rsid w:val="000A5906"/>
    <w:rsid w:val="000B2038"/>
    <w:rsid w:val="000B5C51"/>
    <w:rsid w:val="000C46E8"/>
    <w:rsid w:val="000D08A8"/>
    <w:rsid w:val="000D0F6E"/>
    <w:rsid w:val="000D67FB"/>
    <w:rsid w:val="000E2635"/>
    <w:rsid w:val="000E31B2"/>
    <w:rsid w:val="000E7161"/>
    <w:rsid w:val="000F52ED"/>
    <w:rsid w:val="000F6E94"/>
    <w:rsid w:val="000F781C"/>
    <w:rsid w:val="000F7BDB"/>
    <w:rsid w:val="0010384E"/>
    <w:rsid w:val="00106772"/>
    <w:rsid w:val="00112237"/>
    <w:rsid w:val="00112255"/>
    <w:rsid w:val="0011520A"/>
    <w:rsid w:val="001205E8"/>
    <w:rsid w:val="00125B77"/>
    <w:rsid w:val="00125FA2"/>
    <w:rsid w:val="00131C75"/>
    <w:rsid w:val="00135167"/>
    <w:rsid w:val="00136E2B"/>
    <w:rsid w:val="00147977"/>
    <w:rsid w:val="00153C0F"/>
    <w:rsid w:val="00155D63"/>
    <w:rsid w:val="00157ACC"/>
    <w:rsid w:val="00160E6D"/>
    <w:rsid w:val="00162BFF"/>
    <w:rsid w:val="001675ED"/>
    <w:rsid w:val="0017727B"/>
    <w:rsid w:val="00181364"/>
    <w:rsid w:val="001869E7"/>
    <w:rsid w:val="00186CD3"/>
    <w:rsid w:val="001A3EE0"/>
    <w:rsid w:val="001B7676"/>
    <w:rsid w:val="001D1238"/>
    <w:rsid w:val="001D14C5"/>
    <w:rsid w:val="001D2E4A"/>
    <w:rsid w:val="001D505D"/>
    <w:rsid w:val="001E0899"/>
    <w:rsid w:val="001E1981"/>
    <w:rsid w:val="001E24E4"/>
    <w:rsid w:val="001E2D43"/>
    <w:rsid w:val="001E54D8"/>
    <w:rsid w:val="001E62AF"/>
    <w:rsid w:val="001F1C08"/>
    <w:rsid w:val="001F538F"/>
    <w:rsid w:val="00211FB0"/>
    <w:rsid w:val="00212EAB"/>
    <w:rsid w:val="00216A74"/>
    <w:rsid w:val="0022028E"/>
    <w:rsid w:val="00224637"/>
    <w:rsid w:val="00233438"/>
    <w:rsid w:val="002417F1"/>
    <w:rsid w:val="00251817"/>
    <w:rsid w:val="00251DF0"/>
    <w:rsid w:val="0025249C"/>
    <w:rsid w:val="00266C7D"/>
    <w:rsid w:val="00273827"/>
    <w:rsid w:val="00281160"/>
    <w:rsid w:val="00281549"/>
    <w:rsid w:val="002936A2"/>
    <w:rsid w:val="00296E36"/>
    <w:rsid w:val="002A5F98"/>
    <w:rsid w:val="002A72B2"/>
    <w:rsid w:val="002B0BBB"/>
    <w:rsid w:val="002B513E"/>
    <w:rsid w:val="002C0781"/>
    <w:rsid w:val="002C5579"/>
    <w:rsid w:val="002C63C1"/>
    <w:rsid w:val="002E075A"/>
    <w:rsid w:val="002E0F35"/>
    <w:rsid w:val="002E471A"/>
    <w:rsid w:val="002E48FA"/>
    <w:rsid w:val="002F33BC"/>
    <w:rsid w:val="0030023B"/>
    <w:rsid w:val="0031141F"/>
    <w:rsid w:val="00322523"/>
    <w:rsid w:val="003227F0"/>
    <w:rsid w:val="003247B1"/>
    <w:rsid w:val="003301DD"/>
    <w:rsid w:val="00330A0A"/>
    <w:rsid w:val="00332B2E"/>
    <w:rsid w:val="00340124"/>
    <w:rsid w:val="00345713"/>
    <w:rsid w:val="003511AF"/>
    <w:rsid w:val="003529F6"/>
    <w:rsid w:val="00353B47"/>
    <w:rsid w:val="0035417F"/>
    <w:rsid w:val="00360556"/>
    <w:rsid w:val="00361497"/>
    <w:rsid w:val="00361682"/>
    <w:rsid w:val="00366231"/>
    <w:rsid w:val="00367859"/>
    <w:rsid w:val="0037346B"/>
    <w:rsid w:val="00375A82"/>
    <w:rsid w:val="00376125"/>
    <w:rsid w:val="00384017"/>
    <w:rsid w:val="00390867"/>
    <w:rsid w:val="00392D5D"/>
    <w:rsid w:val="003961BF"/>
    <w:rsid w:val="00396584"/>
    <w:rsid w:val="003A2929"/>
    <w:rsid w:val="003A4CE8"/>
    <w:rsid w:val="003B0769"/>
    <w:rsid w:val="003B74B7"/>
    <w:rsid w:val="003C3EC3"/>
    <w:rsid w:val="003C63CF"/>
    <w:rsid w:val="003D28A5"/>
    <w:rsid w:val="003E0D21"/>
    <w:rsid w:val="003E294F"/>
    <w:rsid w:val="003E4AD6"/>
    <w:rsid w:val="003F0606"/>
    <w:rsid w:val="00404A31"/>
    <w:rsid w:val="00416D47"/>
    <w:rsid w:val="00422313"/>
    <w:rsid w:val="0042780C"/>
    <w:rsid w:val="0043057A"/>
    <w:rsid w:val="00430F9D"/>
    <w:rsid w:val="00446BA3"/>
    <w:rsid w:val="004478F9"/>
    <w:rsid w:val="0045238D"/>
    <w:rsid w:val="00452D19"/>
    <w:rsid w:val="0046212E"/>
    <w:rsid w:val="00474393"/>
    <w:rsid w:val="00477F0A"/>
    <w:rsid w:val="00482968"/>
    <w:rsid w:val="0048469B"/>
    <w:rsid w:val="0048772B"/>
    <w:rsid w:val="00495AC0"/>
    <w:rsid w:val="004A043F"/>
    <w:rsid w:val="004A1921"/>
    <w:rsid w:val="004A23E5"/>
    <w:rsid w:val="004A2EE5"/>
    <w:rsid w:val="004B30F9"/>
    <w:rsid w:val="004B34E4"/>
    <w:rsid w:val="004D19CD"/>
    <w:rsid w:val="004E082A"/>
    <w:rsid w:val="004E5878"/>
    <w:rsid w:val="004F182A"/>
    <w:rsid w:val="004F1A32"/>
    <w:rsid w:val="00500165"/>
    <w:rsid w:val="00500813"/>
    <w:rsid w:val="0050084E"/>
    <w:rsid w:val="00500BF4"/>
    <w:rsid w:val="00501D17"/>
    <w:rsid w:val="00506677"/>
    <w:rsid w:val="00515CDE"/>
    <w:rsid w:val="00516525"/>
    <w:rsid w:val="00520523"/>
    <w:rsid w:val="00521A4B"/>
    <w:rsid w:val="00527B15"/>
    <w:rsid w:val="0053061E"/>
    <w:rsid w:val="00532B34"/>
    <w:rsid w:val="00534207"/>
    <w:rsid w:val="00540EF9"/>
    <w:rsid w:val="00542926"/>
    <w:rsid w:val="00544215"/>
    <w:rsid w:val="00544E1F"/>
    <w:rsid w:val="00545A78"/>
    <w:rsid w:val="00545A7D"/>
    <w:rsid w:val="00554959"/>
    <w:rsid w:val="00560253"/>
    <w:rsid w:val="00560A36"/>
    <w:rsid w:val="005704B2"/>
    <w:rsid w:val="005751B9"/>
    <w:rsid w:val="00576322"/>
    <w:rsid w:val="00593694"/>
    <w:rsid w:val="005A14FC"/>
    <w:rsid w:val="005A6CF9"/>
    <w:rsid w:val="005B5E97"/>
    <w:rsid w:val="005B7DE8"/>
    <w:rsid w:val="005C3E11"/>
    <w:rsid w:val="005C564B"/>
    <w:rsid w:val="005C567F"/>
    <w:rsid w:val="005C64A2"/>
    <w:rsid w:val="005C6870"/>
    <w:rsid w:val="005E0003"/>
    <w:rsid w:val="005E0B1D"/>
    <w:rsid w:val="005E4C70"/>
    <w:rsid w:val="005E65CB"/>
    <w:rsid w:val="005F6F5D"/>
    <w:rsid w:val="00600DF4"/>
    <w:rsid w:val="00601032"/>
    <w:rsid w:val="00603FF1"/>
    <w:rsid w:val="00605EF4"/>
    <w:rsid w:val="00611303"/>
    <w:rsid w:val="006124E3"/>
    <w:rsid w:val="00613DF5"/>
    <w:rsid w:val="00624B70"/>
    <w:rsid w:val="00630111"/>
    <w:rsid w:val="00634A68"/>
    <w:rsid w:val="0063624E"/>
    <w:rsid w:val="00652959"/>
    <w:rsid w:val="00653926"/>
    <w:rsid w:val="006635C5"/>
    <w:rsid w:val="00666C0B"/>
    <w:rsid w:val="00680909"/>
    <w:rsid w:val="00680D52"/>
    <w:rsid w:val="00685E74"/>
    <w:rsid w:val="0069120C"/>
    <w:rsid w:val="006954CA"/>
    <w:rsid w:val="006A128B"/>
    <w:rsid w:val="006A7747"/>
    <w:rsid w:val="006B0EDB"/>
    <w:rsid w:val="006B1BBB"/>
    <w:rsid w:val="006B53EE"/>
    <w:rsid w:val="006B6900"/>
    <w:rsid w:val="006B6BA9"/>
    <w:rsid w:val="006C20FA"/>
    <w:rsid w:val="006C211E"/>
    <w:rsid w:val="006C569F"/>
    <w:rsid w:val="006C5C02"/>
    <w:rsid w:val="006C65B9"/>
    <w:rsid w:val="006C785A"/>
    <w:rsid w:val="006D5301"/>
    <w:rsid w:val="006D653F"/>
    <w:rsid w:val="006D681C"/>
    <w:rsid w:val="006E171E"/>
    <w:rsid w:val="006E1B53"/>
    <w:rsid w:val="006E50B9"/>
    <w:rsid w:val="006E6219"/>
    <w:rsid w:val="006F1073"/>
    <w:rsid w:val="006F57CC"/>
    <w:rsid w:val="006F762A"/>
    <w:rsid w:val="00701039"/>
    <w:rsid w:val="0071037E"/>
    <w:rsid w:val="00714324"/>
    <w:rsid w:val="00715615"/>
    <w:rsid w:val="007159C3"/>
    <w:rsid w:val="00716D7C"/>
    <w:rsid w:val="007209A4"/>
    <w:rsid w:val="0072332D"/>
    <w:rsid w:val="00724632"/>
    <w:rsid w:val="007334B4"/>
    <w:rsid w:val="00733CD2"/>
    <w:rsid w:val="0073598B"/>
    <w:rsid w:val="00735CFB"/>
    <w:rsid w:val="00744B8B"/>
    <w:rsid w:val="0074702A"/>
    <w:rsid w:val="00750661"/>
    <w:rsid w:val="00752C38"/>
    <w:rsid w:val="0075417A"/>
    <w:rsid w:val="00764A68"/>
    <w:rsid w:val="00764ADD"/>
    <w:rsid w:val="0077349C"/>
    <w:rsid w:val="00776839"/>
    <w:rsid w:val="00780375"/>
    <w:rsid w:val="007831AB"/>
    <w:rsid w:val="007964CD"/>
    <w:rsid w:val="00797F2B"/>
    <w:rsid w:val="007A082E"/>
    <w:rsid w:val="007A5E1F"/>
    <w:rsid w:val="007B63D2"/>
    <w:rsid w:val="007B7F72"/>
    <w:rsid w:val="007D0B8D"/>
    <w:rsid w:val="007D62C3"/>
    <w:rsid w:val="007D76C7"/>
    <w:rsid w:val="007E0CB3"/>
    <w:rsid w:val="007E178E"/>
    <w:rsid w:val="007E1FCB"/>
    <w:rsid w:val="007E43DC"/>
    <w:rsid w:val="007E54D5"/>
    <w:rsid w:val="007F22F7"/>
    <w:rsid w:val="007F2CE8"/>
    <w:rsid w:val="007F3858"/>
    <w:rsid w:val="007F3E42"/>
    <w:rsid w:val="00803436"/>
    <w:rsid w:val="0080707E"/>
    <w:rsid w:val="00813C68"/>
    <w:rsid w:val="0081439A"/>
    <w:rsid w:val="00817955"/>
    <w:rsid w:val="0082347F"/>
    <w:rsid w:val="00823B06"/>
    <w:rsid w:val="00825597"/>
    <w:rsid w:val="008269C2"/>
    <w:rsid w:val="008301F6"/>
    <w:rsid w:val="00830FF0"/>
    <w:rsid w:val="00832F91"/>
    <w:rsid w:val="00836108"/>
    <w:rsid w:val="00836940"/>
    <w:rsid w:val="00855BD1"/>
    <w:rsid w:val="008567F4"/>
    <w:rsid w:val="008578E1"/>
    <w:rsid w:val="00864CAD"/>
    <w:rsid w:val="0087265C"/>
    <w:rsid w:val="00875B52"/>
    <w:rsid w:val="00880496"/>
    <w:rsid w:val="008811C6"/>
    <w:rsid w:val="00885EBD"/>
    <w:rsid w:val="00887052"/>
    <w:rsid w:val="00895532"/>
    <w:rsid w:val="008A06C1"/>
    <w:rsid w:val="008A0C51"/>
    <w:rsid w:val="008A38CB"/>
    <w:rsid w:val="008A3D6E"/>
    <w:rsid w:val="008A3EAF"/>
    <w:rsid w:val="008C057C"/>
    <w:rsid w:val="008D46AB"/>
    <w:rsid w:val="008E1C93"/>
    <w:rsid w:val="008E3493"/>
    <w:rsid w:val="008E5B3F"/>
    <w:rsid w:val="008F010A"/>
    <w:rsid w:val="008F34BE"/>
    <w:rsid w:val="00904F72"/>
    <w:rsid w:val="00906883"/>
    <w:rsid w:val="00906B2E"/>
    <w:rsid w:val="00907FA3"/>
    <w:rsid w:val="00910FED"/>
    <w:rsid w:val="00915469"/>
    <w:rsid w:val="00915977"/>
    <w:rsid w:val="0091742A"/>
    <w:rsid w:val="009227DA"/>
    <w:rsid w:val="00927182"/>
    <w:rsid w:val="009279A8"/>
    <w:rsid w:val="009300F0"/>
    <w:rsid w:val="00930BC2"/>
    <w:rsid w:val="0094408A"/>
    <w:rsid w:val="0094567D"/>
    <w:rsid w:val="00953685"/>
    <w:rsid w:val="009604A7"/>
    <w:rsid w:val="00965869"/>
    <w:rsid w:val="009755EB"/>
    <w:rsid w:val="00975B90"/>
    <w:rsid w:val="009824D0"/>
    <w:rsid w:val="00985028"/>
    <w:rsid w:val="00991F53"/>
    <w:rsid w:val="0099338F"/>
    <w:rsid w:val="00993CF0"/>
    <w:rsid w:val="009A1D15"/>
    <w:rsid w:val="009A6984"/>
    <w:rsid w:val="009A6DB9"/>
    <w:rsid w:val="009B03AB"/>
    <w:rsid w:val="009B2503"/>
    <w:rsid w:val="009B44D9"/>
    <w:rsid w:val="009C3F8A"/>
    <w:rsid w:val="009E09E0"/>
    <w:rsid w:val="009E2D38"/>
    <w:rsid w:val="00A00718"/>
    <w:rsid w:val="00A00A0A"/>
    <w:rsid w:val="00A01AC7"/>
    <w:rsid w:val="00A07F73"/>
    <w:rsid w:val="00A22A8A"/>
    <w:rsid w:val="00A23ED4"/>
    <w:rsid w:val="00A260A2"/>
    <w:rsid w:val="00A3416F"/>
    <w:rsid w:val="00A3453C"/>
    <w:rsid w:val="00A42397"/>
    <w:rsid w:val="00A50201"/>
    <w:rsid w:val="00A511D0"/>
    <w:rsid w:val="00A5573F"/>
    <w:rsid w:val="00A635A7"/>
    <w:rsid w:val="00A642F4"/>
    <w:rsid w:val="00A64440"/>
    <w:rsid w:val="00A6621D"/>
    <w:rsid w:val="00A72B83"/>
    <w:rsid w:val="00A85CBC"/>
    <w:rsid w:val="00A867D0"/>
    <w:rsid w:val="00A87869"/>
    <w:rsid w:val="00A91337"/>
    <w:rsid w:val="00A9370F"/>
    <w:rsid w:val="00A953CF"/>
    <w:rsid w:val="00AA4658"/>
    <w:rsid w:val="00AA63B6"/>
    <w:rsid w:val="00AC12A6"/>
    <w:rsid w:val="00AC17F4"/>
    <w:rsid w:val="00AD1FAD"/>
    <w:rsid w:val="00AD5231"/>
    <w:rsid w:val="00AD54FF"/>
    <w:rsid w:val="00AD7257"/>
    <w:rsid w:val="00AE069A"/>
    <w:rsid w:val="00AE53A3"/>
    <w:rsid w:val="00AE5D7C"/>
    <w:rsid w:val="00AF4E2C"/>
    <w:rsid w:val="00B01ECF"/>
    <w:rsid w:val="00B02B41"/>
    <w:rsid w:val="00B0745B"/>
    <w:rsid w:val="00B13C1F"/>
    <w:rsid w:val="00B16A06"/>
    <w:rsid w:val="00B22042"/>
    <w:rsid w:val="00B221DB"/>
    <w:rsid w:val="00B23756"/>
    <w:rsid w:val="00B24C85"/>
    <w:rsid w:val="00B25B2D"/>
    <w:rsid w:val="00B275B6"/>
    <w:rsid w:val="00B3119F"/>
    <w:rsid w:val="00B32141"/>
    <w:rsid w:val="00B331C9"/>
    <w:rsid w:val="00B34097"/>
    <w:rsid w:val="00B350C1"/>
    <w:rsid w:val="00B50588"/>
    <w:rsid w:val="00B57B67"/>
    <w:rsid w:val="00B645D1"/>
    <w:rsid w:val="00B65ED5"/>
    <w:rsid w:val="00B716AC"/>
    <w:rsid w:val="00B723FA"/>
    <w:rsid w:val="00B74FFA"/>
    <w:rsid w:val="00B77A41"/>
    <w:rsid w:val="00B82EBC"/>
    <w:rsid w:val="00B87A70"/>
    <w:rsid w:val="00B906DC"/>
    <w:rsid w:val="00B97890"/>
    <w:rsid w:val="00BA09CA"/>
    <w:rsid w:val="00BB0C44"/>
    <w:rsid w:val="00BB5C99"/>
    <w:rsid w:val="00BC01E3"/>
    <w:rsid w:val="00BC5E6E"/>
    <w:rsid w:val="00BC5F62"/>
    <w:rsid w:val="00BC76EA"/>
    <w:rsid w:val="00BC77E7"/>
    <w:rsid w:val="00BD0422"/>
    <w:rsid w:val="00BD3B1B"/>
    <w:rsid w:val="00BD672A"/>
    <w:rsid w:val="00BE0C7F"/>
    <w:rsid w:val="00C00B97"/>
    <w:rsid w:val="00C02A92"/>
    <w:rsid w:val="00C06ABA"/>
    <w:rsid w:val="00C075B5"/>
    <w:rsid w:val="00C11334"/>
    <w:rsid w:val="00C11E39"/>
    <w:rsid w:val="00C131EB"/>
    <w:rsid w:val="00C14A2F"/>
    <w:rsid w:val="00C16F92"/>
    <w:rsid w:val="00C23453"/>
    <w:rsid w:val="00C23899"/>
    <w:rsid w:val="00C23CC6"/>
    <w:rsid w:val="00C275FC"/>
    <w:rsid w:val="00C27B81"/>
    <w:rsid w:val="00C333E3"/>
    <w:rsid w:val="00C3607E"/>
    <w:rsid w:val="00C41A07"/>
    <w:rsid w:val="00C517FF"/>
    <w:rsid w:val="00C613FF"/>
    <w:rsid w:val="00C61E0F"/>
    <w:rsid w:val="00C66F56"/>
    <w:rsid w:val="00C75DD7"/>
    <w:rsid w:val="00C86998"/>
    <w:rsid w:val="00C907EA"/>
    <w:rsid w:val="00C91F8C"/>
    <w:rsid w:val="00CA1400"/>
    <w:rsid w:val="00CA5276"/>
    <w:rsid w:val="00CB01F0"/>
    <w:rsid w:val="00CB3447"/>
    <w:rsid w:val="00CC2554"/>
    <w:rsid w:val="00CD3650"/>
    <w:rsid w:val="00CD37DF"/>
    <w:rsid w:val="00CD5F04"/>
    <w:rsid w:val="00CE32AE"/>
    <w:rsid w:val="00CE3BF7"/>
    <w:rsid w:val="00CE67D4"/>
    <w:rsid w:val="00CE6A13"/>
    <w:rsid w:val="00CE7CC3"/>
    <w:rsid w:val="00CF5FE2"/>
    <w:rsid w:val="00D0290A"/>
    <w:rsid w:val="00D06C80"/>
    <w:rsid w:val="00D079F4"/>
    <w:rsid w:val="00D10FDF"/>
    <w:rsid w:val="00D13C29"/>
    <w:rsid w:val="00D145CC"/>
    <w:rsid w:val="00D20AD9"/>
    <w:rsid w:val="00D33B88"/>
    <w:rsid w:val="00D35333"/>
    <w:rsid w:val="00D51EB7"/>
    <w:rsid w:val="00D5716C"/>
    <w:rsid w:val="00D63B8A"/>
    <w:rsid w:val="00D64681"/>
    <w:rsid w:val="00D653D9"/>
    <w:rsid w:val="00D82015"/>
    <w:rsid w:val="00D83023"/>
    <w:rsid w:val="00D858A4"/>
    <w:rsid w:val="00D86F7F"/>
    <w:rsid w:val="00D9009D"/>
    <w:rsid w:val="00D9365D"/>
    <w:rsid w:val="00D96D29"/>
    <w:rsid w:val="00DA02C1"/>
    <w:rsid w:val="00DB362A"/>
    <w:rsid w:val="00DB3639"/>
    <w:rsid w:val="00DC0519"/>
    <w:rsid w:val="00DC0D40"/>
    <w:rsid w:val="00DC6EE9"/>
    <w:rsid w:val="00DC6FAF"/>
    <w:rsid w:val="00DD020D"/>
    <w:rsid w:val="00DD06D2"/>
    <w:rsid w:val="00DD0D82"/>
    <w:rsid w:val="00DD25B0"/>
    <w:rsid w:val="00DD7215"/>
    <w:rsid w:val="00DE2DC1"/>
    <w:rsid w:val="00DE509F"/>
    <w:rsid w:val="00DE7404"/>
    <w:rsid w:val="00E06542"/>
    <w:rsid w:val="00E12781"/>
    <w:rsid w:val="00E16CB1"/>
    <w:rsid w:val="00E21A31"/>
    <w:rsid w:val="00E33870"/>
    <w:rsid w:val="00E36F94"/>
    <w:rsid w:val="00E3722F"/>
    <w:rsid w:val="00E43820"/>
    <w:rsid w:val="00E44E4E"/>
    <w:rsid w:val="00E45863"/>
    <w:rsid w:val="00E50D0C"/>
    <w:rsid w:val="00E5125B"/>
    <w:rsid w:val="00E62945"/>
    <w:rsid w:val="00E73BFD"/>
    <w:rsid w:val="00E762F3"/>
    <w:rsid w:val="00E77C4B"/>
    <w:rsid w:val="00E831AC"/>
    <w:rsid w:val="00E86519"/>
    <w:rsid w:val="00EB0142"/>
    <w:rsid w:val="00EB18C7"/>
    <w:rsid w:val="00EC1F65"/>
    <w:rsid w:val="00EC394C"/>
    <w:rsid w:val="00EC7255"/>
    <w:rsid w:val="00ED5516"/>
    <w:rsid w:val="00ED5F91"/>
    <w:rsid w:val="00ED6B2C"/>
    <w:rsid w:val="00EE6A9F"/>
    <w:rsid w:val="00EF084F"/>
    <w:rsid w:val="00EF4F58"/>
    <w:rsid w:val="00F02A1A"/>
    <w:rsid w:val="00F14E6B"/>
    <w:rsid w:val="00F16C2B"/>
    <w:rsid w:val="00F27A5B"/>
    <w:rsid w:val="00F27AB1"/>
    <w:rsid w:val="00F4113D"/>
    <w:rsid w:val="00F448B4"/>
    <w:rsid w:val="00F46052"/>
    <w:rsid w:val="00F47214"/>
    <w:rsid w:val="00F5224E"/>
    <w:rsid w:val="00F5645D"/>
    <w:rsid w:val="00F57C58"/>
    <w:rsid w:val="00F673FB"/>
    <w:rsid w:val="00F748AD"/>
    <w:rsid w:val="00F771D1"/>
    <w:rsid w:val="00F81793"/>
    <w:rsid w:val="00F82ED2"/>
    <w:rsid w:val="00F8379E"/>
    <w:rsid w:val="00F8570C"/>
    <w:rsid w:val="00F85C51"/>
    <w:rsid w:val="00FA2BD6"/>
    <w:rsid w:val="00FA6238"/>
    <w:rsid w:val="00FB2460"/>
    <w:rsid w:val="00FB521D"/>
    <w:rsid w:val="00FB6EAF"/>
    <w:rsid w:val="00FC127B"/>
    <w:rsid w:val="00FC1F80"/>
    <w:rsid w:val="00FC21E8"/>
    <w:rsid w:val="00FD12C7"/>
    <w:rsid w:val="00FE1BB7"/>
    <w:rsid w:val="00FE1BD7"/>
    <w:rsid w:val="00FE3C3C"/>
    <w:rsid w:val="00FF12D2"/>
    <w:rsid w:val="00FF4346"/>
    <w:rsid w:val="00FF7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0" w:qFormat="1"/>
    <w:lsdException w:name="heading 3" w:semiHidden="0" w:uiPriority="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0"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6B6900"/>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kern w:val="32"/>
      <w:sz w:val="32"/>
      <w:szCs w:val="32"/>
    </w:rPr>
  </w:style>
  <w:style w:type="paragraph" w:styleId="Heading2">
    <w:name w:val="heading 2"/>
    <w:basedOn w:val="Heading1"/>
    <w:next w:val="NormalAutoChapter"/>
    <w:link w:val="Heading2Char"/>
    <w:uiPriority w:val="1"/>
    <w:qFormat/>
    <w:rsid w:val="0087265C"/>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29"/>
      </w:numPr>
      <w:spacing w:after="240" w:line="240" w:lineRule="atLeast"/>
    </w:pPr>
    <w:rPr>
      <w:rFonts w:cs="Arial"/>
    </w:rPr>
  </w:style>
  <w:style w:type="paragraph" w:styleId="FootnoteText">
    <w:name w:val="footnote text"/>
    <w:basedOn w:val="Normal"/>
    <w:link w:val="FootnoteTextChar"/>
    <w:uiPriority w:val="17"/>
    <w:rsid w:val="00895532"/>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sz w:val="18"/>
      <w:szCs w:val="18"/>
    </w:rPr>
  </w:style>
  <w:style w:type="paragraph" w:styleId="Footer">
    <w:name w:val="footer"/>
    <w:basedOn w:val="Normal"/>
    <w:link w:val="FooterChar"/>
    <w:semiHidden/>
    <w:rsid w:val="001D505D"/>
    <w:pPr>
      <w:tabs>
        <w:tab w:val="center" w:pos="4153"/>
        <w:tab w:val="right" w:pos="8306"/>
      </w:tabs>
      <w:jc w:val="right"/>
    </w:pPr>
    <w:rPr>
      <w:color w:val="365F91"/>
    </w:rPr>
  </w:style>
  <w:style w:type="character" w:styleId="FootnoteReference">
    <w:name w:val="footnote reference"/>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29"/>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F16C2B"/>
    <w:pPr>
      <w:tabs>
        <w:tab w:val="right" w:leader="dot" w:pos="8896"/>
      </w:tabs>
      <w:spacing w:before="0"/>
      <w:ind w:left="1083" w:right="720"/>
    </w:pPr>
    <w:rPr>
      <w:noProof/>
    </w:rPr>
  </w:style>
  <w:style w:type="paragraph" w:styleId="TOC1">
    <w:name w:val="toc 1"/>
    <w:basedOn w:val="Normal"/>
    <w:next w:val="Normal"/>
    <w:uiPriority w:val="39"/>
    <w:qFormat/>
    <w:rsid w:val="00C14A2F"/>
    <w:pPr>
      <w:spacing w:before="360" w:after="60"/>
      <w:ind w:left="714" w:right="357" w:hanging="357"/>
    </w:pPr>
    <w:rPr>
      <w:rFonts w:ascii="Arial Bold" w:hAnsi="Arial Bold"/>
      <w:b/>
      <w:color w:val="365F91"/>
      <w:sz w:val="18"/>
    </w:rPr>
  </w:style>
  <w:style w:type="paragraph" w:customStyle="1" w:styleId="Normalbullet">
    <w:name w:val="Normal_bullet"/>
    <w:basedOn w:val="Normal"/>
    <w:uiPriority w:val="4"/>
    <w:qFormat/>
    <w:rsid w:val="00953685"/>
    <w:pPr>
      <w:numPr>
        <w:numId w:val="3"/>
      </w:numPr>
      <w:spacing w:after="220"/>
    </w:pPr>
  </w:style>
  <w:style w:type="paragraph" w:customStyle="1" w:styleId="Normalhanging1">
    <w:name w:val="Normal_hanging(1)"/>
    <w:basedOn w:val="Normal"/>
    <w:uiPriority w:val="3"/>
    <w:rsid w:val="00544E1F"/>
    <w:pPr>
      <w:spacing w:after="240"/>
      <w:ind w:left="1077" w:hanging="357"/>
    </w:pPr>
  </w:style>
  <w:style w:type="paragraph" w:customStyle="1" w:styleId="Normalhanginga">
    <w:name w:val="Normal_hanging(a)"/>
    <w:basedOn w:val="Normalhanging1"/>
    <w:uiPriority w:val="3"/>
    <w:rsid w:val="00544E1F"/>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94567D"/>
    <w:pPr>
      <w:ind w:left="1260"/>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4"/>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953685"/>
    <w:pPr>
      <w:tabs>
        <w:tab w:val="left" w:pos="360"/>
      </w:tabs>
      <w:spacing w:before="120" w:after="120"/>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87265C"/>
    <w:pPr>
      <w:keepNext/>
      <w:spacing w:before="240" w:after="240"/>
      <w:ind w:left="720"/>
      <w:outlineLvl w:val="8"/>
    </w:pPr>
    <w:rPr>
      <w:b/>
      <w:color w:val="365F91"/>
      <w:sz w:val="24"/>
    </w:rPr>
  </w:style>
  <w:style w:type="paragraph" w:customStyle="1" w:styleId="FootnoteTextquote">
    <w:name w:val="Footnote Text_quote"/>
    <w:basedOn w:val="FootnoteText"/>
    <w:uiPriority w:val="20"/>
    <w:rsid w:val="00953685"/>
    <w:pPr>
      <w:ind w:left="851" w:right="851" w:firstLine="0"/>
    </w:pPr>
  </w:style>
  <w:style w:type="paragraph" w:styleId="TOC4">
    <w:name w:val="toc 4"/>
    <w:basedOn w:val="TOC3"/>
    <w:next w:val="Normal"/>
    <w:uiPriority w:val="39"/>
    <w:rsid w:val="00D63B8A"/>
    <w:pPr>
      <w:ind w:left="1616"/>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44E1F"/>
    <w:pPr>
      <w:spacing w:after="240"/>
      <w:ind w:left="1077"/>
    </w:pPr>
  </w:style>
  <w:style w:type="paragraph" w:customStyle="1" w:styleId="PrelimNormal">
    <w:name w:val="Prelim_Normal"/>
    <w:basedOn w:val="Normal"/>
    <w:rsid w:val="00953685"/>
    <w:pPr>
      <w:tabs>
        <w:tab w:val="right" w:leader="dot" w:pos="8880"/>
      </w:tabs>
      <w:spacing w:after="120"/>
    </w:pPr>
  </w:style>
  <w:style w:type="paragraph" w:customStyle="1" w:styleId="PrelimCh">
    <w:name w:val="Prelim_Ch"/>
    <w:basedOn w:val="PrelimNormal"/>
    <w:uiPriority w:val="18"/>
    <w:qFormat/>
    <w:rsid w:val="00953685"/>
    <w:pPr>
      <w:keepNext/>
      <w:tabs>
        <w:tab w:val="left" w:pos="360"/>
      </w:tabs>
      <w:ind w:left="1080" w:hanging="360"/>
    </w:pPr>
    <w:rPr>
      <w:b/>
      <w:bCs/>
    </w:rPr>
  </w:style>
  <w:style w:type="paragraph" w:customStyle="1" w:styleId="PrelimH1">
    <w:name w:val="Prelim_H1"/>
    <w:basedOn w:val="PrelimNormal"/>
    <w:uiPriority w:val="18"/>
    <w:rsid w:val="00953685"/>
    <w:pPr>
      <w:ind w:left="1400" w:hanging="320"/>
    </w:pPr>
  </w:style>
  <w:style w:type="paragraph" w:customStyle="1" w:styleId="PrelimH2">
    <w:name w:val="Prelim_H2"/>
    <w:basedOn w:val="PrelimH1"/>
    <w:uiPriority w:val="18"/>
    <w:rsid w:val="00953685"/>
    <w:pPr>
      <w:ind w:left="1800" w:hanging="360"/>
    </w:pPr>
  </w:style>
  <w:style w:type="paragraph" w:customStyle="1" w:styleId="Prelimtitle">
    <w:name w:val="Prelim_title"/>
    <w:basedOn w:val="PrelimNormal"/>
    <w:uiPriority w:val="18"/>
    <w:rsid w:val="00875B52"/>
    <w:pPr>
      <w:tabs>
        <w:tab w:val="right" w:pos="8880"/>
      </w:tabs>
      <w:spacing w:before="1680" w:after="0"/>
      <w:contextualSpacing/>
    </w:pPr>
    <w:rPr>
      <w:b/>
      <w:color w:val="365F91"/>
      <w:sz w:val="32"/>
    </w:rPr>
  </w:style>
  <w:style w:type="paragraph" w:customStyle="1" w:styleId="Prelimtitlenumber">
    <w:name w:val="Prelim_title_number"/>
    <w:basedOn w:val="Prelimtitle"/>
    <w:uiPriority w:val="18"/>
    <w:rsid w:val="00875B52"/>
    <w:pPr>
      <w:spacing w:before="0" w:after="3920"/>
      <w:jc w:val="right"/>
    </w:pPr>
    <w:rPr>
      <w:color w:val="B8CCE4"/>
      <w:sz w:val="96"/>
    </w:rPr>
  </w:style>
  <w:style w:type="paragraph" w:customStyle="1" w:styleId="Prelimtitlesmall">
    <w:name w:val="Prelim_title_small"/>
    <w:basedOn w:val="Prelimtitle"/>
    <w:uiPriority w:val="18"/>
    <w:rsid w:val="00E50D0C"/>
    <w:pPr>
      <w:spacing w:before="0" w:after="240"/>
    </w:pPr>
    <w:rPr>
      <w:sz w:val="24"/>
    </w:rPr>
  </w:style>
  <w:style w:type="paragraph" w:customStyle="1" w:styleId="Prelimtitlelarge">
    <w:name w:val="Prelim_title_large"/>
    <w:basedOn w:val="Prelimtitle"/>
    <w:uiPriority w:val="18"/>
    <w:rsid w:val="00953685"/>
    <w:rPr>
      <w:sz w:val="48"/>
    </w:rPr>
  </w:style>
  <w:style w:type="paragraph" w:customStyle="1" w:styleId="Prelimcentre">
    <w:name w:val="Prelim_centre"/>
    <w:basedOn w:val="PrelimNormal"/>
    <w:uiPriority w:val="18"/>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uiPriority w:val="18"/>
    <w:rsid w:val="006635C5"/>
    <w:pPr>
      <w:spacing w:after="240"/>
      <w:ind w:right="720"/>
    </w:pPr>
    <w:rPr>
      <w:sz w:val="18"/>
    </w:rPr>
  </w:style>
  <w:style w:type="paragraph" w:customStyle="1" w:styleId="Copyrightbullet">
    <w:name w:val="Copyright_bullet"/>
    <w:basedOn w:val="Copyrightnormal"/>
    <w:uiPriority w:val="18"/>
    <w:rsid w:val="00953685"/>
    <w:pPr>
      <w:numPr>
        <w:numId w:val="5"/>
      </w:numPr>
    </w:pPr>
  </w:style>
  <w:style w:type="paragraph" w:customStyle="1" w:styleId="Copyrightheading">
    <w:name w:val="Copyright_heading"/>
    <w:basedOn w:val="Copyrightnormal"/>
    <w:uiPriority w:val="18"/>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6"/>
      </w:numPr>
      <w:tabs>
        <w:tab w:val="left" w:pos="160"/>
      </w:tabs>
    </w:pPr>
  </w:style>
  <w:style w:type="paragraph" w:customStyle="1" w:styleId="Case">
    <w:name w:val="Case"/>
    <w:basedOn w:val="Normal"/>
    <w:uiPriority w:val="23"/>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uiPriority w:val="21"/>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uiPriority w:val="21"/>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uiPriority w:val="21"/>
    <w:rsid w:val="00953685"/>
    <w:pPr>
      <w:keepNext w:val="0"/>
      <w:spacing w:after="0"/>
      <w:ind w:left="360"/>
    </w:pPr>
  </w:style>
  <w:style w:type="paragraph" w:customStyle="1" w:styleId="Parttitle">
    <w:name w:val="Part title"/>
    <w:basedOn w:val="Prelimtitlenumber"/>
    <w:uiPriority w:val="23"/>
    <w:rsid w:val="00953685"/>
    <w:rPr>
      <w:rFonts w:ascii="Arial Bold" w:hAnsi="Arial Bold"/>
      <w:sz w:val="144"/>
    </w:rPr>
  </w:style>
  <w:style w:type="paragraph" w:customStyle="1" w:styleId="Tabletexthangingindenti">
    <w:name w:val="Table text_hanging indent(i)"/>
    <w:basedOn w:val="Tabletexthangingindenta"/>
    <w:uiPriority w:val="14"/>
    <w:rsid w:val="00780375"/>
    <w:pPr>
      <w:ind w:left="1080"/>
      <w:jc w:val="left"/>
    </w:pPr>
  </w:style>
  <w:style w:type="paragraph" w:customStyle="1" w:styleId="FootnoteTexthangingindent">
    <w:name w:val="Footnote Text_hanging indent"/>
    <w:basedOn w:val="FootnoteText"/>
    <w:uiPriority w:val="20"/>
    <w:rsid w:val="00953685"/>
    <w:pPr>
      <w:ind w:left="1534" w:hanging="360"/>
    </w:pPr>
  </w:style>
  <w:style w:type="paragraph" w:customStyle="1" w:styleId="Parttitlewords">
    <w:name w:val="Part title_words"/>
    <w:basedOn w:val="Prelimtitlenumber"/>
    <w:uiPriority w:val="23"/>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itleTOC">
    <w:name w:val="Part title_TOC"/>
    <w:basedOn w:val="TOC8"/>
    <w:uiPriority w:val="23"/>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link w:val="Heading1"/>
    <w:uiPriority w:val="1"/>
    <w:rsid w:val="00F85C51"/>
    <w:rPr>
      <w:rFonts w:ascii="Arial Narrow" w:hAnsi="Arial Narrow" w:cs="Arial"/>
      <w:b/>
      <w:bCs/>
      <w:color w:val="365F91"/>
      <w:kern w:val="32"/>
      <w:sz w:val="32"/>
      <w:szCs w:val="32"/>
      <w:lang w:eastAsia="en-US"/>
    </w:rPr>
  </w:style>
  <w:style w:type="character" w:customStyle="1" w:styleId="Heading2Char">
    <w:name w:val="Heading 2 Char"/>
    <w:link w:val="Heading2"/>
    <w:uiPriority w:val="1"/>
    <w:rsid w:val="0087265C"/>
    <w:rPr>
      <w:rFonts w:ascii="Arial Narrow" w:hAnsi="Arial Narrow" w:cs="Arial"/>
      <w:b/>
      <w:iCs/>
      <w:color w:val="365F91"/>
      <w:kern w:val="32"/>
      <w:sz w:val="28"/>
      <w:szCs w:val="28"/>
      <w:lang w:eastAsia="en-US"/>
    </w:rPr>
  </w:style>
  <w:style w:type="character" w:customStyle="1" w:styleId="Heading3Char">
    <w:name w:val="Heading 3 Char"/>
    <w:link w:val="Heading3"/>
    <w:uiPriority w:val="1"/>
    <w:rsid w:val="00F85C51"/>
    <w:rPr>
      <w:rFonts w:ascii="Arial Narrow" w:hAnsi="Arial Narrow" w:cs="Arial"/>
      <w:b/>
      <w:bCs/>
      <w:i/>
      <w:iCs/>
      <w:color w:val="365F91"/>
      <w:kern w:val="32"/>
      <w:sz w:val="26"/>
      <w:szCs w:val="26"/>
      <w:lang w:eastAsia="en-US"/>
    </w:rPr>
  </w:style>
  <w:style w:type="character" w:customStyle="1" w:styleId="Heading4Char">
    <w:name w:val="Heading 4 Char"/>
    <w:link w:val="Heading4"/>
    <w:uiPriority w:val="99"/>
    <w:semiHidden/>
    <w:rsid w:val="00701039"/>
    <w:rPr>
      <w:rFonts w:ascii="Arial Narrow" w:hAnsi="Arial Narrow"/>
      <w:bCs/>
      <w:i/>
      <w:sz w:val="22"/>
      <w:szCs w:val="28"/>
      <w:lang w:eastAsia="en-US"/>
    </w:rPr>
  </w:style>
  <w:style w:type="character" w:customStyle="1" w:styleId="Heading5Char">
    <w:name w:val="Heading 5 Char"/>
    <w:link w:val="Heading5"/>
    <w:uiPriority w:val="99"/>
    <w:semiHidden/>
    <w:rsid w:val="00701039"/>
    <w:rPr>
      <w:rFonts w:ascii="Garamond" w:hAnsi="Garamond"/>
      <w:b/>
      <w:bCs/>
      <w:i/>
      <w:iCs/>
      <w:sz w:val="26"/>
      <w:szCs w:val="26"/>
      <w:lang w:eastAsia="en-US"/>
    </w:rPr>
  </w:style>
  <w:style w:type="character" w:customStyle="1" w:styleId="Heading6Char">
    <w:name w:val="Heading 6 Char"/>
    <w:link w:val="Heading6"/>
    <w:uiPriority w:val="99"/>
    <w:semiHidden/>
    <w:rsid w:val="00701039"/>
    <w:rPr>
      <w:b/>
      <w:bCs/>
      <w:sz w:val="22"/>
      <w:szCs w:val="22"/>
      <w:lang w:eastAsia="en-US"/>
    </w:rPr>
  </w:style>
  <w:style w:type="character" w:customStyle="1" w:styleId="Heading7Char">
    <w:name w:val="Heading 7 Char"/>
    <w:link w:val="Heading7"/>
    <w:uiPriority w:val="99"/>
    <w:semiHidden/>
    <w:rsid w:val="00701039"/>
    <w:rPr>
      <w:sz w:val="24"/>
      <w:szCs w:val="24"/>
      <w:lang w:eastAsia="en-US"/>
    </w:rPr>
  </w:style>
  <w:style w:type="character" w:customStyle="1" w:styleId="Heading8Char">
    <w:name w:val="Heading 8 Char"/>
    <w:link w:val="Heading8"/>
    <w:uiPriority w:val="99"/>
    <w:semiHidden/>
    <w:rsid w:val="00701039"/>
    <w:rPr>
      <w:i/>
      <w:iCs/>
      <w:sz w:val="24"/>
      <w:szCs w:val="24"/>
      <w:lang w:eastAsia="en-US"/>
    </w:rPr>
  </w:style>
  <w:style w:type="character" w:customStyle="1" w:styleId="Heading9Char">
    <w:name w:val="Heading 9 Char"/>
    <w:link w:val="Heading9"/>
    <w:uiPriority w:val="99"/>
    <w:semiHidden/>
    <w:rsid w:val="00701039"/>
    <w:rPr>
      <w:rFonts w:ascii="Arial" w:hAnsi="Arial" w:cs="Arial"/>
      <w:sz w:val="22"/>
      <w:szCs w:val="22"/>
      <w:lang w:eastAsia="en-US"/>
    </w:rPr>
  </w:style>
  <w:style w:type="character" w:customStyle="1" w:styleId="FootnoteTextChar">
    <w:name w:val="Footnote Text Char"/>
    <w:link w:val="FootnoteText"/>
    <w:uiPriority w:val="17"/>
    <w:rsid w:val="0059369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link w:val="Footer"/>
    <w:semiHidden/>
    <w:rsid w:val="001D505D"/>
    <w:rPr>
      <w:rFonts w:ascii="Arial" w:hAnsi="Arial"/>
      <w:color w:val="365F91"/>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left w:val="single" w:sz="4" w:space="10" w:color="B8CCE4"/>
        <w:bottom w:val="single" w:sz="4" w:space="5" w:color="B8CCE4"/>
        <w:right w:val="single" w:sz="4" w:space="10" w:color="B8CCE4"/>
      </w:pBdr>
      <w:shd w:val="clear" w:color="auto" w:fill="B8CCE4"/>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uiPriority w:val="21"/>
    <w:qFormat/>
    <w:rsid w:val="00430F9D"/>
    <w:pPr>
      <w:numPr>
        <w:ilvl w:val="0"/>
        <w:numId w:val="7"/>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left w:val="single" w:sz="4" w:space="10" w:color="B8CCE4"/>
        <w:bottom w:val="single" w:sz="4" w:space="10" w:color="B8CCE4"/>
        <w:right w:val="single" w:sz="4" w:space="10" w:color="B8CCE4"/>
      </w:pBdr>
      <w:shd w:val="clear" w:color="auto" w:fill="B8CCE4"/>
      <w:spacing w:before="120" w:after="120"/>
      <w:ind w:left="1134"/>
    </w:pPr>
  </w:style>
  <w:style w:type="paragraph" w:customStyle="1" w:styleId="Bibliographysmall">
    <w:name w:val="Bibliography small"/>
    <w:basedOn w:val="Normalsinglelist"/>
    <w:uiPriority w:val="23"/>
    <w:rsid w:val="00B34097"/>
    <w:rPr>
      <w:sz w:val="20"/>
    </w:rPr>
  </w:style>
  <w:style w:type="paragraph" w:customStyle="1" w:styleId="InBriefBullet">
    <w:name w:val="In Brief Bullet"/>
    <w:basedOn w:val="Normal"/>
    <w:uiPriority w:val="16"/>
    <w:qFormat/>
    <w:rsid w:val="00544E1F"/>
    <w:pPr>
      <w:numPr>
        <w:numId w:val="30"/>
      </w:numPr>
      <w:pBdr>
        <w:top w:val="single" w:sz="4" w:space="5" w:color="FFFFFF"/>
        <w:left w:val="single" w:sz="4" w:space="9" w:color="FFFFFF"/>
        <w:bottom w:val="single" w:sz="4" w:space="5" w:color="FFFFFF"/>
        <w:right w:val="single" w:sz="4" w:space="9" w:color="FFFFFF"/>
      </w:pBdr>
      <w:shd w:val="clear" w:color="auto" w:fill="B8CCE4"/>
      <w:spacing w:before="40" w:after="120"/>
      <w:ind w:right="536"/>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8"/>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uiPriority w:val="18"/>
    <w:qFormat/>
    <w:rsid w:val="006F1073"/>
    <w:pPr>
      <w:jc w:val="right"/>
    </w:pPr>
  </w:style>
  <w:style w:type="paragraph" w:styleId="Title">
    <w:name w:val="Title"/>
    <w:basedOn w:val="Prelimtitlelarge"/>
    <w:next w:val="Normal"/>
    <w:link w:val="TitleChar"/>
    <w:uiPriority w:val="11"/>
    <w:semiHidden/>
    <w:qFormat/>
    <w:locked/>
    <w:rsid w:val="00E50D0C"/>
    <w:pPr>
      <w:spacing w:before="0"/>
    </w:pPr>
  </w:style>
  <w:style w:type="character" w:customStyle="1" w:styleId="TitleChar">
    <w:name w:val="Title Char"/>
    <w:link w:val="Title"/>
    <w:uiPriority w:val="11"/>
    <w:semiHidden/>
    <w:rsid w:val="00B906DC"/>
    <w:rPr>
      <w:rFonts w:ascii="Arial" w:hAnsi="Arial"/>
      <w:b/>
      <w:color w:val="365F91"/>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sz w:val="32"/>
      <w:szCs w:val="32"/>
    </w:rPr>
  </w:style>
  <w:style w:type="paragraph" w:customStyle="1" w:styleId="NormalText">
    <w:name w:val="Normal_Text"/>
    <w:basedOn w:val="Normal"/>
    <w:uiPriority w:val="1"/>
    <w:qFormat/>
    <w:rsid w:val="00B97890"/>
    <w:pPr>
      <w:spacing w:after="240" w:line="280" w:lineRule="exact"/>
      <w:ind w:left="709"/>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link w:val="HTMLPreformatted"/>
    <w:semiHidden/>
    <w:rsid w:val="00701039"/>
    <w:rPr>
      <w:rFonts w:ascii="Arial" w:eastAsia="Arial Unicode MS" w:hAnsi="Arial" w:cs="Arial"/>
      <w:lang w:eastAsia="en-US"/>
    </w:rPr>
  </w:style>
  <w:style w:type="paragraph" w:styleId="ListParagraph">
    <w:name w:val="List Paragraph"/>
    <w:basedOn w:val="Normal"/>
    <w:uiPriority w:val="34"/>
    <w:semiHidden/>
    <w:qFormat/>
    <w:locked/>
    <w:rsid w:val="00701039"/>
    <w:pPr>
      <w:spacing w:after="240" w:line="280" w:lineRule="exact"/>
      <w:ind w:left="720"/>
      <w:contextualSpacing/>
    </w:pPr>
  </w:style>
  <w:style w:type="character" w:styleId="CommentReference">
    <w:name w:val="annotation reference"/>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link w:val="CommentSubject"/>
    <w:uiPriority w:val="99"/>
    <w:semiHidden/>
    <w:rsid w:val="00701039"/>
    <w:rPr>
      <w:rFonts w:ascii="Arial" w:hAnsi="Arial"/>
      <w:b/>
      <w:bCs/>
      <w:lang w:eastAsia="en-US"/>
    </w:rPr>
  </w:style>
  <w:style w:type="character" w:styleId="FollowedHyperlink">
    <w:name w:val="FollowedHyperlink"/>
    <w:semiHidden/>
    <w:unhideWhenUsed/>
    <w:rsid w:val="00701039"/>
    <w:rPr>
      <w:color w:val="800080"/>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544E1F"/>
    <w:pPr>
      <w:keepNext/>
      <w:pBdr>
        <w:top w:val="single" w:sz="4" w:space="5" w:color="FFFFFF"/>
        <w:left w:val="single" w:sz="4" w:space="9" w:color="FFFFFF"/>
        <w:bottom w:val="single" w:sz="4" w:space="5" w:color="FFFFFF"/>
        <w:right w:val="single" w:sz="4" w:space="9" w:color="FFFFFF"/>
      </w:pBdr>
      <w:shd w:val="clear" w:color="auto" w:fill="95B3D7"/>
      <w:spacing w:before="120" w:after="60"/>
      <w:ind w:left="919" w:right="536"/>
    </w:pPr>
    <w:rPr>
      <w:rFonts w:ascii="Arial Bold" w:hAnsi="Arial Bold"/>
      <w:b/>
    </w:rPr>
  </w:style>
  <w:style w:type="paragraph" w:customStyle="1" w:styleId="InBriefText">
    <w:name w:val="In Brief Text"/>
    <w:basedOn w:val="Normal"/>
    <w:uiPriority w:val="15"/>
    <w:qFormat/>
    <w:rsid w:val="00544E1F"/>
    <w:pPr>
      <w:pBdr>
        <w:top w:val="single" w:sz="4" w:space="5" w:color="FFFFFF"/>
        <w:left w:val="single" w:sz="4" w:space="9" w:color="FFFFFF"/>
        <w:bottom w:val="single" w:sz="4" w:space="5" w:color="FFFFFF"/>
        <w:right w:val="single" w:sz="4" w:space="9" w:color="FFFFFF"/>
      </w:pBdr>
      <w:shd w:val="clear" w:color="auto" w:fill="B8CCE4"/>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semiHidden/>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left="720" w:hanging="720"/>
      <w:outlineLvl w:val="0"/>
    </w:pPr>
    <w:rPr>
      <w:b/>
      <w:color w:val="365F91"/>
      <w:sz w:val="32"/>
    </w:rPr>
  </w:style>
  <w:style w:type="paragraph" w:styleId="Header">
    <w:name w:val="header"/>
    <w:basedOn w:val="Normal"/>
    <w:link w:val="HeaderChar"/>
    <w:unhideWhenUsed/>
    <w:rsid w:val="00330A0A"/>
    <w:pPr>
      <w:tabs>
        <w:tab w:val="center" w:pos="4513"/>
        <w:tab w:val="right" w:pos="9026"/>
      </w:tabs>
    </w:pPr>
  </w:style>
  <w:style w:type="character" w:customStyle="1" w:styleId="HeaderChar">
    <w:name w:val="Header Char"/>
    <w:link w:val="Header"/>
    <w:rsid w:val="00330A0A"/>
    <w:rPr>
      <w:rFonts w:ascii="Arial" w:hAnsi="Arial"/>
      <w:sz w:val="22"/>
      <w:szCs w:val="24"/>
      <w:lang w:eastAsia="en-US"/>
    </w:rPr>
  </w:style>
  <w:style w:type="paragraph" w:customStyle="1" w:styleId="Normalautonumbered">
    <w:name w:val="Normal_auto_numbered"/>
    <w:basedOn w:val="Normal"/>
    <w:rsid w:val="00B25B2D"/>
    <w:pPr>
      <w:tabs>
        <w:tab w:val="num" w:pos="720"/>
      </w:tabs>
      <w:spacing w:after="240" w:line="280" w:lineRule="exact"/>
      <w:ind w:left="720" w:hanging="720"/>
    </w:pPr>
    <w:rPr>
      <w:rFonts w:cs="Arial"/>
    </w:rPr>
  </w:style>
  <w:style w:type="paragraph" w:customStyle="1" w:styleId="Normalautonumbereda">
    <w:name w:val="Normal_auto_numbered(a)"/>
    <w:basedOn w:val="Normal"/>
    <w:qFormat/>
    <w:rsid w:val="00B25B2D"/>
    <w:pPr>
      <w:tabs>
        <w:tab w:val="num" w:pos="720"/>
      </w:tabs>
      <w:spacing w:after="240" w:line="280" w:lineRule="exact"/>
      <w:ind w:left="720" w:hanging="720"/>
    </w:pPr>
    <w:rPr>
      <w:rFonts w:cs="Arial"/>
    </w:rPr>
  </w:style>
  <w:style w:type="character" w:customStyle="1" w:styleId="apple-converted-space">
    <w:name w:val="apple-converted-space"/>
    <w:rsid w:val="004E0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0" w:qFormat="1"/>
    <w:lsdException w:name="heading 3" w:semiHidden="0" w:uiPriority="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0"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6B6900"/>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kern w:val="32"/>
      <w:sz w:val="32"/>
      <w:szCs w:val="32"/>
    </w:rPr>
  </w:style>
  <w:style w:type="paragraph" w:styleId="Heading2">
    <w:name w:val="heading 2"/>
    <w:basedOn w:val="Heading1"/>
    <w:next w:val="NormalAutoChapter"/>
    <w:link w:val="Heading2Char"/>
    <w:uiPriority w:val="1"/>
    <w:qFormat/>
    <w:rsid w:val="0087265C"/>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29"/>
      </w:numPr>
      <w:spacing w:after="240" w:line="240" w:lineRule="atLeast"/>
    </w:pPr>
    <w:rPr>
      <w:rFonts w:cs="Arial"/>
    </w:rPr>
  </w:style>
  <w:style w:type="paragraph" w:styleId="FootnoteText">
    <w:name w:val="footnote text"/>
    <w:basedOn w:val="Normal"/>
    <w:link w:val="FootnoteTextChar"/>
    <w:uiPriority w:val="17"/>
    <w:rsid w:val="00895532"/>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sz w:val="18"/>
      <w:szCs w:val="18"/>
    </w:rPr>
  </w:style>
  <w:style w:type="paragraph" w:styleId="Footer">
    <w:name w:val="footer"/>
    <w:basedOn w:val="Normal"/>
    <w:link w:val="FooterChar"/>
    <w:semiHidden/>
    <w:rsid w:val="001D505D"/>
    <w:pPr>
      <w:tabs>
        <w:tab w:val="center" w:pos="4153"/>
        <w:tab w:val="right" w:pos="8306"/>
      </w:tabs>
      <w:jc w:val="right"/>
    </w:pPr>
    <w:rPr>
      <w:color w:val="365F91"/>
    </w:rPr>
  </w:style>
  <w:style w:type="character" w:styleId="FootnoteReference">
    <w:name w:val="footnote reference"/>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29"/>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F16C2B"/>
    <w:pPr>
      <w:tabs>
        <w:tab w:val="right" w:leader="dot" w:pos="8896"/>
      </w:tabs>
      <w:spacing w:before="0"/>
      <w:ind w:left="1083" w:right="720"/>
    </w:pPr>
    <w:rPr>
      <w:noProof/>
    </w:rPr>
  </w:style>
  <w:style w:type="paragraph" w:styleId="TOC1">
    <w:name w:val="toc 1"/>
    <w:basedOn w:val="Normal"/>
    <w:next w:val="Normal"/>
    <w:uiPriority w:val="39"/>
    <w:qFormat/>
    <w:rsid w:val="00C14A2F"/>
    <w:pPr>
      <w:spacing w:before="360" w:after="60"/>
      <w:ind w:left="714" w:right="357" w:hanging="357"/>
    </w:pPr>
    <w:rPr>
      <w:rFonts w:ascii="Arial Bold" w:hAnsi="Arial Bold"/>
      <w:b/>
      <w:color w:val="365F91"/>
      <w:sz w:val="18"/>
    </w:rPr>
  </w:style>
  <w:style w:type="paragraph" w:customStyle="1" w:styleId="Normalbullet">
    <w:name w:val="Normal_bullet"/>
    <w:basedOn w:val="Normal"/>
    <w:uiPriority w:val="4"/>
    <w:qFormat/>
    <w:rsid w:val="00953685"/>
    <w:pPr>
      <w:numPr>
        <w:numId w:val="3"/>
      </w:numPr>
      <w:spacing w:after="220"/>
    </w:pPr>
  </w:style>
  <w:style w:type="paragraph" w:customStyle="1" w:styleId="Normalhanging1">
    <w:name w:val="Normal_hanging(1)"/>
    <w:basedOn w:val="Normal"/>
    <w:uiPriority w:val="3"/>
    <w:rsid w:val="00544E1F"/>
    <w:pPr>
      <w:spacing w:after="240"/>
      <w:ind w:left="1077" w:hanging="357"/>
    </w:pPr>
  </w:style>
  <w:style w:type="paragraph" w:customStyle="1" w:styleId="Normalhanginga">
    <w:name w:val="Normal_hanging(a)"/>
    <w:basedOn w:val="Normalhanging1"/>
    <w:uiPriority w:val="3"/>
    <w:rsid w:val="00544E1F"/>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94567D"/>
    <w:pPr>
      <w:ind w:left="1260"/>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4"/>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953685"/>
    <w:pPr>
      <w:tabs>
        <w:tab w:val="left" w:pos="360"/>
      </w:tabs>
      <w:spacing w:before="120" w:after="120"/>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87265C"/>
    <w:pPr>
      <w:keepNext/>
      <w:spacing w:before="240" w:after="240"/>
      <w:ind w:left="720"/>
      <w:outlineLvl w:val="8"/>
    </w:pPr>
    <w:rPr>
      <w:b/>
      <w:color w:val="365F91"/>
      <w:sz w:val="24"/>
    </w:rPr>
  </w:style>
  <w:style w:type="paragraph" w:customStyle="1" w:styleId="FootnoteTextquote">
    <w:name w:val="Footnote Text_quote"/>
    <w:basedOn w:val="FootnoteText"/>
    <w:uiPriority w:val="20"/>
    <w:rsid w:val="00953685"/>
    <w:pPr>
      <w:ind w:left="851" w:right="851" w:firstLine="0"/>
    </w:pPr>
  </w:style>
  <w:style w:type="paragraph" w:styleId="TOC4">
    <w:name w:val="toc 4"/>
    <w:basedOn w:val="TOC3"/>
    <w:next w:val="Normal"/>
    <w:uiPriority w:val="39"/>
    <w:rsid w:val="00D63B8A"/>
    <w:pPr>
      <w:ind w:left="1616"/>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44E1F"/>
    <w:pPr>
      <w:spacing w:after="240"/>
      <w:ind w:left="1077"/>
    </w:pPr>
  </w:style>
  <w:style w:type="paragraph" w:customStyle="1" w:styleId="PrelimNormal">
    <w:name w:val="Prelim_Normal"/>
    <w:basedOn w:val="Normal"/>
    <w:rsid w:val="00953685"/>
    <w:pPr>
      <w:tabs>
        <w:tab w:val="right" w:leader="dot" w:pos="8880"/>
      </w:tabs>
      <w:spacing w:after="120"/>
    </w:pPr>
  </w:style>
  <w:style w:type="paragraph" w:customStyle="1" w:styleId="PrelimCh">
    <w:name w:val="Prelim_Ch"/>
    <w:basedOn w:val="PrelimNormal"/>
    <w:uiPriority w:val="18"/>
    <w:qFormat/>
    <w:rsid w:val="00953685"/>
    <w:pPr>
      <w:keepNext/>
      <w:tabs>
        <w:tab w:val="left" w:pos="360"/>
      </w:tabs>
      <w:ind w:left="1080" w:hanging="360"/>
    </w:pPr>
    <w:rPr>
      <w:b/>
      <w:bCs/>
    </w:rPr>
  </w:style>
  <w:style w:type="paragraph" w:customStyle="1" w:styleId="PrelimH1">
    <w:name w:val="Prelim_H1"/>
    <w:basedOn w:val="PrelimNormal"/>
    <w:uiPriority w:val="18"/>
    <w:rsid w:val="00953685"/>
    <w:pPr>
      <w:ind w:left="1400" w:hanging="320"/>
    </w:pPr>
  </w:style>
  <w:style w:type="paragraph" w:customStyle="1" w:styleId="PrelimH2">
    <w:name w:val="Prelim_H2"/>
    <w:basedOn w:val="PrelimH1"/>
    <w:uiPriority w:val="18"/>
    <w:rsid w:val="00953685"/>
    <w:pPr>
      <w:ind w:left="1800" w:hanging="360"/>
    </w:pPr>
  </w:style>
  <w:style w:type="paragraph" w:customStyle="1" w:styleId="Prelimtitle">
    <w:name w:val="Prelim_title"/>
    <w:basedOn w:val="PrelimNormal"/>
    <w:uiPriority w:val="18"/>
    <w:rsid w:val="00875B52"/>
    <w:pPr>
      <w:tabs>
        <w:tab w:val="right" w:pos="8880"/>
      </w:tabs>
      <w:spacing w:before="1680" w:after="0"/>
      <w:contextualSpacing/>
    </w:pPr>
    <w:rPr>
      <w:b/>
      <w:color w:val="365F91"/>
      <w:sz w:val="32"/>
    </w:rPr>
  </w:style>
  <w:style w:type="paragraph" w:customStyle="1" w:styleId="Prelimtitlenumber">
    <w:name w:val="Prelim_title_number"/>
    <w:basedOn w:val="Prelimtitle"/>
    <w:uiPriority w:val="18"/>
    <w:rsid w:val="00875B52"/>
    <w:pPr>
      <w:spacing w:before="0" w:after="3920"/>
      <w:jc w:val="right"/>
    </w:pPr>
    <w:rPr>
      <w:color w:val="B8CCE4"/>
      <w:sz w:val="96"/>
    </w:rPr>
  </w:style>
  <w:style w:type="paragraph" w:customStyle="1" w:styleId="Prelimtitlesmall">
    <w:name w:val="Prelim_title_small"/>
    <w:basedOn w:val="Prelimtitle"/>
    <w:uiPriority w:val="18"/>
    <w:rsid w:val="00E50D0C"/>
    <w:pPr>
      <w:spacing w:before="0" w:after="240"/>
    </w:pPr>
    <w:rPr>
      <w:sz w:val="24"/>
    </w:rPr>
  </w:style>
  <w:style w:type="paragraph" w:customStyle="1" w:styleId="Prelimtitlelarge">
    <w:name w:val="Prelim_title_large"/>
    <w:basedOn w:val="Prelimtitle"/>
    <w:uiPriority w:val="18"/>
    <w:rsid w:val="00953685"/>
    <w:rPr>
      <w:sz w:val="48"/>
    </w:rPr>
  </w:style>
  <w:style w:type="paragraph" w:customStyle="1" w:styleId="Prelimcentre">
    <w:name w:val="Prelim_centre"/>
    <w:basedOn w:val="PrelimNormal"/>
    <w:uiPriority w:val="18"/>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uiPriority w:val="18"/>
    <w:rsid w:val="006635C5"/>
    <w:pPr>
      <w:spacing w:after="240"/>
      <w:ind w:right="720"/>
    </w:pPr>
    <w:rPr>
      <w:sz w:val="18"/>
    </w:rPr>
  </w:style>
  <w:style w:type="paragraph" w:customStyle="1" w:styleId="Copyrightbullet">
    <w:name w:val="Copyright_bullet"/>
    <w:basedOn w:val="Copyrightnormal"/>
    <w:uiPriority w:val="18"/>
    <w:rsid w:val="00953685"/>
    <w:pPr>
      <w:numPr>
        <w:numId w:val="5"/>
      </w:numPr>
    </w:pPr>
  </w:style>
  <w:style w:type="paragraph" w:customStyle="1" w:styleId="Copyrightheading">
    <w:name w:val="Copyright_heading"/>
    <w:basedOn w:val="Copyrightnormal"/>
    <w:uiPriority w:val="18"/>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6"/>
      </w:numPr>
      <w:tabs>
        <w:tab w:val="left" w:pos="160"/>
      </w:tabs>
    </w:pPr>
  </w:style>
  <w:style w:type="paragraph" w:customStyle="1" w:styleId="Case">
    <w:name w:val="Case"/>
    <w:basedOn w:val="Normal"/>
    <w:uiPriority w:val="23"/>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uiPriority w:val="21"/>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uiPriority w:val="21"/>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uiPriority w:val="21"/>
    <w:rsid w:val="00953685"/>
    <w:pPr>
      <w:keepNext w:val="0"/>
      <w:spacing w:after="0"/>
      <w:ind w:left="360"/>
    </w:pPr>
  </w:style>
  <w:style w:type="paragraph" w:customStyle="1" w:styleId="Parttitle">
    <w:name w:val="Part title"/>
    <w:basedOn w:val="Prelimtitlenumber"/>
    <w:uiPriority w:val="23"/>
    <w:rsid w:val="00953685"/>
    <w:rPr>
      <w:rFonts w:ascii="Arial Bold" w:hAnsi="Arial Bold"/>
      <w:sz w:val="144"/>
    </w:rPr>
  </w:style>
  <w:style w:type="paragraph" w:customStyle="1" w:styleId="Tabletexthangingindenti">
    <w:name w:val="Table text_hanging indent(i)"/>
    <w:basedOn w:val="Tabletexthangingindenta"/>
    <w:uiPriority w:val="14"/>
    <w:rsid w:val="00780375"/>
    <w:pPr>
      <w:ind w:left="1080"/>
      <w:jc w:val="left"/>
    </w:pPr>
  </w:style>
  <w:style w:type="paragraph" w:customStyle="1" w:styleId="FootnoteTexthangingindent">
    <w:name w:val="Footnote Text_hanging indent"/>
    <w:basedOn w:val="FootnoteText"/>
    <w:uiPriority w:val="20"/>
    <w:rsid w:val="00953685"/>
    <w:pPr>
      <w:ind w:left="1534" w:hanging="360"/>
    </w:pPr>
  </w:style>
  <w:style w:type="paragraph" w:customStyle="1" w:styleId="Parttitlewords">
    <w:name w:val="Part title_words"/>
    <w:basedOn w:val="Prelimtitlenumber"/>
    <w:uiPriority w:val="23"/>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itleTOC">
    <w:name w:val="Part title_TOC"/>
    <w:basedOn w:val="TOC8"/>
    <w:uiPriority w:val="23"/>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link w:val="Heading1"/>
    <w:uiPriority w:val="1"/>
    <w:rsid w:val="00F85C51"/>
    <w:rPr>
      <w:rFonts w:ascii="Arial Narrow" w:hAnsi="Arial Narrow" w:cs="Arial"/>
      <w:b/>
      <w:bCs/>
      <w:color w:val="365F91"/>
      <w:kern w:val="32"/>
      <w:sz w:val="32"/>
      <w:szCs w:val="32"/>
      <w:lang w:eastAsia="en-US"/>
    </w:rPr>
  </w:style>
  <w:style w:type="character" w:customStyle="1" w:styleId="Heading2Char">
    <w:name w:val="Heading 2 Char"/>
    <w:link w:val="Heading2"/>
    <w:uiPriority w:val="1"/>
    <w:rsid w:val="0087265C"/>
    <w:rPr>
      <w:rFonts w:ascii="Arial Narrow" w:hAnsi="Arial Narrow" w:cs="Arial"/>
      <w:b/>
      <w:iCs/>
      <w:color w:val="365F91"/>
      <w:kern w:val="32"/>
      <w:sz w:val="28"/>
      <w:szCs w:val="28"/>
      <w:lang w:eastAsia="en-US"/>
    </w:rPr>
  </w:style>
  <w:style w:type="character" w:customStyle="1" w:styleId="Heading3Char">
    <w:name w:val="Heading 3 Char"/>
    <w:link w:val="Heading3"/>
    <w:uiPriority w:val="1"/>
    <w:rsid w:val="00F85C51"/>
    <w:rPr>
      <w:rFonts w:ascii="Arial Narrow" w:hAnsi="Arial Narrow" w:cs="Arial"/>
      <w:b/>
      <w:bCs/>
      <w:i/>
      <w:iCs/>
      <w:color w:val="365F91"/>
      <w:kern w:val="32"/>
      <w:sz w:val="26"/>
      <w:szCs w:val="26"/>
      <w:lang w:eastAsia="en-US"/>
    </w:rPr>
  </w:style>
  <w:style w:type="character" w:customStyle="1" w:styleId="Heading4Char">
    <w:name w:val="Heading 4 Char"/>
    <w:link w:val="Heading4"/>
    <w:uiPriority w:val="99"/>
    <w:semiHidden/>
    <w:rsid w:val="00701039"/>
    <w:rPr>
      <w:rFonts w:ascii="Arial Narrow" w:hAnsi="Arial Narrow"/>
      <w:bCs/>
      <w:i/>
      <w:sz w:val="22"/>
      <w:szCs w:val="28"/>
      <w:lang w:eastAsia="en-US"/>
    </w:rPr>
  </w:style>
  <w:style w:type="character" w:customStyle="1" w:styleId="Heading5Char">
    <w:name w:val="Heading 5 Char"/>
    <w:link w:val="Heading5"/>
    <w:uiPriority w:val="99"/>
    <w:semiHidden/>
    <w:rsid w:val="00701039"/>
    <w:rPr>
      <w:rFonts w:ascii="Garamond" w:hAnsi="Garamond"/>
      <w:b/>
      <w:bCs/>
      <w:i/>
      <w:iCs/>
      <w:sz w:val="26"/>
      <w:szCs w:val="26"/>
      <w:lang w:eastAsia="en-US"/>
    </w:rPr>
  </w:style>
  <w:style w:type="character" w:customStyle="1" w:styleId="Heading6Char">
    <w:name w:val="Heading 6 Char"/>
    <w:link w:val="Heading6"/>
    <w:uiPriority w:val="99"/>
    <w:semiHidden/>
    <w:rsid w:val="00701039"/>
    <w:rPr>
      <w:b/>
      <w:bCs/>
      <w:sz w:val="22"/>
      <w:szCs w:val="22"/>
      <w:lang w:eastAsia="en-US"/>
    </w:rPr>
  </w:style>
  <w:style w:type="character" w:customStyle="1" w:styleId="Heading7Char">
    <w:name w:val="Heading 7 Char"/>
    <w:link w:val="Heading7"/>
    <w:uiPriority w:val="99"/>
    <w:semiHidden/>
    <w:rsid w:val="00701039"/>
    <w:rPr>
      <w:sz w:val="24"/>
      <w:szCs w:val="24"/>
      <w:lang w:eastAsia="en-US"/>
    </w:rPr>
  </w:style>
  <w:style w:type="character" w:customStyle="1" w:styleId="Heading8Char">
    <w:name w:val="Heading 8 Char"/>
    <w:link w:val="Heading8"/>
    <w:uiPriority w:val="99"/>
    <w:semiHidden/>
    <w:rsid w:val="00701039"/>
    <w:rPr>
      <w:i/>
      <w:iCs/>
      <w:sz w:val="24"/>
      <w:szCs w:val="24"/>
      <w:lang w:eastAsia="en-US"/>
    </w:rPr>
  </w:style>
  <w:style w:type="character" w:customStyle="1" w:styleId="Heading9Char">
    <w:name w:val="Heading 9 Char"/>
    <w:link w:val="Heading9"/>
    <w:uiPriority w:val="99"/>
    <w:semiHidden/>
    <w:rsid w:val="00701039"/>
    <w:rPr>
      <w:rFonts w:ascii="Arial" w:hAnsi="Arial" w:cs="Arial"/>
      <w:sz w:val="22"/>
      <w:szCs w:val="22"/>
      <w:lang w:eastAsia="en-US"/>
    </w:rPr>
  </w:style>
  <w:style w:type="character" w:customStyle="1" w:styleId="FootnoteTextChar">
    <w:name w:val="Footnote Text Char"/>
    <w:link w:val="FootnoteText"/>
    <w:uiPriority w:val="17"/>
    <w:rsid w:val="0059369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link w:val="Footer"/>
    <w:semiHidden/>
    <w:rsid w:val="001D505D"/>
    <w:rPr>
      <w:rFonts w:ascii="Arial" w:hAnsi="Arial"/>
      <w:color w:val="365F91"/>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left w:val="single" w:sz="4" w:space="10" w:color="B8CCE4"/>
        <w:bottom w:val="single" w:sz="4" w:space="5" w:color="B8CCE4"/>
        <w:right w:val="single" w:sz="4" w:space="10" w:color="B8CCE4"/>
      </w:pBdr>
      <w:shd w:val="clear" w:color="auto" w:fill="B8CCE4"/>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uiPriority w:val="21"/>
    <w:qFormat/>
    <w:rsid w:val="00430F9D"/>
    <w:pPr>
      <w:numPr>
        <w:ilvl w:val="0"/>
        <w:numId w:val="7"/>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left w:val="single" w:sz="4" w:space="10" w:color="B8CCE4"/>
        <w:bottom w:val="single" w:sz="4" w:space="10" w:color="B8CCE4"/>
        <w:right w:val="single" w:sz="4" w:space="10" w:color="B8CCE4"/>
      </w:pBdr>
      <w:shd w:val="clear" w:color="auto" w:fill="B8CCE4"/>
      <w:spacing w:before="120" w:after="120"/>
      <w:ind w:left="1134"/>
    </w:pPr>
  </w:style>
  <w:style w:type="paragraph" w:customStyle="1" w:styleId="Bibliographysmall">
    <w:name w:val="Bibliography small"/>
    <w:basedOn w:val="Normalsinglelist"/>
    <w:uiPriority w:val="23"/>
    <w:rsid w:val="00B34097"/>
    <w:rPr>
      <w:sz w:val="20"/>
    </w:rPr>
  </w:style>
  <w:style w:type="paragraph" w:customStyle="1" w:styleId="InBriefBullet">
    <w:name w:val="In Brief Bullet"/>
    <w:basedOn w:val="Normal"/>
    <w:uiPriority w:val="16"/>
    <w:qFormat/>
    <w:rsid w:val="00544E1F"/>
    <w:pPr>
      <w:numPr>
        <w:numId w:val="30"/>
      </w:numPr>
      <w:pBdr>
        <w:top w:val="single" w:sz="4" w:space="5" w:color="FFFFFF"/>
        <w:left w:val="single" w:sz="4" w:space="9" w:color="FFFFFF"/>
        <w:bottom w:val="single" w:sz="4" w:space="5" w:color="FFFFFF"/>
        <w:right w:val="single" w:sz="4" w:space="9" w:color="FFFFFF"/>
      </w:pBdr>
      <w:shd w:val="clear" w:color="auto" w:fill="B8CCE4"/>
      <w:spacing w:before="40" w:after="120"/>
      <w:ind w:right="536"/>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8"/>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uiPriority w:val="18"/>
    <w:qFormat/>
    <w:rsid w:val="006F1073"/>
    <w:pPr>
      <w:jc w:val="right"/>
    </w:pPr>
  </w:style>
  <w:style w:type="paragraph" w:styleId="Title">
    <w:name w:val="Title"/>
    <w:basedOn w:val="Prelimtitlelarge"/>
    <w:next w:val="Normal"/>
    <w:link w:val="TitleChar"/>
    <w:uiPriority w:val="11"/>
    <w:semiHidden/>
    <w:qFormat/>
    <w:locked/>
    <w:rsid w:val="00E50D0C"/>
    <w:pPr>
      <w:spacing w:before="0"/>
    </w:pPr>
  </w:style>
  <w:style w:type="character" w:customStyle="1" w:styleId="TitleChar">
    <w:name w:val="Title Char"/>
    <w:link w:val="Title"/>
    <w:uiPriority w:val="11"/>
    <w:semiHidden/>
    <w:rsid w:val="00B906DC"/>
    <w:rPr>
      <w:rFonts w:ascii="Arial" w:hAnsi="Arial"/>
      <w:b/>
      <w:color w:val="365F91"/>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sz w:val="32"/>
      <w:szCs w:val="32"/>
    </w:rPr>
  </w:style>
  <w:style w:type="paragraph" w:customStyle="1" w:styleId="NormalText">
    <w:name w:val="Normal_Text"/>
    <w:basedOn w:val="Normal"/>
    <w:uiPriority w:val="1"/>
    <w:qFormat/>
    <w:rsid w:val="00B97890"/>
    <w:pPr>
      <w:spacing w:after="240" w:line="280" w:lineRule="exact"/>
      <w:ind w:left="709"/>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link w:val="HTMLPreformatted"/>
    <w:semiHidden/>
    <w:rsid w:val="00701039"/>
    <w:rPr>
      <w:rFonts w:ascii="Arial" w:eastAsia="Arial Unicode MS" w:hAnsi="Arial" w:cs="Arial"/>
      <w:lang w:eastAsia="en-US"/>
    </w:rPr>
  </w:style>
  <w:style w:type="paragraph" w:styleId="ListParagraph">
    <w:name w:val="List Paragraph"/>
    <w:basedOn w:val="Normal"/>
    <w:uiPriority w:val="34"/>
    <w:semiHidden/>
    <w:qFormat/>
    <w:locked/>
    <w:rsid w:val="00701039"/>
    <w:pPr>
      <w:spacing w:after="240" w:line="280" w:lineRule="exact"/>
      <w:ind w:left="720"/>
      <w:contextualSpacing/>
    </w:pPr>
  </w:style>
  <w:style w:type="character" w:styleId="CommentReference">
    <w:name w:val="annotation reference"/>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link w:val="CommentSubject"/>
    <w:uiPriority w:val="99"/>
    <w:semiHidden/>
    <w:rsid w:val="00701039"/>
    <w:rPr>
      <w:rFonts w:ascii="Arial" w:hAnsi="Arial"/>
      <w:b/>
      <w:bCs/>
      <w:lang w:eastAsia="en-US"/>
    </w:rPr>
  </w:style>
  <w:style w:type="character" w:styleId="FollowedHyperlink">
    <w:name w:val="FollowedHyperlink"/>
    <w:semiHidden/>
    <w:unhideWhenUsed/>
    <w:rsid w:val="00701039"/>
    <w:rPr>
      <w:color w:val="800080"/>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544E1F"/>
    <w:pPr>
      <w:keepNext/>
      <w:pBdr>
        <w:top w:val="single" w:sz="4" w:space="5" w:color="FFFFFF"/>
        <w:left w:val="single" w:sz="4" w:space="9" w:color="FFFFFF"/>
        <w:bottom w:val="single" w:sz="4" w:space="5" w:color="FFFFFF"/>
        <w:right w:val="single" w:sz="4" w:space="9" w:color="FFFFFF"/>
      </w:pBdr>
      <w:shd w:val="clear" w:color="auto" w:fill="95B3D7"/>
      <w:spacing w:before="120" w:after="60"/>
      <w:ind w:left="919" w:right="536"/>
    </w:pPr>
    <w:rPr>
      <w:rFonts w:ascii="Arial Bold" w:hAnsi="Arial Bold"/>
      <w:b/>
    </w:rPr>
  </w:style>
  <w:style w:type="paragraph" w:customStyle="1" w:styleId="InBriefText">
    <w:name w:val="In Brief Text"/>
    <w:basedOn w:val="Normal"/>
    <w:uiPriority w:val="15"/>
    <w:qFormat/>
    <w:rsid w:val="00544E1F"/>
    <w:pPr>
      <w:pBdr>
        <w:top w:val="single" w:sz="4" w:space="5" w:color="FFFFFF"/>
        <w:left w:val="single" w:sz="4" w:space="9" w:color="FFFFFF"/>
        <w:bottom w:val="single" w:sz="4" w:space="5" w:color="FFFFFF"/>
        <w:right w:val="single" w:sz="4" w:space="9" w:color="FFFFFF"/>
      </w:pBdr>
      <w:shd w:val="clear" w:color="auto" w:fill="B8CCE4"/>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semiHidden/>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left="720" w:hanging="720"/>
      <w:outlineLvl w:val="0"/>
    </w:pPr>
    <w:rPr>
      <w:b/>
      <w:color w:val="365F91"/>
      <w:sz w:val="32"/>
    </w:rPr>
  </w:style>
  <w:style w:type="paragraph" w:styleId="Header">
    <w:name w:val="header"/>
    <w:basedOn w:val="Normal"/>
    <w:link w:val="HeaderChar"/>
    <w:unhideWhenUsed/>
    <w:rsid w:val="00330A0A"/>
    <w:pPr>
      <w:tabs>
        <w:tab w:val="center" w:pos="4513"/>
        <w:tab w:val="right" w:pos="9026"/>
      </w:tabs>
    </w:pPr>
  </w:style>
  <w:style w:type="character" w:customStyle="1" w:styleId="HeaderChar">
    <w:name w:val="Header Char"/>
    <w:link w:val="Header"/>
    <w:rsid w:val="00330A0A"/>
    <w:rPr>
      <w:rFonts w:ascii="Arial" w:hAnsi="Arial"/>
      <w:sz w:val="22"/>
      <w:szCs w:val="24"/>
      <w:lang w:eastAsia="en-US"/>
    </w:rPr>
  </w:style>
  <w:style w:type="paragraph" w:customStyle="1" w:styleId="Normalautonumbered">
    <w:name w:val="Normal_auto_numbered"/>
    <w:basedOn w:val="Normal"/>
    <w:rsid w:val="00B25B2D"/>
    <w:pPr>
      <w:tabs>
        <w:tab w:val="num" w:pos="720"/>
      </w:tabs>
      <w:spacing w:after="240" w:line="280" w:lineRule="exact"/>
      <w:ind w:left="720" w:hanging="720"/>
    </w:pPr>
    <w:rPr>
      <w:rFonts w:cs="Arial"/>
    </w:rPr>
  </w:style>
  <w:style w:type="paragraph" w:customStyle="1" w:styleId="Normalautonumbereda">
    <w:name w:val="Normal_auto_numbered(a)"/>
    <w:basedOn w:val="Normal"/>
    <w:qFormat/>
    <w:rsid w:val="00B25B2D"/>
    <w:pPr>
      <w:tabs>
        <w:tab w:val="num" w:pos="720"/>
      </w:tabs>
      <w:spacing w:after="240" w:line="280" w:lineRule="exact"/>
      <w:ind w:left="720" w:hanging="720"/>
    </w:pPr>
    <w:rPr>
      <w:rFonts w:cs="Arial"/>
    </w:rPr>
  </w:style>
  <w:style w:type="character" w:customStyle="1" w:styleId="apple-converted-space">
    <w:name w:val="apple-converted-space"/>
    <w:rsid w:val="004E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Guardianship</TermName>
          <TermId xmlns="http://schemas.microsoft.com/office/infopath/2007/PartnerControls">f2f93d67-83da-4c5c-a83e-62d15a6ffab4</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25</Value>
    </TaxCatchAll>
  </documentManagement>
</p:properties>
</file>

<file path=customXml/itemProps1.xml><?xml version="1.0" encoding="utf-8"?>
<ds:datastoreItem xmlns:ds="http://schemas.openxmlformats.org/officeDocument/2006/customXml" ds:itemID="{57AB596D-F461-4EB6-8DB9-80D382E8A7ED}"/>
</file>

<file path=customXml/itemProps2.xml><?xml version="1.0" encoding="utf-8"?>
<ds:datastoreItem xmlns:ds="http://schemas.openxmlformats.org/officeDocument/2006/customXml" ds:itemID="{B7314F11-D4C0-4AF0-962D-BA3AFC813767}"/>
</file>

<file path=customXml/itemProps3.xml><?xml version="1.0" encoding="utf-8"?>
<ds:datastoreItem xmlns:ds="http://schemas.openxmlformats.org/officeDocument/2006/customXml" ds:itemID="{7981994F-4055-4040-8AC0-579897EACD08}"/>
</file>

<file path=customXml/itemProps4.xml><?xml version="1.0" encoding="utf-8"?>
<ds:datastoreItem xmlns:ds="http://schemas.openxmlformats.org/officeDocument/2006/customXml" ds:itemID="{5EC27E5C-9EBE-4288-B464-81A23930F1C3}"/>
</file>

<file path=docProps/app.xml><?xml version="1.0" encoding="utf-8"?>
<Properties xmlns="http://schemas.openxmlformats.org/officeDocument/2006/extended-properties" xmlns:vt="http://schemas.openxmlformats.org/officeDocument/2006/docPropsVTypes">
  <Template>1F4F5AB4.dotm</Template>
  <TotalTime>73</TotalTime>
  <Pages>35</Pages>
  <Words>8825</Words>
  <Characters>51733</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Joseph Waugh</dc:creator>
  <cp:lastModifiedBy>Joseph Waugh</cp:lastModifiedBy>
  <cp:revision>7</cp:revision>
  <cp:lastPrinted>2016-06-29T07:24:00Z</cp:lastPrinted>
  <dcterms:created xsi:type="dcterms:W3CDTF">2016-06-27T04:33:00Z</dcterms:created>
  <dcterms:modified xsi:type="dcterms:W3CDTF">2016-06-29T23:43:00Z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25;#Guardianship|f2f93d67-83da-4c5c-a83e-62d15a6ffab4</vt:lpwstr>
  </property>
  <property fmtid="{D5CDD505-2E9C-101B-9397-08002B2CF9AE}" pid="5" name="DC.Type.DocType (JSMS">
    <vt:lpwstr/>
  </property>
</Properties>
</file>